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pPr>
    </w:p>
    <w:p>
      <w:pPr>
        <w:bidi w:val="0"/>
      </w:pPr>
    </w:p>
    <w:p>
      <w:pPr>
        <w:bidi w:val="0"/>
      </w:pPr>
    </w:p>
    <w:p>
      <w:pPr>
        <w:pStyle w:val="7"/>
      </w:pPr>
    </w:p>
    <w:p/>
    <w:p>
      <w:pPr>
        <w:pStyle w:val="7"/>
      </w:pPr>
    </w:p>
    <w:p>
      <w:pPr>
        <w:adjustRightInd w:val="0"/>
        <w:snapToGrid w:val="0"/>
        <w:jc w:val="center"/>
        <w:rPr>
          <w:rFonts w:eastAsia="方正小标宋_GBK"/>
          <w:bCs/>
          <w:sz w:val="72"/>
          <w:szCs w:val="72"/>
        </w:rPr>
      </w:pPr>
      <w:r>
        <w:rPr>
          <w:rFonts w:eastAsia="方正小标宋_GBK"/>
          <w:bCs/>
          <w:sz w:val="72"/>
          <w:szCs w:val="72"/>
        </w:rPr>
        <w:t>建设项目环境影响报告表</w:t>
      </w:r>
    </w:p>
    <w:p>
      <w:pPr>
        <w:adjustRightInd w:val="0"/>
        <w:snapToGrid w:val="0"/>
        <w:spacing w:before="249" w:beforeLines="80"/>
        <w:jc w:val="center"/>
        <w:rPr>
          <w:rFonts w:eastAsia="楷体_GB2312"/>
          <w:bCs/>
          <w:sz w:val="48"/>
          <w:szCs w:val="48"/>
        </w:rPr>
      </w:pPr>
      <w:r>
        <w:rPr>
          <w:rFonts w:eastAsia="楷体_GB2312"/>
          <w:bCs/>
          <w:sz w:val="48"/>
          <w:szCs w:val="48"/>
        </w:rPr>
        <w:t>（污染影响类）</w:t>
      </w:r>
    </w:p>
    <w:p>
      <w:pPr>
        <w:adjustRightInd w:val="0"/>
        <w:snapToGrid w:val="0"/>
        <w:spacing w:line="288" w:lineRule="auto"/>
        <w:jc w:val="center"/>
        <w:rPr>
          <w:rFonts w:eastAsia="华文仿宋"/>
          <w:kern w:val="44"/>
          <w:sz w:val="44"/>
          <w:szCs w:val="44"/>
        </w:rPr>
      </w:pPr>
    </w:p>
    <w:p>
      <w:pPr>
        <w:bidi w:val="0"/>
      </w:pPr>
    </w:p>
    <w:p>
      <w:pPr>
        <w:pStyle w:val="7"/>
      </w:pPr>
    </w:p>
    <w:p/>
    <w:p>
      <w:pPr>
        <w:pStyle w:val="7"/>
      </w:pPr>
    </w:p>
    <w:p/>
    <w:p>
      <w:pPr>
        <w:pStyle w:val="7"/>
      </w:pPr>
    </w:p>
    <w:p/>
    <w:p>
      <w:pPr>
        <w:bidi w:val="0"/>
      </w:pPr>
    </w:p>
    <w:p>
      <w:pPr>
        <w:adjustRightInd w:val="0"/>
        <w:snapToGrid w:val="0"/>
        <w:spacing w:line="288" w:lineRule="auto"/>
        <w:ind w:left="1800" w:hanging="1800" w:hangingChars="500"/>
        <w:rPr>
          <w:rFonts w:hint="default" w:eastAsia="仿宋_GB2312"/>
          <w:sz w:val="36"/>
          <w:szCs w:val="36"/>
          <w:u w:val="single"/>
          <w:lang w:val="en-US" w:eastAsia="zh-CN"/>
        </w:rPr>
      </w:pPr>
      <w:r>
        <w:rPr>
          <w:rFonts w:eastAsia="仿宋_GB2312"/>
          <w:sz w:val="36"/>
          <w:szCs w:val="36"/>
        </w:rPr>
        <w:t>项目名称：</w:t>
      </w:r>
      <w:r>
        <w:rPr>
          <w:rFonts w:hint="eastAsia" w:eastAsia="仿宋_GB2312"/>
          <w:color w:val="auto"/>
          <w:sz w:val="36"/>
          <w:szCs w:val="36"/>
          <w:u w:val="single"/>
          <w:lang w:val="en-US" w:eastAsia="zh-CN"/>
        </w:rPr>
        <w:t>高端风电主轴及零部件绿色化智能化升级改造扩产项目</w:t>
      </w:r>
      <w:r>
        <w:rPr>
          <w:rFonts w:eastAsia="仿宋_GB2312"/>
          <w:color w:val="auto"/>
          <w:sz w:val="36"/>
          <w:szCs w:val="36"/>
          <w:u w:val="single"/>
        </w:rPr>
        <w:t xml:space="preserve">    </w:t>
      </w:r>
      <w:r>
        <w:rPr>
          <w:rFonts w:eastAsia="仿宋_GB2312"/>
          <w:sz w:val="36"/>
          <w:szCs w:val="36"/>
          <w:u w:val="single"/>
        </w:rPr>
        <w:t xml:space="preserve">   </w:t>
      </w:r>
      <w:r>
        <w:rPr>
          <w:rFonts w:hint="eastAsia" w:eastAsia="仿宋_GB2312"/>
          <w:sz w:val="36"/>
          <w:szCs w:val="36"/>
          <w:u w:val="single"/>
          <w:lang w:val="en-US" w:eastAsia="zh-CN"/>
        </w:rPr>
        <w:t xml:space="preserve">                 </w:t>
      </w:r>
    </w:p>
    <w:p>
      <w:pPr>
        <w:adjustRightInd w:val="0"/>
        <w:snapToGrid w:val="0"/>
        <w:spacing w:line="288" w:lineRule="auto"/>
        <w:rPr>
          <w:rFonts w:eastAsia="仿宋_GB2312"/>
          <w:sz w:val="36"/>
          <w:szCs w:val="36"/>
          <w:u w:val="thick"/>
        </w:rPr>
      </w:pPr>
      <w:r>
        <w:rPr>
          <w:rFonts w:eastAsia="仿宋_GB2312"/>
          <w:sz w:val="36"/>
          <w:szCs w:val="36"/>
        </w:rPr>
        <w:t>建设单位（盖章）：</w:t>
      </w:r>
      <w:r>
        <w:rPr>
          <w:rFonts w:hint="eastAsia" w:eastAsia="仿宋_GB2312"/>
          <w:sz w:val="36"/>
          <w:szCs w:val="36"/>
          <w:u w:val="single"/>
          <w:lang w:val="en-US" w:eastAsia="zh-CN"/>
        </w:rPr>
        <w:t>如皋市宏茂重型锻压有限公司</w:t>
      </w:r>
      <w:r>
        <w:rPr>
          <w:rFonts w:hint="eastAsia" w:eastAsia="仿宋_GB2312"/>
          <w:sz w:val="36"/>
          <w:szCs w:val="36"/>
          <w:u w:val="single"/>
        </w:rPr>
        <w:t xml:space="preserve">  </w:t>
      </w:r>
    </w:p>
    <w:p>
      <w:pPr>
        <w:adjustRightInd w:val="0"/>
        <w:snapToGrid w:val="0"/>
        <w:spacing w:line="288" w:lineRule="auto"/>
        <w:rPr>
          <w:rFonts w:eastAsia="仿宋_GB2312"/>
          <w:sz w:val="36"/>
          <w:szCs w:val="36"/>
          <w:u w:val="single"/>
        </w:rPr>
      </w:pPr>
      <w:r>
        <w:rPr>
          <w:rFonts w:eastAsia="仿宋_GB2312"/>
          <w:sz w:val="36"/>
          <w:szCs w:val="36"/>
        </w:rPr>
        <w:t>编制日期：</w:t>
      </w:r>
      <w:r>
        <w:rPr>
          <w:rFonts w:eastAsia="仿宋_GB2312"/>
          <w:sz w:val="36"/>
          <w:szCs w:val="36"/>
          <w:u w:val="single"/>
        </w:rPr>
        <w:t xml:space="preserve">          202</w:t>
      </w:r>
      <w:r>
        <w:rPr>
          <w:rFonts w:hint="eastAsia" w:eastAsia="仿宋_GB2312"/>
          <w:sz w:val="36"/>
          <w:szCs w:val="36"/>
          <w:u w:val="single"/>
          <w:lang w:val="en-US" w:eastAsia="zh-CN"/>
        </w:rPr>
        <w:t>5</w:t>
      </w:r>
      <w:r>
        <w:rPr>
          <w:rFonts w:eastAsia="仿宋_GB2312"/>
          <w:sz w:val="36"/>
          <w:szCs w:val="36"/>
          <w:u w:val="single"/>
        </w:rPr>
        <w:t>年</w:t>
      </w:r>
      <w:r>
        <w:rPr>
          <w:rFonts w:hint="eastAsia" w:eastAsia="仿宋_GB2312"/>
          <w:sz w:val="36"/>
          <w:szCs w:val="36"/>
          <w:u w:val="single"/>
          <w:lang w:val="en-US" w:eastAsia="zh-CN"/>
        </w:rPr>
        <w:t>10</w:t>
      </w:r>
      <w:r>
        <w:rPr>
          <w:rFonts w:eastAsia="仿宋_GB2312"/>
          <w:sz w:val="36"/>
          <w:szCs w:val="36"/>
          <w:u w:val="single"/>
        </w:rPr>
        <w:t xml:space="preserve">月   </w:t>
      </w:r>
      <w:r>
        <w:rPr>
          <w:rFonts w:hint="eastAsia" w:eastAsia="仿宋_GB2312"/>
          <w:sz w:val="36"/>
          <w:szCs w:val="36"/>
          <w:u w:val="single"/>
        </w:rPr>
        <w:t xml:space="preserve">      </w:t>
      </w:r>
      <w:r>
        <w:rPr>
          <w:rFonts w:eastAsia="仿宋_GB2312"/>
          <w:sz w:val="36"/>
          <w:szCs w:val="36"/>
          <w:u w:val="single"/>
        </w:rPr>
        <w:t xml:space="preserve">  </w:t>
      </w:r>
      <w:r>
        <w:rPr>
          <w:rFonts w:eastAsia="仿宋_GB2312"/>
          <w:spacing w:val="16"/>
          <w:sz w:val="36"/>
          <w:szCs w:val="36"/>
          <w:u w:val="single"/>
        </w:rPr>
        <w:t xml:space="preserve">  </w:t>
      </w:r>
      <w:r>
        <w:rPr>
          <w:rFonts w:eastAsia="仿宋_GB2312"/>
          <w:sz w:val="36"/>
          <w:szCs w:val="36"/>
          <w:u w:val="single"/>
        </w:rPr>
        <w:t xml:space="preserve">  </w:t>
      </w:r>
    </w:p>
    <w:p>
      <w:pPr>
        <w:bidi w:val="0"/>
      </w:pPr>
      <w:bookmarkStart w:id="0" w:name="_Hlk57884087"/>
    </w:p>
    <w:p>
      <w:pPr>
        <w:bidi w:val="0"/>
      </w:pPr>
    </w:p>
    <w:p>
      <w:pPr>
        <w:bidi w:val="0"/>
      </w:pPr>
    </w:p>
    <w:p>
      <w:pPr>
        <w:bidi w:val="0"/>
      </w:pPr>
    </w:p>
    <w:p>
      <w:pPr>
        <w:bidi w:val="0"/>
      </w:pPr>
    </w:p>
    <w:p>
      <w:pPr>
        <w:bidi w:val="0"/>
      </w:pPr>
    </w:p>
    <w:p>
      <w:pPr>
        <w:pStyle w:val="7"/>
      </w:pPr>
    </w:p>
    <w:p/>
    <w:p/>
    <w:bookmarkEnd w:id="0"/>
    <w:p>
      <w:pPr>
        <w:jc w:val="center"/>
        <w:rPr>
          <w:rFonts w:eastAsia="楷体_GB2312"/>
          <w:sz w:val="36"/>
          <w:szCs w:val="36"/>
        </w:rPr>
      </w:pPr>
      <w:r>
        <w:rPr>
          <w:rFonts w:eastAsia="楷体_GB2312"/>
          <w:sz w:val="36"/>
          <w:szCs w:val="36"/>
        </w:rPr>
        <w:t>中华人民共和国生态环境部制</w:t>
      </w:r>
    </w:p>
    <w:p>
      <w:pPr>
        <w:spacing w:before="156" w:beforeLines="50" w:after="156" w:afterLines="50"/>
        <w:jc w:val="both"/>
        <w:outlineLvl w:val="0"/>
        <w:rPr>
          <w:rFonts w:eastAsia="黑体"/>
          <w:sz w:val="30"/>
          <w:szCs w:val="30"/>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outlineLvl w:val="9"/>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附件：</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outlineLvl w:val="9"/>
        <w:rPr>
          <w:rFonts w:hint="default" w:ascii="Times New Roman" w:hAnsi="Times New Roman" w:eastAsia="宋体" w:cs="Times New Roman"/>
          <w:color w:val="auto"/>
          <w:sz w:val="24"/>
          <w:highlight w:val="none"/>
          <w:lang w:val="en-US"/>
        </w:rPr>
      </w:pPr>
      <w:r>
        <w:rPr>
          <w:rFonts w:hint="default" w:ascii="Times New Roman" w:hAnsi="Times New Roman" w:eastAsia="宋体" w:cs="Times New Roman"/>
          <w:color w:val="auto"/>
          <w:sz w:val="24"/>
          <w:highlight w:val="none"/>
        </w:rPr>
        <w:t xml:space="preserve">附件1 </w:t>
      </w:r>
      <w:r>
        <w:rPr>
          <w:rFonts w:hint="default" w:ascii="Times New Roman" w:hAnsi="Times New Roman" w:eastAsia="宋体" w:cs="Times New Roman"/>
          <w:color w:val="auto"/>
          <w:sz w:val="24"/>
          <w:highlight w:val="none"/>
          <w:lang w:val="en-US" w:eastAsia="zh-CN"/>
        </w:rPr>
        <w:t xml:space="preserve"> 环评合同</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outlineLvl w:val="9"/>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 xml:space="preserve">附件2 </w:t>
      </w:r>
      <w:r>
        <w:rPr>
          <w:rFonts w:hint="default" w:ascii="Times New Roman" w:hAnsi="Times New Roman" w:eastAsia="宋体" w:cs="Times New Roman"/>
          <w:color w:val="auto"/>
          <w:sz w:val="24"/>
          <w:highlight w:val="none"/>
          <w:lang w:val="en-US" w:eastAsia="zh-CN"/>
        </w:rPr>
        <w:t xml:space="preserve"> 委托书</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outlineLvl w:val="9"/>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附件</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 xml:space="preserve"> </w:t>
      </w:r>
      <w:r>
        <w:rPr>
          <w:rFonts w:hint="default" w:ascii="Times New Roman" w:hAnsi="Times New Roman" w:eastAsia="宋体" w:cs="Times New Roman"/>
          <w:color w:val="auto"/>
          <w:sz w:val="24"/>
          <w:highlight w:val="none"/>
          <w:lang w:val="en-US" w:eastAsia="zh-CN"/>
        </w:rPr>
        <w:t xml:space="preserve"> 备案证</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outlineLvl w:val="9"/>
        <w:rPr>
          <w:rFonts w:hint="default" w:ascii="Times New Roman" w:hAnsi="Times New Roman" w:eastAsia="宋体" w:cs="Times New Roman"/>
          <w:color w:val="auto"/>
          <w:lang w:val="en-US"/>
        </w:rPr>
      </w:pPr>
      <w:r>
        <w:rPr>
          <w:rFonts w:hint="default" w:ascii="Times New Roman" w:hAnsi="Times New Roman" w:eastAsia="宋体" w:cs="Times New Roman"/>
          <w:color w:val="auto"/>
          <w:sz w:val="24"/>
          <w:highlight w:val="none"/>
        </w:rPr>
        <w:t>附</w:t>
      </w:r>
      <w:r>
        <w:rPr>
          <w:rFonts w:hint="default" w:ascii="Times New Roman" w:hAnsi="Times New Roman" w:eastAsia="宋体" w:cs="Times New Roman"/>
          <w:color w:val="auto"/>
          <w:sz w:val="24"/>
          <w:highlight w:val="none"/>
          <w:lang w:val="en-US" w:eastAsia="zh-CN"/>
        </w:rPr>
        <w:t>件4  营业执照</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outlineLvl w:val="9"/>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附</w:t>
      </w:r>
      <w:r>
        <w:rPr>
          <w:rFonts w:hint="default" w:ascii="Times New Roman" w:hAnsi="Times New Roman" w:eastAsia="宋体" w:cs="Times New Roman"/>
          <w:color w:val="auto"/>
          <w:sz w:val="24"/>
          <w:highlight w:val="none"/>
          <w:lang w:val="en-US" w:eastAsia="zh-CN"/>
        </w:rPr>
        <w:t>件5  法人身份证</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outlineLvl w:val="9"/>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 xml:space="preserve">附件6  </w:t>
      </w:r>
      <w:r>
        <w:rPr>
          <w:rFonts w:hint="eastAsia" w:ascii="Times New Roman" w:hAnsi="Times New Roman" w:eastAsia="宋体" w:cs="Times New Roman"/>
          <w:color w:val="auto"/>
          <w:sz w:val="24"/>
          <w:highlight w:val="none"/>
          <w:lang w:val="en-US" w:eastAsia="zh-CN"/>
        </w:rPr>
        <w:t>房产、土地转让协议</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outlineLvl w:val="9"/>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 xml:space="preserve">附件7 </w:t>
      </w:r>
      <w:r>
        <w:rPr>
          <w:rFonts w:hint="eastAsia" w:ascii="Times New Roman" w:hAnsi="Times New Roman" w:eastAsia="宋体" w:cs="Times New Roman"/>
          <w:color w:val="auto"/>
          <w:sz w:val="24"/>
          <w:highlight w:val="none"/>
          <w:lang w:val="en-US" w:eastAsia="zh-CN"/>
        </w:rPr>
        <w:t xml:space="preserve"> </w:t>
      </w:r>
      <w:r>
        <w:rPr>
          <w:rFonts w:hint="default" w:ascii="Times New Roman" w:hAnsi="Times New Roman" w:eastAsia="宋体" w:cs="Times New Roman"/>
          <w:color w:val="auto"/>
          <w:sz w:val="24"/>
          <w:highlight w:val="none"/>
          <w:lang w:val="zh-CN"/>
        </w:rPr>
        <w:t>土地证</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outlineLvl w:val="9"/>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 xml:space="preserve">附件8 </w:t>
      </w:r>
      <w:r>
        <w:rPr>
          <w:rFonts w:hint="eastAsia" w:ascii="Times New Roman" w:hAnsi="Times New Roman" w:eastAsia="宋体" w:cs="Times New Roman"/>
          <w:color w:val="auto"/>
          <w:sz w:val="24"/>
          <w:highlight w:val="none"/>
          <w:lang w:val="en-US" w:eastAsia="zh-CN"/>
        </w:rPr>
        <w:t xml:space="preserve"> </w:t>
      </w:r>
      <w:r>
        <w:rPr>
          <w:rFonts w:hint="default" w:ascii="Times New Roman" w:hAnsi="Times New Roman" w:eastAsia="宋体" w:cs="Times New Roman"/>
          <w:color w:val="auto"/>
          <w:sz w:val="24"/>
          <w:highlight w:val="none"/>
          <w:lang w:val="en-US" w:eastAsia="zh-CN"/>
        </w:rPr>
        <w:t>现有环评批复</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outlineLvl w:val="9"/>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 xml:space="preserve">附件9 </w:t>
      </w:r>
      <w:r>
        <w:rPr>
          <w:rFonts w:hint="eastAsia" w:ascii="Times New Roman" w:hAnsi="Times New Roman" w:eastAsia="宋体" w:cs="Times New Roman"/>
          <w:color w:val="auto"/>
          <w:sz w:val="24"/>
          <w:highlight w:val="none"/>
          <w:lang w:val="en-US" w:eastAsia="zh-CN"/>
        </w:rPr>
        <w:t xml:space="preserve"> </w:t>
      </w:r>
      <w:r>
        <w:rPr>
          <w:rFonts w:hint="default" w:ascii="Times New Roman" w:hAnsi="Times New Roman" w:eastAsia="宋体" w:cs="Times New Roman"/>
          <w:color w:val="auto"/>
          <w:sz w:val="24"/>
          <w:highlight w:val="none"/>
          <w:lang w:val="en-US" w:eastAsia="zh-CN"/>
        </w:rPr>
        <w:t>现有环评验收申请表</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outlineLvl w:val="9"/>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附件1</w:t>
      </w:r>
      <w:r>
        <w:rPr>
          <w:rFonts w:hint="eastAsia" w:ascii="Times New Roman" w:hAnsi="Times New Roman" w:eastAsia="宋体" w:cs="Times New Roman"/>
          <w:color w:val="auto"/>
          <w:sz w:val="24"/>
          <w:highlight w:val="none"/>
          <w:lang w:val="en-US" w:eastAsia="zh-CN"/>
        </w:rPr>
        <w:t>0</w:t>
      </w:r>
      <w:r>
        <w:rPr>
          <w:rFonts w:hint="default" w:ascii="Times New Roman" w:hAnsi="Times New Roman" w:eastAsia="宋体" w:cs="Times New Roman"/>
          <w:color w:val="auto"/>
          <w:sz w:val="24"/>
          <w:highlight w:val="none"/>
          <w:lang w:val="en-US" w:eastAsia="zh-CN"/>
        </w:rPr>
        <w:t xml:space="preserve"> </w:t>
      </w:r>
      <w:r>
        <w:rPr>
          <w:rFonts w:hint="eastAsia" w:ascii="Times New Roman" w:hAnsi="Times New Roman" w:eastAsia="宋体" w:cs="Times New Roman"/>
          <w:color w:val="auto"/>
          <w:sz w:val="24"/>
          <w:highlight w:val="none"/>
          <w:lang w:val="en-US" w:eastAsia="zh-CN"/>
        </w:rPr>
        <w:t>江苏省生态环境分区管控</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outlineLvl w:val="9"/>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附件1</w:t>
      </w:r>
      <w:r>
        <w:rPr>
          <w:rFonts w:hint="eastAsia" w:ascii="Times New Roman" w:hAnsi="Times New Roman" w:eastAsia="宋体" w:cs="Times New Roman"/>
          <w:color w:val="auto"/>
          <w:sz w:val="24"/>
          <w:highlight w:val="none"/>
          <w:lang w:val="en-US" w:eastAsia="zh-CN"/>
        </w:rPr>
        <w:t>1 园区规划审查意见</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outlineLvl w:val="9"/>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附件12 南通剑翔铸造有限公司大气环境本底监测报告</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outlineLvl w:val="9"/>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附件1</w:t>
      </w:r>
      <w:r>
        <w:rPr>
          <w:rFonts w:hint="eastAsia" w:cs="Times New Roman"/>
          <w:color w:val="auto"/>
          <w:sz w:val="24"/>
          <w:highlight w:val="none"/>
          <w:lang w:val="en-US" w:eastAsia="zh-CN"/>
        </w:rPr>
        <w:t>3</w:t>
      </w:r>
      <w:r>
        <w:rPr>
          <w:rFonts w:hint="default" w:ascii="Times New Roman" w:hAnsi="Times New Roman" w:eastAsia="宋体" w:cs="Times New Roman"/>
          <w:color w:val="auto"/>
          <w:sz w:val="24"/>
          <w:highlight w:val="none"/>
          <w:lang w:val="en-US" w:eastAsia="zh-CN"/>
        </w:rPr>
        <w:t xml:space="preserve"> </w:t>
      </w:r>
      <w:r>
        <w:rPr>
          <w:rFonts w:hint="eastAsia" w:ascii="Times New Roman" w:hAnsi="Times New Roman" w:eastAsia="宋体" w:cs="Times New Roman"/>
          <w:color w:val="auto"/>
          <w:sz w:val="24"/>
          <w:highlight w:val="none"/>
          <w:lang w:val="en-US" w:eastAsia="zh-CN"/>
        </w:rPr>
        <w:t>依托证明</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outlineLvl w:val="9"/>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附件1</w:t>
      </w:r>
      <w:r>
        <w:rPr>
          <w:rFonts w:hint="eastAsia" w:cs="Times New Roman"/>
          <w:color w:val="auto"/>
          <w:sz w:val="24"/>
          <w:highlight w:val="none"/>
          <w:lang w:val="en-US" w:eastAsia="zh-CN"/>
        </w:rPr>
        <w:t>4</w:t>
      </w:r>
      <w:r>
        <w:rPr>
          <w:rFonts w:hint="eastAsia" w:ascii="Times New Roman" w:hAnsi="Times New Roman" w:eastAsia="宋体" w:cs="Times New Roman"/>
          <w:color w:val="auto"/>
          <w:sz w:val="24"/>
          <w:highlight w:val="none"/>
          <w:lang w:val="en-US" w:eastAsia="zh-CN"/>
        </w:rPr>
        <w:t xml:space="preserve"> 全本公示</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outlineLvl w:val="9"/>
        <w:rPr>
          <w:rFonts w:hint="default"/>
          <w:color w:val="auto"/>
          <w:lang w:val="en-US" w:eastAsia="zh-CN"/>
        </w:rPr>
      </w:pPr>
      <w:r>
        <w:rPr>
          <w:rFonts w:hint="eastAsia" w:ascii="Times New Roman" w:hAnsi="Times New Roman" w:eastAsia="宋体" w:cs="Times New Roman"/>
          <w:color w:val="auto"/>
          <w:sz w:val="24"/>
          <w:highlight w:val="none"/>
          <w:lang w:val="en-US" w:eastAsia="zh-CN"/>
        </w:rPr>
        <w:t>附件1</w:t>
      </w:r>
      <w:r>
        <w:rPr>
          <w:rFonts w:hint="eastAsia" w:cs="Times New Roman"/>
          <w:color w:val="auto"/>
          <w:sz w:val="24"/>
          <w:highlight w:val="none"/>
          <w:lang w:val="en-US" w:eastAsia="zh-CN"/>
        </w:rPr>
        <w:t>5</w:t>
      </w:r>
      <w:r>
        <w:rPr>
          <w:rFonts w:hint="eastAsia" w:ascii="Times New Roman" w:hAnsi="Times New Roman" w:eastAsia="宋体" w:cs="Times New Roman"/>
          <w:color w:val="auto"/>
          <w:sz w:val="24"/>
          <w:highlight w:val="none"/>
          <w:lang w:val="en-US" w:eastAsia="zh-CN"/>
        </w:rPr>
        <w:t xml:space="preserve"> 宏茂铸钢环评关于应急事故池使用量相应内容页的扫描件</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outlineLvl w:val="9"/>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附件16 现场勘察意见</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outlineLvl w:val="9"/>
        <w:rPr>
          <w:rFonts w:hint="eastAsia"/>
          <w:color w:val="auto"/>
          <w:lang w:val="en-US" w:eastAsia="zh-CN"/>
        </w:rPr>
      </w:pPr>
      <w:r>
        <w:rPr>
          <w:rFonts w:hint="eastAsia" w:ascii="Times New Roman" w:hAnsi="Times New Roman" w:eastAsia="宋体" w:cs="Times New Roman"/>
          <w:color w:val="auto"/>
          <w:sz w:val="24"/>
          <w:highlight w:val="none"/>
          <w:lang w:val="en-US" w:eastAsia="zh-CN"/>
        </w:rPr>
        <w:t>附件1</w:t>
      </w:r>
      <w:r>
        <w:rPr>
          <w:rFonts w:hint="eastAsia" w:cs="Times New Roman"/>
          <w:color w:val="auto"/>
          <w:sz w:val="24"/>
          <w:highlight w:val="none"/>
          <w:lang w:val="en-US" w:eastAsia="zh-CN"/>
        </w:rPr>
        <w:t>7</w:t>
      </w:r>
      <w:r>
        <w:rPr>
          <w:rFonts w:hint="eastAsia" w:ascii="Times New Roman" w:hAnsi="Times New Roman" w:eastAsia="宋体" w:cs="Times New Roman"/>
          <w:color w:val="auto"/>
          <w:sz w:val="24"/>
          <w:highlight w:val="none"/>
          <w:lang w:val="en-US" w:eastAsia="zh-CN"/>
        </w:rPr>
        <w:t xml:space="preserve"> 承诺书</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outlineLvl w:val="9"/>
        <w:rPr>
          <w:rFonts w:hint="default"/>
          <w:color w:val="auto"/>
          <w:lang w:val="en-US" w:eastAsia="zh-CN"/>
        </w:rPr>
      </w:pPr>
      <w:r>
        <w:rPr>
          <w:rFonts w:hint="eastAsia" w:ascii="Times New Roman" w:hAnsi="Times New Roman" w:eastAsia="宋体" w:cs="Times New Roman"/>
          <w:color w:val="auto"/>
          <w:sz w:val="24"/>
          <w:highlight w:val="none"/>
          <w:lang w:val="en-US" w:eastAsia="zh-CN"/>
        </w:rPr>
        <w:t>附件1</w:t>
      </w:r>
      <w:r>
        <w:rPr>
          <w:rFonts w:hint="eastAsia" w:cs="Times New Roman"/>
          <w:color w:val="auto"/>
          <w:sz w:val="24"/>
          <w:highlight w:val="none"/>
          <w:lang w:val="en-US" w:eastAsia="zh-CN"/>
        </w:rPr>
        <w:t>8</w:t>
      </w:r>
      <w:r>
        <w:rPr>
          <w:rFonts w:hint="eastAsia" w:ascii="Times New Roman" w:hAnsi="Times New Roman" w:eastAsia="宋体" w:cs="Times New Roman"/>
          <w:color w:val="auto"/>
          <w:sz w:val="24"/>
          <w:highlight w:val="none"/>
          <w:lang w:val="en-US" w:eastAsia="zh-CN"/>
        </w:rPr>
        <w:t xml:space="preserve"> 环评审批办理委托书</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outlineLvl w:val="9"/>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附件1</w:t>
      </w:r>
      <w:r>
        <w:rPr>
          <w:rFonts w:hint="eastAsia" w:cs="Times New Roman"/>
          <w:color w:val="auto"/>
          <w:sz w:val="24"/>
          <w:highlight w:val="none"/>
          <w:lang w:val="en-US" w:eastAsia="zh-CN"/>
        </w:rPr>
        <w:t>9</w:t>
      </w:r>
      <w:r>
        <w:rPr>
          <w:rFonts w:hint="eastAsia" w:ascii="Times New Roman" w:hAnsi="Times New Roman" w:eastAsia="宋体" w:cs="Times New Roman"/>
          <w:color w:val="auto"/>
          <w:sz w:val="24"/>
          <w:highlight w:val="none"/>
          <w:lang w:val="en-US" w:eastAsia="zh-CN"/>
        </w:rPr>
        <w:t xml:space="preserve"> 确认函</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outlineLvl w:val="9"/>
        <w:rPr>
          <w:rFonts w:hint="default"/>
          <w:color w:val="auto"/>
          <w:highlight w:val="none"/>
          <w:lang w:val="en-US" w:eastAsia="zh-CN"/>
        </w:rPr>
      </w:pPr>
      <w:r>
        <w:rPr>
          <w:rFonts w:hint="eastAsia" w:ascii="Times New Roman" w:hAnsi="Times New Roman" w:eastAsia="宋体" w:cs="Times New Roman"/>
          <w:color w:val="auto"/>
          <w:sz w:val="24"/>
          <w:highlight w:val="none"/>
          <w:lang w:val="en-US" w:eastAsia="zh-CN"/>
        </w:rPr>
        <w:t>附件</w:t>
      </w:r>
      <w:r>
        <w:rPr>
          <w:rFonts w:hint="eastAsia" w:cs="Times New Roman"/>
          <w:color w:val="auto"/>
          <w:sz w:val="24"/>
          <w:highlight w:val="none"/>
          <w:lang w:val="en-US" w:eastAsia="zh-CN"/>
        </w:rPr>
        <w:t>20</w:t>
      </w:r>
      <w:r>
        <w:rPr>
          <w:rFonts w:hint="eastAsia" w:ascii="Times New Roman" w:hAnsi="Times New Roman" w:eastAsia="宋体" w:cs="Times New Roman"/>
          <w:color w:val="auto"/>
          <w:sz w:val="24"/>
          <w:highlight w:val="none"/>
          <w:lang w:val="en-US" w:eastAsia="zh-CN"/>
        </w:rPr>
        <w:t xml:space="preserve"> 资质</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附图：</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附图1  </w:t>
      </w:r>
      <w:r>
        <w:rPr>
          <w:rFonts w:hint="default" w:ascii="Times New Roman" w:hAnsi="Times New Roman" w:eastAsia="宋体" w:cs="Times New Roman"/>
          <w:color w:val="auto"/>
          <w:sz w:val="24"/>
          <w:highlight w:val="none"/>
          <w:lang w:val="en-US" w:eastAsia="zh-CN"/>
        </w:rPr>
        <w:t>建设项目</w:t>
      </w:r>
      <w:r>
        <w:rPr>
          <w:rFonts w:hint="default" w:ascii="Times New Roman" w:hAnsi="Times New Roman" w:eastAsia="宋体" w:cs="Times New Roman"/>
          <w:color w:val="auto"/>
          <w:sz w:val="24"/>
          <w:highlight w:val="none"/>
        </w:rPr>
        <w:t>地理位置图</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附图2  </w:t>
      </w:r>
      <w:r>
        <w:rPr>
          <w:rFonts w:hint="default" w:ascii="Times New Roman" w:hAnsi="Times New Roman" w:eastAsia="宋体" w:cs="Times New Roman"/>
          <w:color w:val="auto"/>
          <w:sz w:val="24"/>
          <w:highlight w:val="none"/>
          <w:lang w:val="en-US" w:eastAsia="zh-CN"/>
        </w:rPr>
        <w:t>建设项目周边概况图</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eastAsia="宋体"/>
          <w:color w:val="auto"/>
          <w:lang w:val="en-US" w:eastAsia="zh-CN"/>
        </w:rPr>
      </w:pPr>
      <w:r>
        <w:rPr>
          <w:rFonts w:hint="default" w:ascii="Times New Roman" w:hAnsi="Times New Roman" w:eastAsia="宋体" w:cs="Times New Roman"/>
          <w:color w:val="auto"/>
          <w:sz w:val="24"/>
          <w:highlight w:val="none"/>
        </w:rPr>
        <w:t>附图</w:t>
      </w:r>
      <w:r>
        <w:rPr>
          <w:rFonts w:hint="eastAsia"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 xml:space="preserve">  </w:t>
      </w:r>
      <w:r>
        <w:rPr>
          <w:rFonts w:hint="eastAsia" w:ascii="Times New Roman" w:hAnsi="Times New Roman" w:eastAsia="宋体" w:cs="Times New Roman"/>
          <w:color w:val="auto"/>
          <w:sz w:val="24"/>
          <w:highlight w:val="none"/>
          <w:lang w:val="en-US" w:eastAsia="zh-CN"/>
        </w:rPr>
        <w:t>建设项目平面布置图</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附</w:t>
      </w:r>
      <w:r>
        <w:rPr>
          <w:rFonts w:hint="default" w:ascii="Times New Roman" w:hAnsi="Times New Roman" w:eastAsia="宋体" w:cs="Times New Roman"/>
          <w:color w:val="auto"/>
          <w:sz w:val="24"/>
          <w:highlight w:val="none"/>
          <w:lang w:val="en-US" w:eastAsia="zh-CN"/>
        </w:rPr>
        <w:t>图</w:t>
      </w:r>
      <w:r>
        <w:rPr>
          <w:rFonts w:hint="eastAsia"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lang w:val="en-US" w:eastAsia="zh-CN"/>
        </w:rPr>
        <w:t xml:space="preserve">  </w:t>
      </w:r>
      <w:r>
        <w:rPr>
          <w:rFonts w:hint="eastAsia" w:ascii="Times New Roman" w:hAnsi="Times New Roman" w:eastAsia="宋体" w:cs="Times New Roman"/>
          <w:color w:val="auto"/>
          <w:sz w:val="24"/>
          <w:highlight w:val="none"/>
          <w:lang w:val="en-US" w:eastAsia="zh-CN"/>
        </w:rPr>
        <w:t>建设</w:t>
      </w:r>
      <w:r>
        <w:rPr>
          <w:rFonts w:hint="default" w:ascii="Times New Roman" w:hAnsi="Times New Roman" w:eastAsia="宋体" w:cs="Times New Roman"/>
          <w:color w:val="auto"/>
          <w:sz w:val="24"/>
          <w:highlight w:val="none"/>
          <w:lang w:val="en-US" w:eastAsia="zh-CN"/>
        </w:rPr>
        <w:t>项目与如皋港工业园区位置关系图</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附图</w:t>
      </w:r>
      <w:r>
        <w:rPr>
          <w:rFonts w:hint="eastAsia"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lang w:val="en-US" w:eastAsia="zh-CN"/>
        </w:rPr>
        <w:t xml:space="preserve">  </w:t>
      </w:r>
      <w:r>
        <w:rPr>
          <w:rFonts w:hint="eastAsia" w:ascii="Times New Roman" w:hAnsi="Times New Roman" w:eastAsia="宋体" w:cs="Times New Roman"/>
          <w:color w:val="auto"/>
          <w:sz w:val="24"/>
          <w:highlight w:val="none"/>
          <w:lang w:val="en-US" w:eastAsia="zh-CN"/>
        </w:rPr>
        <w:t>建设</w:t>
      </w:r>
      <w:r>
        <w:rPr>
          <w:rFonts w:hint="default" w:ascii="Times New Roman" w:hAnsi="Times New Roman" w:eastAsia="宋体" w:cs="Times New Roman"/>
          <w:color w:val="auto"/>
          <w:sz w:val="24"/>
          <w:highlight w:val="none"/>
          <w:lang w:val="en-US" w:eastAsia="zh-CN"/>
        </w:rPr>
        <w:t>项目与江苏省生态环境分区管控动态位置关系图</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附图</w:t>
      </w:r>
      <w:r>
        <w:rPr>
          <w:rFonts w:hint="eastAsia" w:ascii="Times New Roman" w:hAnsi="Times New Roman" w:eastAsia="宋体" w:cs="Times New Roman"/>
          <w:color w:val="auto"/>
          <w:sz w:val="24"/>
          <w:highlight w:val="none"/>
          <w:lang w:val="en-US" w:eastAsia="zh-CN"/>
        </w:rPr>
        <w:t>6</w:t>
      </w:r>
      <w:r>
        <w:rPr>
          <w:rFonts w:hint="default" w:ascii="Times New Roman" w:hAnsi="Times New Roman" w:eastAsia="宋体" w:cs="Times New Roman"/>
          <w:color w:val="auto"/>
          <w:sz w:val="24"/>
          <w:highlight w:val="none"/>
          <w:lang w:val="en-US" w:eastAsia="zh-CN"/>
        </w:rPr>
        <w:t xml:space="preserve">  </w:t>
      </w:r>
      <w:r>
        <w:rPr>
          <w:rFonts w:hint="eastAsia" w:ascii="Times New Roman" w:hAnsi="Times New Roman" w:eastAsia="宋体" w:cs="Times New Roman"/>
          <w:color w:val="auto"/>
          <w:sz w:val="24"/>
          <w:highlight w:val="none"/>
          <w:lang w:val="en-US" w:eastAsia="zh-CN"/>
        </w:rPr>
        <w:t>建设项目与如皋市国土空间总体规划关系图</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附图7  建设项目与宏茂铸钢位置关系图</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 xml:space="preserve">附图8 </w:t>
      </w:r>
      <w:r>
        <w:rPr>
          <w:rFonts w:hint="eastAsia" w:ascii="Times New Roman" w:hAnsi="Times New Roman" w:eastAsia="宋体" w:cs="Times New Roman"/>
          <w:color w:val="auto"/>
          <w:sz w:val="24"/>
          <w:highlight w:val="none"/>
          <w:lang w:val="en-US" w:eastAsia="zh-CN"/>
        </w:rPr>
        <w:t xml:space="preserve"> </w:t>
      </w:r>
      <w:r>
        <w:rPr>
          <w:rFonts w:hint="default" w:ascii="Times New Roman" w:hAnsi="Times New Roman" w:eastAsia="宋体" w:cs="Times New Roman"/>
          <w:color w:val="auto"/>
          <w:sz w:val="24"/>
          <w:highlight w:val="none"/>
          <w:lang w:val="en-US" w:eastAsia="zh-CN"/>
        </w:rPr>
        <w:t>建设项目与如皋市生态空间管控区域分布位置图</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color w:val="auto"/>
          <w:lang w:val="en-US" w:eastAsia="zh-CN"/>
        </w:rPr>
      </w:pPr>
      <w:r>
        <w:rPr>
          <w:rFonts w:hint="default" w:ascii="Times New Roman" w:hAnsi="Times New Roman" w:eastAsia="宋体" w:cs="Times New Roman"/>
          <w:color w:val="auto"/>
          <w:sz w:val="24"/>
          <w:highlight w:val="none"/>
          <w:lang w:val="en-US" w:eastAsia="zh-CN"/>
        </w:rPr>
        <w:t xml:space="preserve">附图9 </w:t>
      </w:r>
      <w:r>
        <w:rPr>
          <w:rFonts w:hint="eastAsia" w:ascii="Times New Roman" w:hAnsi="Times New Roman" w:eastAsia="宋体" w:cs="Times New Roman"/>
          <w:color w:val="auto"/>
          <w:sz w:val="24"/>
          <w:highlight w:val="none"/>
          <w:lang w:val="en-US" w:eastAsia="zh-CN"/>
        </w:rPr>
        <w:t xml:space="preserve"> </w:t>
      </w:r>
      <w:r>
        <w:rPr>
          <w:rFonts w:hint="default" w:ascii="Times New Roman" w:hAnsi="Times New Roman" w:eastAsia="宋体" w:cs="Times New Roman"/>
          <w:color w:val="auto"/>
          <w:sz w:val="24"/>
          <w:highlight w:val="none"/>
          <w:lang w:val="en-US" w:eastAsia="zh-CN"/>
        </w:rPr>
        <w:t>建设项目周边水系图</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 xml:space="preserve">附图10 </w:t>
      </w:r>
      <w:r>
        <w:rPr>
          <w:rFonts w:hint="eastAsia" w:ascii="Times New Roman" w:hAnsi="Times New Roman" w:eastAsia="宋体" w:cs="Times New Roman"/>
          <w:color w:val="auto"/>
          <w:sz w:val="24"/>
          <w:highlight w:val="none"/>
          <w:lang w:val="en-US" w:eastAsia="zh-CN"/>
        </w:rPr>
        <w:t xml:space="preserve"> </w:t>
      </w:r>
      <w:r>
        <w:rPr>
          <w:rFonts w:hint="default" w:ascii="Times New Roman" w:hAnsi="Times New Roman" w:eastAsia="宋体" w:cs="Times New Roman"/>
          <w:color w:val="auto"/>
          <w:sz w:val="24"/>
          <w:highlight w:val="none"/>
          <w:lang w:val="en-US" w:eastAsia="zh-CN"/>
        </w:rPr>
        <w:t>建设项目与长江如皋段刀鲚国家级水产种质资源保护区位置关系图</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 xml:space="preserve">附图11 </w:t>
      </w:r>
      <w:r>
        <w:rPr>
          <w:rFonts w:hint="eastAsia" w:ascii="Times New Roman" w:hAnsi="Times New Roman" w:eastAsia="宋体" w:cs="Times New Roman"/>
          <w:color w:val="auto"/>
          <w:sz w:val="24"/>
          <w:highlight w:val="none"/>
          <w:lang w:val="en-US" w:eastAsia="zh-CN"/>
        </w:rPr>
        <w:t xml:space="preserve"> </w:t>
      </w:r>
      <w:r>
        <w:rPr>
          <w:rFonts w:hint="default" w:ascii="Times New Roman" w:hAnsi="Times New Roman" w:eastAsia="宋体" w:cs="Times New Roman"/>
          <w:color w:val="auto"/>
          <w:sz w:val="24"/>
          <w:highlight w:val="none"/>
          <w:lang w:val="en-US" w:eastAsia="zh-CN"/>
        </w:rPr>
        <w:t>建设项目大气现状监测点位</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附图12</w:t>
      </w:r>
      <w:r>
        <w:rPr>
          <w:rFonts w:hint="eastAsia" w:ascii="Times New Roman" w:hAnsi="Times New Roman" w:eastAsia="宋体" w:cs="Times New Roman"/>
          <w:color w:val="auto"/>
          <w:sz w:val="24"/>
          <w:highlight w:val="none"/>
          <w:lang w:val="en-US" w:eastAsia="zh-CN"/>
        </w:rPr>
        <w:t xml:space="preserve"> </w:t>
      </w:r>
      <w:r>
        <w:rPr>
          <w:rFonts w:hint="default" w:ascii="Times New Roman" w:hAnsi="Times New Roman" w:eastAsia="宋体" w:cs="Times New Roman"/>
          <w:color w:val="auto"/>
          <w:sz w:val="24"/>
          <w:highlight w:val="none"/>
          <w:lang w:val="en-US" w:eastAsia="zh-CN"/>
        </w:rPr>
        <w:t xml:space="preserve"> 园区污水管网规划图</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color w:val="auto"/>
          <w:sz w:val="24"/>
          <w:highlight w:val="none"/>
          <w:lang w:val="en-US" w:eastAsia="zh-CN"/>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hint="default" w:ascii="Times New Roman" w:hAnsi="Times New Roman" w:eastAsia="宋体" w:cs="Times New Roman"/>
          <w:color w:val="auto"/>
          <w:sz w:val="24"/>
          <w:highlight w:val="none"/>
          <w:lang w:val="en-US" w:eastAsia="zh-CN"/>
        </w:rPr>
        <w:t>附图13</w:t>
      </w:r>
      <w:r>
        <w:rPr>
          <w:rFonts w:hint="eastAsia" w:ascii="Times New Roman" w:hAnsi="Times New Roman" w:eastAsia="宋体" w:cs="Times New Roman"/>
          <w:color w:val="auto"/>
          <w:sz w:val="24"/>
          <w:highlight w:val="none"/>
          <w:lang w:val="en-US" w:eastAsia="zh-CN"/>
        </w:rPr>
        <w:t xml:space="preserve"> </w:t>
      </w:r>
      <w:r>
        <w:rPr>
          <w:rFonts w:hint="default" w:ascii="Times New Roman" w:hAnsi="Times New Roman" w:eastAsia="宋体" w:cs="Times New Roman"/>
          <w:color w:val="auto"/>
          <w:sz w:val="24"/>
          <w:highlight w:val="none"/>
          <w:lang w:val="en-US" w:eastAsia="zh-CN"/>
        </w:rPr>
        <w:t xml:space="preserve"> 园区燃气管网分布图</w:t>
      </w:r>
    </w:p>
    <w:p>
      <w:pPr>
        <w:spacing w:before="156" w:beforeLines="50" w:after="156" w:afterLines="50"/>
        <w:jc w:val="center"/>
        <w:outlineLvl w:val="0"/>
        <w:rPr>
          <w:rFonts w:eastAsia="黑体"/>
          <w:sz w:val="30"/>
          <w:szCs w:val="30"/>
        </w:rPr>
      </w:pPr>
      <w:r>
        <w:rPr>
          <w:rFonts w:eastAsia="黑体"/>
          <w:sz w:val="30"/>
          <w:szCs w:val="30"/>
        </w:rPr>
        <w:t>一、建设项目基本情况</w:t>
      </w:r>
    </w:p>
    <w:tbl>
      <w:tblPr>
        <w:tblStyle w:val="21"/>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623"/>
        <w:gridCol w:w="2175"/>
        <w:gridCol w:w="221"/>
        <w:gridCol w:w="1804"/>
        <w:gridCol w:w="304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623" w:type="dxa"/>
            <w:tcMar>
              <w:top w:w="16" w:type="dxa"/>
              <w:left w:w="16" w:type="dxa"/>
              <w:right w:w="16" w:type="dxa"/>
            </w:tcMar>
            <w:vAlign w:val="center"/>
          </w:tcPr>
          <w:p>
            <w:pPr>
              <w:adjustRightInd w:val="0"/>
              <w:snapToGrid w:val="0"/>
              <w:jc w:val="center"/>
              <w:rPr>
                <w:szCs w:val="21"/>
              </w:rPr>
            </w:pPr>
            <w:r>
              <w:rPr>
                <w:szCs w:val="21"/>
              </w:rPr>
              <w:t>建设项目名称</w:t>
            </w:r>
          </w:p>
        </w:tc>
        <w:tc>
          <w:tcPr>
            <w:tcW w:w="7247" w:type="dxa"/>
            <w:gridSpan w:val="4"/>
            <w:vAlign w:val="center"/>
          </w:tcPr>
          <w:p>
            <w:pPr>
              <w:adjustRightInd w:val="0"/>
              <w:snapToGrid w:val="0"/>
              <w:jc w:val="center"/>
              <w:rPr>
                <w:rFonts w:hint="eastAsia"/>
                <w:color w:val="auto"/>
                <w:szCs w:val="21"/>
                <w:lang w:val="en-US" w:eastAsia="zh-CN"/>
              </w:rPr>
            </w:pPr>
            <w:r>
              <w:rPr>
                <w:rFonts w:hint="eastAsia"/>
                <w:color w:val="auto"/>
                <w:szCs w:val="21"/>
                <w:lang w:val="en-US" w:eastAsia="zh-CN"/>
              </w:rPr>
              <w:t>高端风电主轴及零部件绿色化智能化升级改造扩产项目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623" w:type="dxa"/>
            <w:tcMar>
              <w:top w:w="16" w:type="dxa"/>
              <w:left w:w="16" w:type="dxa"/>
              <w:right w:w="16" w:type="dxa"/>
            </w:tcMar>
            <w:vAlign w:val="center"/>
          </w:tcPr>
          <w:p>
            <w:pPr>
              <w:adjustRightInd w:val="0"/>
              <w:snapToGrid w:val="0"/>
              <w:jc w:val="center"/>
              <w:rPr>
                <w:szCs w:val="21"/>
              </w:rPr>
            </w:pPr>
            <w:r>
              <w:rPr>
                <w:szCs w:val="21"/>
              </w:rPr>
              <w:t>项目代码</w:t>
            </w:r>
          </w:p>
        </w:tc>
        <w:tc>
          <w:tcPr>
            <w:tcW w:w="7247" w:type="dxa"/>
            <w:gridSpan w:val="4"/>
            <w:vAlign w:val="center"/>
          </w:tcPr>
          <w:p>
            <w:pPr>
              <w:adjustRightInd w:val="0"/>
              <w:snapToGrid w:val="0"/>
              <w:jc w:val="center"/>
              <w:rPr>
                <w:rFonts w:hint="default"/>
                <w:color w:val="auto"/>
                <w:szCs w:val="21"/>
                <w:lang w:val="en-US" w:eastAsia="zh-CN"/>
              </w:rPr>
            </w:pPr>
            <w:r>
              <w:rPr>
                <w:rFonts w:hint="eastAsia"/>
                <w:color w:val="auto"/>
                <w:szCs w:val="21"/>
                <w:lang w:val="en-US" w:eastAsia="zh-CN"/>
              </w:rPr>
              <w:t>2504-320656-89-02-380707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623" w:type="dxa"/>
            <w:tcMar>
              <w:top w:w="16" w:type="dxa"/>
              <w:left w:w="16" w:type="dxa"/>
              <w:right w:w="16" w:type="dxa"/>
            </w:tcMar>
            <w:vAlign w:val="center"/>
          </w:tcPr>
          <w:p>
            <w:pPr>
              <w:adjustRightInd w:val="0"/>
              <w:snapToGrid w:val="0"/>
              <w:jc w:val="center"/>
              <w:rPr>
                <w:szCs w:val="21"/>
              </w:rPr>
            </w:pPr>
            <w:r>
              <w:rPr>
                <w:szCs w:val="21"/>
              </w:rPr>
              <w:t>建设单位联系人</w:t>
            </w:r>
          </w:p>
        </w:tc>
        <w:tc>
          <w:tcPr>
            <w:tcW w:w="2396" w:type="dxa"/>
            <w:gridSpan w:val="2"/>
            <w:vAlign w:val="center"/>
          </w:tcPr>
          <w:p>
            <w:pPr>
              <w:adjustRightInd w:val="0"/>
              <w:snapToGrid w:val="0"/>
              <w:jc w:val="center"/>
              <w:rPr>
                <w:rFonts w:hint="eastAsia"/>
                <w:color w:val="auto"/>
                <w:szCs w:val="21"/>
              </w:rPr>
            </w:pPr>
            <w:r>
              <w:rPr>
                <w:rFonts w:hint="eastAsia"/>
                <w:color w:val="auto"/>
                <w:szCs w:val="21"/>
                <w:lang w:val="en-US" w:eastAsia="zh-CN"/>
              </w:rPr>
              <w:t xml:space="preserve"> </w:t>
            </w:r>
          </w:p>
        </w:tc>
        <w:tc>
          <w:tcPr>
            <w:tcW w:w="1804" w:type="dxa"/>
            <w:vAlign w:val="center"/>
          </w:tcPr>
          <w:p>
            <w:pPr>
              <w:adjustRightInd w:val="0"/>
              <w:snapToGrid w:val="0"/>
              <w:jc w:val="center"/>
              <w:rPr>
                <w:rFonts w:hint="eastAsia"/>
                <w:color w:val="auto"/>
                <w:szCs w:val="21"/>
              </w:rPr>
            </w:pPr>
            <w:r>
              <w:rPr>
                <w:rFonts w:hint="eastAsia"/>
                <w:color w:val="auto"/>
                <w:szCs w:val="21"/>
              </w:rPr>
              <w:t>联系方式</w:t>
            </w:r>
          </w:p>
        </w:tc>
        <w:tc>
          <w:tcPr>
            <w:tcW w:w="3047" w:type="dxa"/>
            <w:vAlign w:val="center"/>
          </w:tcPr>
          <w:p>
            <w:pPr>
              <w:adjustRightInd w:val="0"/>
              <w:snapToGrid w:val="0"/>
              <w:jc w:val="center"/>
              <w:rPr>
                <w:rFonts w:hint="eastAsia"/>
                <w:color w:val="auto"/>
                <w:szCs w:val="21"/>
              </w:rPr>
            </w:pPr>
            <w:r>
              <w:rPr>
                <w:rFonts w:hint="eastAsia"/>
                <w:color w:val="auto"/>
                <w:szCs w:val="21"/>
                <w:lang w:val="en-US" w:eastAsia="zh-CN"/>
              </w:rPr>
              <w:t xml:space="preserve"> </w:t>
            </w:r>
            <w:bookmarkStart w:id="21" w:name="_GoBack"/>
            <w:bookmarkEnd w:id="21"/>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623" w:type="dxa"/>
            <w:tcMar>
              <w:top w:w="16" w:type="dxa"/>
              <w:left w:w="16" w:type="dxa"/>
              <w:right w:w="16" w:type="dxa"/>
            </w:tcMar>
            <w:vAlign w:val="center"/>
          </w:tcPr>
          <w:p>
            <w:pPr>
              <w:adjustRightInd w:val="0"/>
              <w:snapToGrid w:val="0"/>
              <w:jc w:val="center"/>
              <w:rPr>
                <w:szCs w:val="21"/>
              </w:rPr>
            </w:pPr>
            <w:r>
              <w:rPr>
                <w:szCs w:val="21"/>
              </w:rPr>
              <w:t>建设地点</w:t>
            </w:r>
          </w:p>
        </w:tc>
        <w:tc>
          <w:tcPr>
            <w:tcW w:w="7247" w:type="dxa"/>
            <w:gridSpan w:val="4"/>
            <w:vAlign w:val="center"/>
          </w:tcPr>
          <w:p>
            <w:pPr>
              <w:adjustRightInd w:val="0"/>
              <w:snapToGrid w:val="0"/>
              <w:jc w:val="center"/>
              <w:rPr>
                <w:rFonts w:hint="eastAsia"/>
                <w:color w:val="auto"/>
                <w:szCs w:val="21"/>
              </w:rPr>
            </w:pPr>
            <w:r>
              <w:rPr>
                <w:rFonts w:hint="eastAsia"/>
                <w:color w:val="auto"/>
                <w:szCs w:val="21"/>
                <w:lang w:val="en-US" w:eastAsia="zh-CN"/>
              </w:rPr>
              <w:t>如皋市长江镇创业路8号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623" w:type="dxa"/>
            <w:tcMar>
              <w:top w:w="16" w:type="dxa"/>
              <w:left w:w="16" w:type="dxa"/>
              <w:right w:w="16" w:type="dxa"/>
            </w:tcMar>
            <w:vAlign w:val="center"/>
          </w:tcPr>
          <w:p>
            <w:pPr>
              <w:adjustRightInd w:val="0"/>
              <w:snapToGrid w:val="0"/>
              <w:jc w:val="center"/>
              <w:rPr>
                <w:szCs w:val="21"/>
              </w:rPr>
            </w:pPr>
            <w:r>
              <w:rPr>
                <w:szCs w:val="21"/>
              </w:rPr>
              <w:t>地理坐标</w:t>
            </w:r>
          </w:p>
        </w:tc>
        <w:tc>
          <w:tcPr>
            <w:tcW w:w="7247" w:type="dxa"/>
            <w:gridSpan w:val="4"/>
            <w:vAlign w:val="center"/>
          </w:tcPr>
          <w:p>
            <w:pPr>
              <w:jc w:val="center"/>
              <w:rPr>
                <w:color w:val="auto"/>
                <w:szCs w:val="21"/>
              </w:rPr>
            </w:pPr>
            <w:r>
              <w:rPr>
                <w:color w:val="auto"/>
                <w:szCs w:val="21"/>
              </w:rPr>
              <w:t>北纬</w:t>
            </w:r>
            <w:r>
              <w:rPr>
                <w:color w:val="auto"/>
                <w:szCs w:val="21"/>
                <w:u w:val="single"/>
              </w:rPr>
              <w:t>32</w:t>
            </w:r>
            <w:r>
              <w:rPr>
                <w:color w:val="auto"/>
                <w:szCs w:val="21"/>
              </w:rPr>
              <w:t>度</w:t>
            </w:r>
            <w:r>
              <w:rPr>
                <w:rFonts w:hint="eastAsia"/>
                <w:color w:val="auto"/>
                <w:szCs w:val="21"/>
                <w:u w:val="single"/>
                <w:lang w:val="en-US" w:eastAsia="zh-CN"/>
              </w:rPr>
              <w:t>6</w:t>
            </w:r>
            <w:r>
              <w:rPr>
                <w:color w:val="auto"/>
                <w:szCs w:val="21"/>
              </w:rPr>
              <w:t>分</w:t>
            </w:r>
            <w:r>
              <w:rPr>
                <w:rFonts w:hint="eastAsia"/>
                <w:color w:val="auto"/>
                <w:szCs w:val="21"/>
                <w:u w:val="single"/>
                <w:lang w:val="en-US" w:eastAsia="zh-CN"/>
              </w:rPr>
              <w:t>25.685</w:t>
            </w:r>
            <w:r>
              <w:rPr>
                <w:color w:val="auto"/>
                <w:szCs w:val="21"/>
              </w:rPr>
              <w:t>秒，东经</w:t>
            </w:r>
            <w:r>
              <w:rPr>
                <w:color w:val="auto"/>
                <w:szCs w:val="21"/>
                <w:u w:val="single"/>
              </w:rPr>
              <w:t>120</w:t>
            </w:r>
            <w:r>
              <w:rPr>
                <w:color w:val="auto"/>
                <w:szCs w:val="21"/>
              </w:rPr>
              <w:t>度</w:t>
            </w:r>
            <w:r>
              <w:rPr>
                <w:color w:val="auto"/>
                <w:szCs w:val="21"/>
                <w:u w:val="single"/>
              </w:rPr>
              <w:t>3</w:t>
            </w:r>
            <w:r>
              <w:rPr>
                <w:rFonts w:hint="eastAsia"/>
                <w:color w:val="auto"/>
                <w:szCs w:val="21"/>
                <w:u w:val="single"/>
                <w:lang w:val="en-US" w:eastAsia="zh-CN"/>
              </w:rPr>
              <w:t>3</w:t>
            </w:r>
            <w:r>
              <w:rPr>
                <w:color w:val="auto"/>
                <w:szCs w:val="21"/>
              </w:rPr>
              <w:t>分</w:t>
            </w:r>
            <w:r>
              <w:rPr>
                <w:rFonts w:hint="eastAsia"/>
                <w:color w:val="auto"/>
                <w:szCs w:val="21"/>
                <w:u w:val="single"/>
                <w:lang w:val="en-US" w:eastAsia="zh-CN"/>
              </w:rPr>
              <w:t>19.911</w:t>
            </w:r>
            <w:r>
              <w:rPr>
                <w:color w:val="auto"/>
                <w:szCs w:val="21"/>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45" w:hRule="atLeast"/>
          <w:jc w:val="center"/>
        </w:trPr>
        <w:tc>
          <w:tcPr>
            <w:tcW w:w="1623" w:type="dxa"/>
            <w:tcMar>
              <w:top w:w="16" w:type="dxa"/>
              <w:left w:w="16" w:type="dxa"/>
              <w:right w:w="16" w:type="dxa"/>
            </w:tcMar>
            <w:vAlign w:val="center"/>
          </w:tcPr>
          <w:p>
            <w:pPr>
              <w:adjustRightInd w:val="0"/>
              <w:snapToGrid w:val="0"/>
              <w:jc w:val="center"/>
              <w:rPr>
                <w:szCs w:val="21"/>
              </w:rPr>
            </w:pPr>
            <w:r>
              <w:rPr>
                <w:szCs w:val="21"/>
              </w:rPr>
              <w:t>国民经济</w:t>
            </w:r>
          </w:p>
          <w:p>
            <w:pPr>
              <w:adjustRightInd w:val="0"/>
              <w:snapToGrid w:val="0"/>
              <w:jc w:val="center"/>
              <w:rPr>
                <w:szCs w:val="21"/>
              </w:rPr>
            </w:pPr>
            <w:r>
              <w:rPr>
                <w:szCs w:val="21"/>
              </w:rPr>
              <w:t>行业类别</w:t>
            </w:r>
          </w:p>
        </w:tc>
        <w:tc>
          <w:tcPr>
            <w:tcW w:w="2175" w:type="dxa"/>
            <w:vAlign w:val="center"/>
          </w:tcPr>
          <w:p>
            <w:pPr>
              <w:adjustRightInd w:val="0"/>
              <w:snapToGrid w:val="0"/>
              <w:jc w:val="center"/>
              <w:rPr>
                <w:rFonts w:hint="eastAsia"/>
                <w:color w:val="auto"/>
                <w:szCs w:val="21"/>
                <w:lang w:val="en-US" w:eastAsia="zh-CN"/>
              </w:rPr>
            </w:pPr>
            <w:r>
              <w:rPr>
                <w:rFonts w:hint="eastAsia"/>
                <w:color w:val="auto"/>
                <w:szCs w:val="21"/>
                <w:lang w:val="en-US" w:eastAsia="zh-CN"/>
              </w:rPr>
              <w:t>C3393 锻件及粉末冶金制品制造</w:t>
            </w:r>
          </w:p>
        </w:tc>
        <w:tc>
          <w:tcPr>
            <w:tcW w:w="2025" w:type="dxa"/>
            <w:gridSpan w:val="2"/>
            <w:vAlign w:val="center"/>
          </w:tcPr>
          <w:p>
            <w:pPr>
              <w:adjustRightInd w:val="0"/>
              <w:snapToGrid w:val="0"/>
              <w:jc w:val="center"/>
              <w:rPr>
                <w:rFonts w:hint="eastAsia"/>
                <w:color w:val="auto"/>
                <w:szCs w:val="21"/>
                <w:lang w:val="en-US" w:eastAsia="zh-CN"/>
              </w:rPr>
            </w:pPr>
            <w:bookmarkStart w:id="1" w:name="_Hlk49843745"/>
            <w:r>
              <w:rPr>
                <w:rFonts w:hint="eastAsia"/>
                <w:color w:val="auto"/>
                <w:szCs w:val="21"/>
                <w:lang w:val="en-US" w:eastAsia="zh-CN"/>
              </w:rPr>
              <w:t>建设项目</w:t>
            </w:r>
          </w:p>
          <w:p>
            <w:pPr>
              <w:adjustRightInd w:val="0"/>
              <w:snapToGrid w:val="0"/>
              <w:jc w:val="center"/>
              <w:rPr>
                <w:rFonts w:hint="eastAsia"/>
                <w:color w:val="auto"/>
                <w:szCs w:val="21"/>
                <w:lang w:val="en-US" w:eastAsia="zh-CN"/>
              </w:rPr>
            </w:pPr>
            <w:r>
              <w:rPr>
                <w:rFonts w:hint="eastAsia"/>
                <w:color w:val="auto"/>
                <w:szCs w:val="21"/>
                <w:lang w:val="en-US" w:eastAsia="zh-CN"/>
              </w:rPr>
              <w:t>行业类别</w:t>
            </w:r>
            <w:bookmarkEnd w:id="1"/>
          </w:p>
        </w:tc>
        <w:tc>
          <w:tcPr>
            <w:tcW w:w="3047" w:type="dxa"/>
            <w:vAlign w:val="center"/>
          </w:tcPr>
          <w:p>
            <w:pPr>
              <w:adjustRightInd w:val="0"/>
              <w:snapToGrid w:val="0"/>
              <w:jc w:val="center"/>
              <w:rPr>
                <w:rFonts w:hint="eastAsia"/>
                <w:color w:val="auto"/>
                <w:szCs w:val="21"/>
                <w:lang w:val="en-US" w:eastAsia="zh-CN"/>
              </w:rPr>
            </w:pPr>
            <w:r>
              <w:rPr>
                <w:rFonts w:hint="eastAsia"/>
                <w:color w:val="auto"/>
                <w:szCs w:val="21"/>
                <w:lang w:val="en-US" w:eastAsia="zh-CN"/>
              </w:rPr>
              <w:t>三十、金属制品业33-68铸造及其他金属制品制造339-其他(仅分割、焊接、组装的除外)；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623" w:type="dxa"/>
            <w:tcMar>
              <w:top w:w="16" w:type="dxa"/>
              <w:left w:w="16" w:type="dxa"/>
              <w:right w:w="16" w:type="dxa"/>
            </w:tcMar>
            <w:vAlign w:val="center"/>
          </w:tcPr>
          <w:p>
            <w:pPr>
              <w:adjustRightInd w:val="0"/>
              <w:snapToGrid w:val="0"/>
              <w:jc w:val="center"/>
              <w:rPr>
                <w:szCs w:val="21"/>
              </w:rPr>
            </w:pPr>
            <w:r>
              <w:rPr>
                <w:szCs w:val="21"/>
              </w:rPr>
              <w:t>建设性质</w:t>
            </w:r>
          </w:p>
        </w:tc>
        <w:tc>
          <w:tcPr>
            <w:tcW w:w="2175" w:type="dxa"/>
            <w:vAlign w:val="center"/>
          </w:tcPr>
          <w:p>
            <w:pPr>
              <w:jc w:val="left"/>
              <w:rPr>
                <w:color w:val="auto"/>
                <w:szCs w:val="21"/>
              </w:rPr>
            </w:pPr>
            <w:r>
              <w:rPr>
                <w:color w:val="auto"/>
                <w:szCs w:val="21"/>
              </w:rPr>
              <w:sym w:font="Wingdings 2" w:char="00A3"/>
            </w:r>
            <w:r>
              <w:rPr>
                <w:color w:val="auto"/>
                <w:szCs w:val="21"/>
              </w:rPr>
              <w:t>新建（迁建）</w:t>
            </w:r>
          </w:p>
          <w:p>
            <w:pPr>
              <w:jc w:val="left"/>
              <w:rPr>
                <w:color w:val="auto"/>
                <w:szCs w:val="21"/>
              </w:rPr>
            </w:pPr>
            <w:r>
              <w:rPr>
                <w:color w:val="auto"/>
                <w:szCs w:val="21"/>
              </w:rPr>
              <w:sym w:font="Wingdings 2" w:char="0052"/>
            </w:r>
            <w:r>
              <w:rPr>
                <w:color w:val="auto"/>
                <w:szCs w:val="21"/>
              </w:rPr>
              <w:t>改建</w:t>
            </w:r>
          </w:p>
          <w:p>
            <w:pPr>
              <w:jc w:val="left"/>
              <w:rPr>
                <w:color w:val="auto"/>
                <w:szCs w:val="21"/>
              </w:rPr>
            </w:pPr>
            <w:r>
              <w:rPr>
                <w:rFonts w:hint="eastAsia"/>
                <w:color w:val="auto"/>
                <w:sz w:val="20"/>
                <w:szCs w:val="20"/>
                <w:shd w:val="clear" w:color="auto" w:fill="FFFFFF"/>
                <w:lang w:eastAsia="zh-CN"/>
              </w:rPr>
              <w:sym w:font="Wingdings 2" w:char="0052"/>
            </w:r>
            <w:r>
              <w:rPr>
                <w:color w:val="auto"/>
                <w:szCs w:val="21"/>
              </w:rPr>
              <w:t>扩建</w:t>
            </w:r>
          </w:p>
          <w:p>
            <w:pPr>
              <w:jc w:val="left"/>
              <w:rPr>
                <w:color w:val="auto"/>
                <w:szCs w:val="21"/>
              </w:rPr>
            </w:pPr>
            <w:r>
              <w:rPr>
                <w:color w:val="auto"/>
                <w:szCs w:val="21"/>
              </w:rPr>
              <w:sym w:font="Wingdings 2" w:char="00A3"/>
            </w:r>
            <w:r>
              <w:rPr>
                <w:color w:val="auto"/>
                <w:szCs w:val="21"/>
              </w:rPr>
              <w:t>技术改造</w:t>
            </w:r>
          </w:p>
        </w:tc>
        <w:tc>
          <w:tcPr>
            <w:tcW w:w="2025" w:type="dxa"/>
            <w:gridSpan w:val="2"/>
            <w:vAlign w:val="center"/>
          </w:tcPr>
          <w:p>
            <w:pPr>
              <w:adjustRightInd w:val="0"/>
              <w:snapToGrid w:val="0"/>
              <w:jc w:val="center"/>
              <w:rPr>
                <w:color w:val="auto"/>
                <w:szCs w:val="21"/>
              </w:rPr>
            </w:pPr>
            <w:r>
              <w:rPr>
                <w:color w:val="auto"/>
                <w:szCs w:val="21"/>
              </w:rPr>
              <w:t>建设项目</w:t>
            </w:r>
          </w:p>
          <w:p>
            <w:pPr>
              <w:adjustRightInd w:val="0"/>
              <w:snapToGrid w:val="0"/>
              <w:jc w:val="center"/>
              <w:rPr>
                <w:color w:val="auto"/>
                <w:szCs w:val="21"/>
              </w:rPr>
            </w:pPr>
            <w:r>
              <w:rPr>
                <w:color w:val="auto"/>
                <w:szCs w:val="21"/>
              </w:rPr>
              <w:t>申报情形</w:t>
            </w:r>
          </w:p>
        </w:tc>
        <w:tc>
          <w:tcPr>
            <w:tcW w:w="3047" w:type="dxa"/>
            <w:vAlign w:val="center"/>
          </w:tcPr>
          <w:p>
            <w:pPr>
              <w:jc w:val="left"/>
              <w:rPr>
                <w:color w:val="auto"/>
                <w:szCs w:val="21"/>
              </w:rPr>
            </w:pPr>
            <w:r>
              <w:rPr>
                <w:color w:val="auto"/>
                <w:szCs w:val="21"/>
              </w:rPr>
              <w:sym w:font="Wingdings 2" w:char="0052"/>
            </w:r>
            <w:r>
              <w:rPr>
                <w:color w:val="auto"/>
                <w:szCs w:val="21"/>
              </w:rPr>
              <w:t xml:space="preserve">首次申报项目             </w:t>
            </w:r>
          </w:p>
          <w:p>
            <w:pPr>
              <w:jc w:val="left"/>
              <w:rPr>
                <w:color w:val="auto"/>
                <w:szCs w:val="21"/>
              </w:rPr>
            </w:pPr>
            <w:r>
              <w:rPr>
                <w:color w:val="auto"/>
                <w:szCs w:val="21"/>
              </w:rPr>
              <w:sym w:font="Wingdings 2" w:char="00A3"/>
            </w:r>
            <w:r>
              <w:rPr>
                <w:color w:val="auto"/>
                <w:szCs w:val="21"/>
              </w:rPr>
              <w:t>不予批准后再次申报项目</w:t>
            </w:r>
          </w:p>
          <w:p>
            <w:pPr>
              <w:jc w:val="left"/>
              <w:rPr>
                <w:color w:val="auto"/>
                <w:szCs w:val="21"/>
              </w:rPr>
            </w:pPr>
            <w:r>
              <w:rPr>
                <w:color w:val="auto"/>
                <w:szCs w:val="21"/>
              </w:rPr>
              <w:sym w:font="Wingdings 2" w:char="00A3"/>
            </w:r>
            <w:r>
              <w:rPr>
                <w:color w:val="auto"/>
                <w:szCs w:val="21"/>
              </w:rPr>
              <w:t xml:space="preserve">超五年重新审核项目     </w:t>
            </w:r>
          </w:p>
          <w:p>
            <w:pPr>
              <w:jc w:val="left"/>
              <w:rPr>
                <w:color w:val="auto"/>
                <w:szCs w:val="21"/>
              </w:rPr>
            </w:pPr>
            <w:r>
              <w:rPr>
                <w:color w:val="auto"/>
                <w:szCs w:val="21"/>
              </w:rPr>
              <w:sym w:font="Wingdings 2" w:char="00A3"/>
            </w:r>
            <w:r>
              <w:rPr>
                <w:color w:val="auto"/>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4" w:hRule="atLeast"/>
          <w:jc w:val="center"/>
        </w:trPr>
        <w:tc>
          <w:tcPr>
            <w:tcW w:w="1623" w:type="dxa"/>
            <w:tcMar>
              <w:top w:w="16" w:type="dxa"/>
              <w:left w:w="16" w:type="dxa"/>
              <w:right w:w="16" w:type="dxa"/>
            </w:tcMar>
            <w:vAlign w:val="center"/>
          </w:tcPr>
          <w:p>
            <w:pPr>
              <w:adjustRightInd w:val="0"/>
              <w:snapToGrid w:val="0"/>
              <w:jc w:val="center"/>
              <w:rPr>
                <w:szCs w:val="21"/>
              </w:rPr>
            </w:pPr>
            <w:r>
              <w:rPr>
                <w:szCs w:val="21"/>
              </w:rPr>
              <w:t>项目审批（核准/</w:t>
            </w:r>
          </w:p>
          <w:p>
            <w:pPr>
              <w:adjustRightInd w:val="0"/>
              <w:snapToGrid w:val="0"/>
              <w:jc w:val="center"/>
              <w:rPr>
                <w:szCs w:val="21"/>
              </w:rPr>
            </w:pPr>
            <w:r>
              <w:rPr>
                <w:szCs w:val="21"/>
              </w:rPr>
              <w:t>备案）部门（选填）</w:t>
            </w:r>
          </w:p>
        </w:tc>
        <w:tc>
          <w:tcPr>
            <w:tcW w:w="2175" w:type="dxa"/>
            <w:vAlign w:val="center"/>
          </w:tcPr>
          <w:p>
            <w:pPr>
              <w:adjustRightInd w:val="0"/>
              <w:snapToGrid w:val="0"/>
              <w:jc w:val="center"/>
              <w:rPr>
                <w:color w:val="auto"/>
                <w:szCs w:val="21"/>
              </w:rPr>
            </w:pPr>
            <w:r>
              <w:rPr>
                <w:rFonts w:hint="eastAsia"/>
                <w:color w:val="auto"/>
                <w:szCs w:val="21"/>
                <w:lang w:val="en-US" w:eastAsia="zh-CN"/>
              </w:rPr>
              <w:t>如皋市长江镇人民政府</w:t>
            </w:r>
          </w:p>
        </w:tc>
        <w:tc>
          <w:tcPr>
            <w:tcW w:w="2025" w:type="dxa"/>
            <w:gridSpan w:val="2"/>
            <w:vAlign w:val="center"/>
          </w:tcPr>
          <w:p>
            <w:pPr>
              <w:adjustRightInd w:val="0"/>
              <w:snapToGrid w:val="0"/>
              <w:jc w:val="center"/>
              <w:rPr>
                <w:color w:val="auto"/>
                <w:szCs w:val="21"/>
              </w:rPr>
            </w:pPr>
            <w:r>
              <w:rPr>
                <w:color w:val="auto"/>
                <w:szCs w:val="21"/>
              </w:rPr>
              <w:t>项目审批（核准/备案）文号（选填）</w:t>
            </w:r>
          </w:p>
        </w:tc>
        <w:tc>
          <w:tcPr>
            <w:tcW w:w="3047" w:type="dxa"/>
            <w:vAlign w:val="center"/>
          </w:tcPr>
          <w:p>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皋江备〔2025〕194号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623" w:type="dxa"/>
            <w:tcMar>
              <w:top w:w="16" w:type="dxa"/>
              <w:left w:w="16" w:type="dxa"/>
              <w:right w:w="16" w:type="dxa"/>
            </w:tcMar>
            <w:vAlign w:val="center"/>
          </w:tcPr>
          <w:p>
            <w:pPr>
              <w:adjustRightInd w:val="0"/>
              <w:snapToGrid w:val="0"/>
              <w:jc w:val="center"/>
              <w:rPr>
                <w:szCs w:val="21"/>
              </w:rPr>
            </w:pPr>
            <w:r>
              <w:rPr>
                <w:szCs w:val="21"/>
              </w:rPr>
              <w:t>总投资（万元）</w:t>
            </w:r>
          </w:p>
        </w:tc>
        <w:tc>
          <w:tcPr>
            <w:tcW w:w="2175" w:type="dxa"/>
            <w:vAlign w:val="center"/>
          </w:tcPr>
          <w:p>
            <w:pPr>
              <w:adjustRightInd w:val="0"/>
              <w:snapToGrid w:val="0"/>
              <w:jc w:val="center"/>
              <w:rPr>
                <w:rFonts w:hint="default" w:eastAsia="宋体"/>
                <w:color w:val="auto"/>
                <w:szCs w:val="21"/>
                <w:lang w:val="en-US" w:eastAsia="zh-CN"/>
              </w:rPr>
            </w:pPr>
            <w:r>
              <w:rPr>
                <w:rFonts w:hint="eastAsia"/>
                <w:color w:val="auto"/>
                <w:szCs w:val="21"/>
                <w:lang w:val="en-US" w:eastAsia="zh-CN"/>
              </w:rPr>
              <w:t>21400.98</w:t>
            </w:r>
          </w:p>
        </w:tc>
        <w:tc>
          <w:tcPr>
            <w:tcW w:w="2025" w:type="dxa"/>
            <w:gridSpan w:val="2"/>
            <w:tcMar>
              <w:top w:w="16" w:type="dxa"/>
              <w:left w:w="16" w:type="dxa"/>
              <w:right w:w="16" w:type="dxa"/>
            </w:tcMar>
            <w:vAlign w:val="center"/>
          </w:tcPr>
          <w:p>
            <w:pPr>
              <w:adjustRightInd w:val="0"/>
              <w:snapToGrid w:val="0"/>
              <w:jc w:val="center"/>
              <w:rPr>
                <w:color w:val="auto"/>
                <w:szCs w:val="21"/>
              </w:rPr>
            </w:pPr>
            <w:r>
              <w:rPr>
                <w:color w:val="auto"/>
                <w:szCs w:val="21"/>
              </w:rPr>
              <w:t>环保投资（万元）</w:t>
            </w:r>
          </w:p>
        </w:tc>
        <w:tc>
          <w:tcPr>
            <w:tcW w:w="3047" w:type="dxa"/>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623" w:type="dxa"/>
            <w:tcMar>
              <w:top w:w="16" w:type="dxa"/>
              <w:left w:w="16" w:type="dxa"/>
              <w:right w:w="16" w:type="dxa"/>
            </w:tcMar>
            <w:vAlign w:val="center"/>
          </w:tcPr>
          <w:p>
            <w:pPr>
              <w:adjustRightInd w:val="0"/>
              <w:snapToGrid w:val="0"/>
              <w:jc w:val="center"/>
              <w:rPr>
                <w:szCs w:val="21"/>
              </w:rPr>
            </w:pPr>
            <w:r>
              <w:rPr>
                <w:szCs w:val="21"/>
              </w:rPr>
              <w:t>环保投资占比（%）</w:t>
            </w:r>
          </w:p>
        </w:tc>
        <w:tc>
          <w:tcPr>
            <w:tcW w:w="2175" w:type="dxa"/>
            <w:vAlign w:val="center"/>
          </w:tcPr>
          <w:p>
            <w:pPr>
              <w:adjustRightInd w:val="0"/>
              <w:snapToGrid w:val="0"/>
              <w:jc w:val="center"/>
              <w:rPr>
                <w:rFonts w:hint="default" w:eastAsia="宋体"/>
                <w:color w:val="auto"/>
                <w:szCs w:val="21"/>
                <w:lang w:val="en-US" w:eastAsia="zh-CN"/>
              </w:rPr>
            </w:pPr>
            <w:r>
              <w:rPr>
                <w:rFonts w:hint="eastAsia"/>
                <w:color w:val="auto"/>
                <w:szCs w:val="21"/>
                <w:lang w:val="en-US" w:eastAsia="zh-CN"/>
              </w:rPr>
              <w:t>0.23</w:t>
            </w:r>
          </w:p>
        </w:tc>
        <w:tc>
          <w:tcPr>
            <w:tcW w:w="2025" w:type="dxa"/>
            <w:gridSpan w:val="2"/>
            <w:tcMar>
              <w:top w:w="16" w:type="dxa"/>
              <w:left w:w="16" w:type="dxa"/>
              <w:right w:w="16" w:type="dxa"/>
            </w:tcMar>
            <w:vAlign w:val="center"/>
          </w:tcPr>
          <w:p>
            <w:pPr>
              <w:adjustRightInd w:val="0"/>
              <w:snapToGrid w:val="0"/>
              <w:jc w:val="center"/>
              <w:rPr>
                <w:color w:val="auto"/>
                <w:szCs w:val="21"/>
              </w:rPr>
            </w:pPr>
            <w:r>
              <w:rPr>
                <w:color w:val="auto"/>
                <w:szCs w:val="21"/>
              </w:rPr>
              <w:t>施工工期</w:t>
            </w:r>
          </w:p>
        </w:tc>
        <w:tc>
          <w:tcPr>
            <w:tcW w:w="3047" w:type="dxa"/>
            <w:vAlign w:val="center"/>
          </w:tcPr>
          <w:p>
            <w:pPr>
              <w:adjustRightInd w:val="0"/>
              <w:snapToGrid w:val="0"/>
              <w:jc w:val="center"/>
              <w:rPr>
                <w:color w:val="auto"/>
                <w:szCs w:val="21"/>
              </w:rPr>
            </w:pPr>
            <w:r>
              <w:rPr>
                <w:rFonts w:hint="eastAsia"/>
                <w:color w:val="auto"/>
                <w:szCs w:val="21"/>
                <w:lang w:val="en-US" w:eastAsia="zh-CN"/>
              </w:rPr>
              <w:t>10</w:t>
            </w:r>
            <w:r>
              <w:rPr>
                <w:color w:val="auto"/>
                <w:szCs w:val="21"/>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630" w:hRule="atLeast"/>
          <w:jc w:val="center"/>
        </w:trPr>
        <w:tc>
          <w:tcPr>
            <w:tcW w:w="1623" w:type="dxa"/>
            <w:tcMar>
              <w:top w:w="16" w:type="dxa"/>
              <w:left w:w="16" w:type="dxa"/>
              <w:right w:w="16" w:type="dxa"/>
            </w:tcMar>
            <w:vAlign w:val="center"/>
          </w:tcPr>
          <w:p>
            <w:pPr>
              <w:adjustRightInd w:val="0"/>
              <w:snapToGrid w:val="0"/>
              <w:jc w:val="center"/>
              <w:rPr>
                <w:szCs w:val="21"/>
              </w:rPr>
            </w:pPr>
            <w:r>
              <w:rPr>
                <w:szCs w:val="21"/>
              </w:rPr>
              <w:t>是否开工建设</w:t>
            </w:r>
          </w:p>
        </w:tc>
        <w:tc>
          <w:tcPr>
            <w:tcW w:w="2175" w:type="dxa"/>
            <w:vAlign w:val="center"/>
          </w:tcPr>
          <w:p>
            <w:pPr>
              <w:adjustRightInd w:val="0"/>
              <w:snapToGrid w:val="0"/>
              <w:rPr>
                <w:color w:val="auto"/>
                <w:szCs w:val="21"/>
              </w:rPr>
            </w:pPr>
            <w:r>
              <w:rPr>
                <w:rFonts w:hint="eastAsia" w:eastAsia="宋体"/>
                <w:color w:val="auto"/>
                <w:sz w:val="20"/>
                <w:szCs w:val="20"/>
                <w:shd w:val="clear" w:color="auto" w:fill="FFFFFF"/>
                <w:lang w:eastAsia="zh-CN"/>
              </w:rPr>
              <w:t>□</w:t>
            </w:r>
            <w:r>
              <w:rPr>
                <w:color w:val="auto"/>
                <w:szCs w:val="21"/>
              </w:rPr>
              <w:t>否</w:t>
            </w:r>
          </w:p>
          <w:p>
            <w:pPr>
              <w:adjustRightInd w:val="0"/>
              <w:snapToGrid w:val="0"/>
              <w:rPr>
                <w:color w:val="auto"/>
                <w:szCs w:val="21"/>
              </w:rPr>
            </w:pPr>
            <w:r>
              <w:rPr>
                <w:color w:val="auto"/>
                <w:szCs w:val="21"/>
              </w:rPr>
              <w:sym w:font="Wingdings 2" w:char="0052"/>
            </w:r>
            <w:r>
              <w:rPr>
                <w:color w:val="auto"/>
                <w:szCs w:val="21"/>
              </w:rPr>
              <w:t>是：</w:t>
            </w:r>
            <w:r>
              <w:rPr>
                <w:rFonts w:hint="default" w:ascii="Times New Roman" w:hAnsi="Times New Roman" w:cs="Times New Roman"/>
                <w:color w:val="auto"/>
                <w:sz w:val="21"/>
                <w:szCs w:val="21"/>
                <w:u w:val="single"/>
              </w:rPr>
              <w:t>企</w:t>
            </w:r>
            <w:r>
              <w:rPr>
                <w:rFonts w:hint="default" w:ascii="Times New Roman" w:hAnsi="Times New Roman" w:eastAsia="宋体" w:cs="Times New Roman"/>
                <w:color w:val="auto"/>
                <w:sz w:val="21"/>
                <w:szCs w:val="21"/>
                <w:u w:val="single"/>
              </w:rPr>
              <w:t>业已开展</w:t>
            </w:r>
            <w:r>
              <w:rPr>
                <w:rFonts w:hint="eastAsia" w:ascii="Times New Roman" w:hAnsi="Times New Roman" w:eastAsia="宋体" w:cs="Times New Roman"/>
                <w:color w:val="auto"/>
                <w:sz w:val="21"/>
                <w:szCs w:val="21"/>
                <w:u w:val="single"/>
                <w:lang w:eastAsia="zh-CN"/>
              </w:rPr>
              <w:t>前期</w:t>
            </w:r>
            <w:r>
              <w:rPr>
                <w:rFonts w:hint="default" w:ascii="Times New Roman" w:hAnsi="Times New Roman" w:eastAsia="宋体" w:cs="Times New Roman"/>
                <w:color w:val="auto"/>
                <w:sz w:val="21"/>
                <w:szCs w:val="21"/>
                <w:u w:val="single"/>
              </w:rPr>
              <w:t>设备安装，</w:t>
            </w:r>
            <w:r>
              <w:rPr>
                <w:rFonts w:hint="default" w:ascii="Times New Roman" w:hAnsi="Times New Roman" w:cs="Times New Roman"/>
                <w:color w:val="auto"/>
                <w:sz w:val="21"/>
                <w:szCs w:val="21"/>
                <w:u w:val="single"/>
              </w:rPr>
              <w:t>但并未正式投入生产，企业承诺在未取得环评及环保审批、验收手续之前，不进行生产。</w:t>
            </w:r>
          </w:p>
        </w:tc>
        <w:tc>
          <w:tcPr>
            <w:tcW w:w="2025" w:type="dxa"/>
            <w:gridSpan w:val="2"/>
            <w:tcMar>
              <w:top w:w="16" w:type="dxa"/>
              <w:left w:w="16" w:type="dxa"/>
              <w:right w:w="16" w:type="dxa"/>
            </w:tcMar>
            <w:vAlign w:val="center"/>
          </w:tcPr>
          <w:p>
            <w:pPr>
              <w:adjustRightInd w:val="0"/>
              <w:snapToGrid w:val="0"/>
              <w:jc w:val="center"/>
              <w:rPr>
                <w:color w:val="auto"/>
                <w:szCs w:val="21"/>
              </w:rPr>
            </w:pPr>
            <w:r>
              <w:rPr>
                <w:color w:val="auto"/>
                <w:szCs w:val="21"/>
              </w:rPr>
              <w:t>用地（用海）面积（m</w:t>
            </w:r>
            <w:r>
              <w:rPr>
                <w:color w:val="auto"/>
                <w:szCs w:val="21"/>
                <w:vertAlign w:val="superscript"/>
              </w:rPr>
              <w:t>2</w:t>
            </w:r>
            <w:r>
              <w:rPr>
                <w:color w:val="auto"/>
                <w:szCs w:val="21"/>
              </w:rPr>
              <w:t>）</w:t>
            </w:r>
          </w:p>
        </w:tc>
        <w:tc>
          <w:tcPr>
            <w:tcW w:w="3047" w:type="dxa"/>
            <w:vAlign w:val="center"/>
          </w:tcPr>
          <w:p>
            <w:pPr>
              <w:adjustRightInd w:val="0"/>
              <w:snapToGrid w:val="0"/>
              <w:jc w:val="center"/>
              <w:rPr>
                <w:rFonts w:hint="default" w:eastAsia="宋体"/>
                <w:color w:val="auto"/>
                <w:szCs w:val="21"/>
                <w:lang w:val="en-US" w:eastAsia="zh-CN"/>
              </w:rPr>
            </w:pPr>
            <w:r>
              <w:rPr>
                <w:rFonts w:hint="eastAsia"/>
                <w:color w:val="auto"/>
                <w:szCs w:val="21"/>
                <w:lang w:val="en-US" w:eastAsia="zh-CN"/>
              </w:rPr>
              <w:t>84706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1623" w:type="dxa"/>
            <w:vAlign w:val="center"/>
          </w:tcPr>
          <w:p>
            <w:pPr>
              <w:autoSpaceDE w:val="0"/>
              <w:autoSpaceDN w:val="0"/>
              <w:adjustRightInd w:val="0"/>
              <w:snapToGrid w:val="0"/>
              <w:jc w:val="center"/>
              <w:rPr>
                <w:kern w:val="0"/>
                <w:szCs w:val="21"/>
              </w:rPr>
            </w:pPr>
            <w:r>
              <w:rPr>
                <w:kern w:val="0"/>
                <w:szCs w:val="21"/>
              </w:rPr>
              <w:t>专项评价设置情况</w:t>
            </w:r>
          </w:p>
        </w:tc>
        <w:tc>
          <w:tcPr>
            <w:tcW w:w="7247" w:type="dxa"/>
            <w:gridSpan w:val="4"/>
            <w:vAlign w:val="center"/>
          </w:tcPr>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根据《建设项目环境影响报告表编制技术指南（污染影响类）》（试行）中表1专项评价设置原则表，本项目</w:t>
            </w:r>
            <w:r>
              <w:rPr>
                <w:rFonts w:hint="default" w:ascii="Times New Roman" w:hAnsi="Times New Roman" w:eastAsia="宋体" w:cs="Times New Roman"/>
                <w:color w:val="auto"/>
                <w:sz w:val="21"/>
                <w:szCs w:val="21"/>
                <w:lang w:val="en-US" w:eastAsia="zh-CN"/>
              </w:rPr>
              <w:t>专项评价设置情况</w:t>
            </w:r>
            <w:r>
              <w:rPr>
                <w:rFonts w:hint="eastAsia" w:ascii="Times New Roman" w:hAnsi="Times New Roman" w:eastAsia="宋体" w:cs="Times New Roman"/>
                <w:color w:val="auto"/>
                <w:sz w:val="21"/>
                <w:szCs w:val="21"/>
                <w:lang w:val="en-US" w:eastAsia="zh-CN"/>
              </w:rPr>
              <w:t>分析见下表所示：</w:t>
            </w:r>
          </w:p>
          <w:p>
            <w:pPr>
              <w:keepNext w:val="0"/>
              <w:keepLines w:val="0"/>
              <w:pageBreakBefore w:val="0"/>
              <w:widowControl w:val="0"/>
              <w:kinsoku/>
              <w:wordWrap/>
              <w:overflowPunct/>
              <w:topLinePunct w:val="0"/>
              <w:autoSpaceDE/>
              <w:autoSpaceDN/>
              <w:bidi w:val="0"/>
              <w:adjustRightInd/>
              <w:snapToGrid/>
              <w:jc w:val="center"/>
              <w:textAlignment w:val="auto"/>
              <w:rPr>
                <w:rFonts w:hint="default"/>
                <w:b/>
                <w:bCs/>
                <w:color w:val="auto"/>
                <w:sz w:val="18"/>
                <w:szCs w:val="18"/>
                <w:lang w:val="en-US" w:eastAsia="zh-CN"/>
              </w:rPr>
            </w:pPr>
            <w:r>
              <w:rPr>
                <w:rFonts w:hint="default"/>
                <w:b/>
                <w:bCs/>
                <w:color w:val="auto"/>
                <w:sz w:val="18"/>
                <w:szCs w:val="18"/>
              </w:rPr>
              <w:t>表1-1</w:t>
            </w:r>
            <w:r>
              <w:rPr>
                <w:rFonts w:hint="eastAsia"/>
                <w:b/>
                <w:bCs/>
                <w:color w:val="auto"/>
                <w:sz w:val="18"/>
                <w:szCs w:val="18"/>
                <w:lang w:val="en-US" w:eastAsia="zh-CN"/>
              </w:rPr>
              <w:t xml:space="preserve">   </w:t>
            </w:r>
            <w:r>
              <w:rPr>
                <w:rFonts w:hint="default"/>
                <w:b/>
                <w:bCs/>
                <w:color w:val="auto"/>
                <w:sz w:val="18"/>
                <w:szCs w:val="18"/>
              </w:rPr>
              <w:t>专项评价设置</w:t>
            </w:r>
            <w:r>
              <w:rPr>
                <w:rFonts w:hint="eastAsia"/>
                <w:b/>
                <w:bCs/>
                <w:color w:val="auto"/>
                <w:sz w:val="18"/>
                <w:szCs w:val="18"/>
                <w:lang w:eastAsia="zh-CN"/>
              </w:rPr>
              <w:t>情况</w:t>
            </w:r>
            <w:r>
              <w:rPr>
                <w:rFonts w:hint="eastAsia"/>
                <w:b/>
                <w:bCs/>
                <w:color w:val="auto"/>
                <w:sz w:val="18"/>
                <w:szCs w:val="18"/>
                <w:lang w:val="en-US" w:eastAsia="zh-CN"/>
              </w:rPr>
              <w:t>一览表</w:t>
            </w:r>
          </w:p>
          <w:tbl>
            <w:tblPr>
              <w:tblStyle w:val="21"/>
              <w:tblW w:w="707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3"/>
              <w:gridCol w:w="3191"/>
              <w:gridCol w:w="1075"/>
              <w:gridCol w:w="20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510" w:type="pct"/>
                  <w:noWrap w:val="0"/>
                  <w:vAlign w:val="center"/>
                </w:tcPr>
                <w:p>
                  <w:pPr>
                    <w:keepNext w:val="0"/>
                    <w:keepLines w:val="0"/>
                    <w:pageBreakBefore w:val="0"/>
                    <w:widowControl w:val="0"/>
                    <w:wordWrap/>
                    <w:topLinePunct w:val="0"/>
                    <w:autoSpaceDE w:val="0"/>
                    <w:autoSpaceDN w:val="0"/>
                    <w:bidi w:val="0"/>
                    <w:adjustRightInd w:val="0"/>
                    <w:snapToGrid/>
                    <w:jc w:val="center"/>
                    <w:textAlignment w:val="baseline"/>
                    <w:rPr>
                      <w:rFonts w:hint="default"/>
                      <w:b/>
                      <w:bCs/>
                      <w:color w:val="auto"/>
                      <w:sz w:val="18"/>
                      <w:szCs w:val="18"/>
                    </w:rPr>
                  </w:pPr>
                  <w:r>
                    <w:rPr>
                      <w:rFonts w:hint="default"/>
                      <w:b/>
                      <w:bCs/>
                      <w:color w:val="auto"/>
                      <w:sz w:val="18"/>
                      <w:szCs w:val="18"/>
                    </w:rPr>
                    <w:t>专项评价类别</w:t>
                  </w:r>
                </w:p>
              </w:tc>
              <w:tc>
                <w:tcPr>
                  <w:tcW w:w="2254" w:type="pct"/>
                  <w:noWrap w:val="0"/>
                  <w:vAlign w:val="center"/>
                </w:tcPr>
                <w:p>
                  <w:pPr>
                    <w:keepNext w:val="0"/>
                    <w:keepLines w:val="0"/>
                    <w:pageBreakBefore w:val="0"/>
                    <w:widowControl w:val="0"/>
                    <w:wordWrap/>
                    <w:topLinePunct w:val="0"/>
                    <w:autoSpaceDE w:val="0"/>
                    <w:autoSpaceDN w:val="0"/>
                    <w:bidi w:val="0"/>
                    <w:adjustRightInd w:val="0"/>
                    <w:snapToGrid/>
                    <w:jc w:val="center"/>
                    <w:textAlignment w:val="baseline"/>
                    <w:rPr>
                      <w:rFonts w:hint="default"/>
                      <w:b/>
                      <w:bCs/>
                      <w:color w:val="auto"/>
                      <w:sz w:val="18"/>
                      <w:szCs w:val="18"/>
                    </w:rPr>
                  </w:pPr>
                  <w:r>
                    <w:rPr>
                      <w:rFonts w:hint="default"/>
                      <w:b/>
                      <w:bCs/>
                      <w:color w:val="auto"/>
                      <w:sz w:val="18"/>
                      <w:szCs w:val="18"/>
                    </w:rPr>
                    <w:t>设置原则</w:t>
                  </w:r>
                </w:p>
              </w:tc>
              <w:tc>
                <w:tcPr>
                  <w:tcW w:w="759" w:type="pct"/>
                  <w:noWrap w:val="0"/>
                  <w:vAlign w:val="center"/>
                </w:tcPr>
                <w:p>
                  <w:pPr>
                    <w:keepNext w:val="0"/>
                    <w:keepLines w:val="0"/>
                    <w:pageBreakBefore w:val="0"/>
                    <w:widowControl w:val="0"/>
                    <w:wordWrap/>
                    <w:topLinePunct w:val="0"/>
                    <w:autoSpaceDE w:val="0"/>
                    <w:autoSpaceDN w:val="0"/>
                    <w:bidi w:val="0"/>
                    <w:adjustRightInd w:val="0"/>
                    <w:snapToGrid/>
                    <w:jc w:val="center"/>
                    <w:textAlignment w:val="baseline"/>
                    <w:rPr>
                      <w:rFonts w:hint="default"/>
                      <w:b/>
                      <w:bCs/>
                      <w:color w:val="auto"/>
                      <w:sz w:val="18"/>
                      <w:szCs w:val="18"/>
                    </w:rPr>
                  </w:pPr>
                  <w:r>
                    <w:rPr>
                      <w:rFonts w:hint="default"/>
                      <w:b/>
                      <w:bCs/>
                      <w:color w:val="auto"/>
                      <w:sz w:val="18"/>
                      <w:szCs w:val="18"/>
                    </w:rPr>
                    <w:t>本项目是否设置专项评价</w:t>
                  </w:r>
                </w:p>
              </w:tc>
              <w:tc>
                <w:tcPr>
                  <w:tcW w:w="1475" w:type="pct"/>
                  <w:noWrap w:val="0"/>
                  <w:vAlign w:val="center"/>
                </w:tcPr>
                <w:p>
                  <w:pPr>
                    <w:keepNext w:val="0"/>
                    <w:keepLines w:val="0"/>
                    <w:pageBreakBefore w:val="0"/>
                    <w:widowControl w:val="0"/>
                    <w:wordWrap/>
                    <w:topLinePunct w:val="0"/>
                    <w:autoSpaceDE w:val="0"/>
                    <w:autoSpaceDN w:val="0"/>
                    <w:bidi w:val="0"/>
                    <w:adjustRightInd w:val="0"/>
                    <w:snapToGrid/>
                    <w:jc w:val="center"/>
                    <w:textAlignment w:val="baseline"/>
                    <w:rPr>
                      <w:rFonts w:hint="default"/>
                      <w:b/>
                      <w:bCs/>
                      <w:color w:val="auto"/>
                      <w:sz w:val="18"/>
                      <w:szCs w:val="18"/>
                    </w:rPr>
                  </w:pPr>
                  <w:r>
                    <w:rPr>
                      <w:rFonts w:hint="default"/>
                      <w:b/>
                      <w:bCs/>
                      <w:color w:val="auto"/>
                      <w:sz w:val="18"/>
                      <w:szCs w:val="18"/>
                    </w:rPr>
                    <w:t>理由</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510" w:type="pct"/>
                  <w:noWrap w:val="0"/>
                  <w:vAlign w:val="center"/>
                </w:tcPr>
                <w:p>
                  <w:pPr>
                    <w:keepNext w:val="0"/>
                    <w:keepLines w:val="0"/>
                    <w:pageBreakBefore w:val="0"/>
                    <w:widowControl w:val="0"/>
                    <w:wordWrap/>
                    <w:topLinePunct w:val="0"/>
                    <w:autoSpaceDE w:val="0"/>
                    <w:autoSpaceDN w:val="0"/>
                    <w:bidi w:val="0"/>
                    <w:adjustRightInd w:val="0"/>
                    <w:snapToGrid/>
                    <w:jc w:val="center"/>
                    <w:textAlignment w:val="baseline"/>
                    <w:rPr>
                      <w:rFonts w:hint="default"/>
                      <w:b/>
                      <w:bCs/>
                      <w:color w:val="auto"/>
                      <w:sz w:val="18"/>
                      <w:szCs w:val="18"/>
                    </w:rPr>
                  </w:pPr>
                  <w:r>
                    <w:rPr>
                      <w:rFonts w:hint="default"/>
                      <w:b/>
                      <w:bCs/>
                      <w:color w:val="auto"/>
                      <w:sz w:val="18"/>
                      <w:szCs w:val="18"/>
                    </w:rPr>
                    <w:t>大气</w:t>
                  </w:r>
                </w:p>
              </w:tc>
              <w:tc>
                <w:tcPr>
                  <w:tcW w:w="2254" w:type="pct"/>
                  <w:noWrap w:val="0"/>
                  <w:vAlign w:val="center"/>
                </w:tcPr>
                <w:p>
                  <w:pPr>
                    <w:keepNext w:val="0"/>
                    <w:keepLines w:val="0"/>
                    <w:pageBreakBefore w:val="0"/>
                    <w:widowControl w:val="0"/>
                    <w:wordWrap/>
                    <w:topLinePunct w:val="0"/>
                    <w:autoSpaceDE w:val="0"/>
                    <w:autoSpaceDN w:val="0"/>
                    <w:bidi w:val="0"/>
                    <w:adjustRightInd w:val="0"/>
                    <w:snapToGrid/>
                    <w:jc w:val="center"/>
                    <w:textAlignment w:val="baseline"/>
                    <w:rPr>
                      <w:rFonts w:hint="default"/>
                      <w:color w:val="auto"/>
                      <w:sz w:val="18"/>
                      <w:szCs w:val="18"/>
                    </w:rPr>
                  </w:pPr>
                  <w:r>
                    <w:rPr>
                      <w:rFonts w:hint="default"/>
                      <w:color w:val="auto"/>
                      <w:sz w:val="18"/>
                      <w:szCs w:val="18"/>
                    </w:rPr>
                    <w:t>排放废气含有毒有害污染物</w:t>
                  </w:r>
                  <w:r>
                    <w:rPr>
                      <w:rFonts w:hint="default"/>
                      <w:color w:val="auto"/>
                      <w:sz w:val="18"/>
                      <w:szCs w:val="18"/>
                      <w:vertAlign w:val="superscript"/>
                    </w:rPr>
                    <w:t>1</w:t>
                  </w:r>
                  <w:r>
                    <w:rPr>
                      <w:rFonts w:hint="default"/>
                      <w:color w:val="auto"/>
                      <w:sz w:val="18"/>
                      <w:szCs w:val="18"/>
                    </w:rPr>
                    <w:t>、二噁英、苯并[a]芘、氰化物、氯气且厂界外500米范围内有环境空气保护目标</w:t>
                  </w:r>
                  <w:r>
                    <w:rPr>
                      <w:rFonts w:hint="default"/>
                      <w:color w:val="auto"/>
                      <w:sz w:val="18"/>
                      <w:szCs w:val="18"/>
                      <w:vertAlign w:val="superscript"/>
                    </w:rPr>
                    <w:t>2</w:t>
                  </w:r>
                  <w:r>
                    <w:rPr>
                      <w:rFonts w:hint="default"/>
                      <w:color w:val="auto"/>
                      <w:sz w:val="18"/>
                      <w:szCs w:val="18"/>
                    </w:rPr>
                    <w:t>的建设项目</w:t>
                  </w:r>
                </w:p>
              </w:tc>
              <w:tc>
                <w:tcPr>
                  <w:tcW w:w="759" w:type="pct"/>
                  <w:noWrap w:val="0"/>
                  <w:vAlign w:val="center"/>
                </w:tcPr>
                <w:p>
                  <w:pPr>
                    <w:keepNext w:val="0"/>
                    <w:keepLines w:val="0"/>
                    <w:pageBreakBefore w:val="0"/>
                    <w:widowControl w:val="0"/>
                    <w:wordWrap/>
                    <w:topLinePunct w:val="0"/>
                    <w:autoSpaceDE w:val="0"/>
                    <w:autoSpaceDN w:val="0"/>
                    <w:bidi w:val="0"/>
                    <w:adjustRightInd w:val="0"/>
                    <w:snapToGrid/>
                    <w:jc w:val="center"/>
                    <w:textAlignment w:val="baseline"/>
                    <w:rPr>
                      <w:rFonts w:hint="default" w:eastAsia="宋体"/>
                      <w:b/>
                      <w:bCs/>
                      <w:color w:val="auto"/>
                      <w:sz w:val="18"/>
                      <w:szCs w:val="18"/>
                      <w:lang w:val="en-US" w:eastAsia="zh-CN"/>
                    </w:rPr>
                  </w:pPr>
                  <w:r>
                    <w:rPr>
                      <w:rFonts w:hint="eastAsia" w:eastAsia="宋体"/>
                      <w:b/>
                      <w:bCs/>
                      <w:color w:val="auto"/>
                      <w:sz w:val="18"/>
                      <w:szCs w:val="18"/>
                      <w:lang w:val="en-US" w:eastAsia="zh-CN"/>
                    </w:rPr>
                    <w:t>否</w:t>
                  </w:r>
                </w:p>
              </w:tc>
              <w:tc>
                <w:tcPr>
                  <w:tcW w:w="1475" w:type="pct"/>
                  <w:noWrap w:val="0"/>
                  <w:vAlign w:val="center"/>
                </w:tcPr>
                <w:p>
                  <w:pPr>
                    <w:keepNext w:val="0"/>
                    <w:keepLines w:val="0"/>
                    <w:pageBreakBefore w:val="0"/>
                    <w:widowControl w:val="0"/>
                    <w:wordWrap/>
                    <w:topLinePunct w:val="0"/>
                    <w:autoSpaceDE w:val="0"/>
                    <w:autoSpaceDN w:val="0"/>
                    <w:bidi w:val="0"/>
                    <w:adjustRightInd w:val="0"/>
                    <w:snapToGrid/>
                    <w:jc w:val="center"/>
                    <w:textAlignment w:val="baseline"/>
                    <w:rPr>
                      <w:rFonts w:hint="default" w:eastAsia="宋体"/>
                      <w:color w:val="auto"/>
                      <w:sz w:val="18"/>
                      <w:szCs w:val="18"/>
                      <w:lang w:val="en-US" w:eastAsia="zh-CN"/>
                    </w:rPr>
                  </w:pPr>
                  <w:r>
                    <w:rPr>
                      <w:rFonts w:hint="default"/>
                      <w:color w:val="auto"/>
                      <w:sz w:val="18"/>
                      <w:szCs w:val="18"/>
                    </w:rPr>
                    <w:t>项目废气</w:t>
                  </w:r>
                  <w:r>
                    <w:rPr>
                      <w:rFonts w:hint="eastAsia"/>
                      <w:color w:val="auto"/>
                      <w:sz w:val="18"/>
                      <w:szCs w:val="18"/>
                      <w:lang w:val="en-US" w:eastAsia="zh-CN"/>
                    </w:rPr>
                    <w:t>不</w:t>
                  </w:r>
                  <w:r>
                    <w:rPr>
                      <w:rFonts w:hint="default"/>
                      <w:color w:val="auto"/>
                      <w:sz w:val="18"/>
                      <w:szCs w:val="18"/>
                    </w:rPr>
                    <w:t>含有毒有害污染物</w:t>
                  </w:r>
                  <w:r>
                    <w:rPr>
                      <w:rFonts w:hint="eastAsia"/>
                      <w:color w:val="auto"/>
                      <w:sz w:val="18"/>
                      <w:szCs w:val="18"/>
                      <w:lang w:eastAsia="zh-CN"/>
                    </w:rPr>
                    <w:t>、</w:t>
                  </w:r>
                  <w:r>
                    <w:rPr>
                      <w:rFonts w:hint="eastAsia"/>
                      <w:color w:val="auto"/>
                      <w:sz w:val="18"/>
                      <w:szCs w:val="18"/>
                      <w:lang w:val="en-US" w:eastAsia="zh-CN"/>
                    </w:rPr>
                    <w:t>二噁英、</w:t>
                  </w:r>
                  <w:r>
                    <w:rPr>
                      <w:rFonts w:hint="default"/>
                      <w:color w:val="auto"/>
                      <w:sz w:val="18"/>
                      <w:szCs w:val="18"/>
                    </w:rPr>
                    <w:t>苯并[a]芘、氰化物、氯气</w:t>
                  </w:r>
                  <w:r>
                    <w:rPr>
                      <w:rFonts w:hint="eastAsia"/>
                      <w:color w:val="auto"/>
                      <w:sz w:val="18"/>
                      <w:szCs w:val="18"/>
                      <w:lang w:val="en-US" w:eastAsia="zh-CN"/>
                    </w:rPr>
                    <w:t>等污染物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510" w:type="pct"/>
                  <w:noWrap w:val="0"/>
                  <w:vAlign w:val="center"/>
                </w:tcPr>
                <w:p>
                  <w:pPr>
                    <w:keepNext w:val="0"/>
                    <w:keepLines w:val="0"/>
                    <w:pageBreakBefore w:val="0"/>
                    <w:widowControl w:val="0"/>
                    <w:wordWrap/>
                    <w:topLinePunct w:val="0"/>
                    <w:autoSpaceDE w:val="0"/>
                    <w:autoSpaceDN w:val="0"/>
                    <w:bidi w:val="0"/>
                    <w:adjustRightInd w:val="0"/>
                    <w:snapToGrid/>
                    <w:jc w:val="center"/>
                    <w:textAlignment w:val="baseline"/>
                    <w:rPr>
                      <w:rFonts w:hint="default"/>
                      <w:b/>
                      <w:bCs/>
                      <w:color w:val="auto"/>
                      <w:sz w:val="18"/>
                      <w:szCs w:val="18"/>
                    </w:rPr>
                  </w:pPr>
                  <w:r>
                    <w:rPr>
                      <w:rFonts w:hint="default"/>
                      <w:b/>
                      <w:bCs/>
                      <w:color w:val="auto"/>
                      <w:sz w:val="18"/>
                      <w:szCs w:val="18"/>
                    </w:rPr>
                    <w:t>地表水</w:t>
                  </w:r>
                </w:p>
              </w:tc>
              <w:tc>
                <w:tcPr>
                  <w:tcW w:w="2254" w:type="pct"/>
                  <w:noWrap w:val="0"/>
                  <w:vAlign w:val="center"/>
                </w:tcPr>
                <w:p>
                  <w:pPr>
                    <w:keepNext w:val="0"/>
                    <w:keepLines w:val="0"/>
                    <w:pageBreakBefore w:val="0"/>
                    <w:widowControl w:val="0"/>
                    <w:wordWrap/>
                    <w:topLinePunct w:val="0"/>
                    <w:autoSpaceDE w:val="0"/>
                    <w:autoSpaceDN w:val="0"/>
                    <w:bidi w:val="0"/>
                    <w:adjustRightInd w:val="0"/>
                    <w:snapToGrid/>
                    <w:jc w:val="center"/>
                    <w:textAlignment w:val="baseline"/>
                    <w:rPr>
                      <w:rFonts w:hint="default"/>
                      <w:color w:val="auto"/>
                      <w:sz w:val="18"/>
                      <w:szCs w:val="18"/>
                    </w:rPr>
                  </w:pPr>
                  <w:r>
                    <w:rPr>
                      <w:rFonts w:hint="default"/>
                      <w:color w:val="auto"/>
                      <w:sz w:val="18"/>
                      <w:szCs w:val="18"/>
                    </w:rPr>
                    <w:t>新增工业废水直排建设项目（槽罐车外送污水处理厂的除外）；新增废水直排的污水集中处理厂</w:t>
                  </w:r>
                </w:p>
              </w:tc>
              <w:tc>
                <w:tcPr>
                  <w:tcW w:w="759" w:type="pct"/>
                  <w:noWrap w:val="0"/>
                  <w:vAlign w:val="center"/>
                </w:tcPr>
                <w:p>
                  <w:pPr>
                    <w:keepNext w:val="0"/>
                    <w:keepLines w:val="0"/>
                    <w:pageBreakBefore w:val="0"/>
                    <w:widowControl w:val="0"/>
                    <w:wordWrap/>
                    <w:topLinePunct w:val="0"/>
                    <w:bidi w:val="0"/>
                    <w:snapToGrid/>
                    <w:jc w:val="center"/>
                    <w:rPr>
                      <w:rFonts w:hint="default"/>
                      <w:b/>
                      <w:bCs/>
                      <w:color w:val="auto"/>
                      <w:sz w:val="18"/>
                      <w:szCs w:val="18"/>
                    </w:rPr>
                  </w:pPr>
                  <w:r>
                    <w:rPr>
                      <w:rFonts w:hint="default"/>
                      <w:b/>
                      <w:bCs/>
                      <w:color w:val="auto"/>
                      <w:sz w:val="18"/>
                      <w:szCs w:val="18"/>
                      <w:lang w:val="zh-CN"/>
                    </w:rPr>
                    <w:t>否</w:t>
                  </w:r>
                </w:p>
              </w:tc>
              <w:tc>
                <w:tcPr>
                  <w:tcW w:w="1475" w:type="pct"/>
                  <w:noWrap w:val="0"/>
                  <w:vAlign w:val="center"/>
                </w:tcPr>
                <w:p>
                  <w:pPr>
                    <w:keepNext w:val="0"/>
                    <w:keepLines w:val="0"/>
                    <w:pageBreakBefore w:val="0"/>
                    <w:widowControl w:val="0"/>
                    <w:wordWrap/>
                    <w:topLinePunct w:val="0"/>
                    <w:bidi w:val="0"/>
                    <w:snapToGrid/>
                    <w:jc w:val="center"/>
                    <w:rPr>
                      <w:rFonts w:hint="eastAsia" w:eastAsia="宋体"/>
                      <w:color w:val="auto"/>
                      <w:sz w:val="18"/>
                      <w:szCs w:val="18"/>
                      <w:lang w:eastAsia="zh-CN"/>
                    </w:rPr>
                  </w:pPr>
                  <w:r>
                    <w:rPr>
                      <w:rFonts w:hint="eastAsia"/>
                      <w:color w:val="auto"/>
                      <w:sz w:val="18"/>
                      <w:szCs w:val="18"/>
                      <w:lang w:eastAsia="zh-CN"/>
                    </w:rPr>
                    <w:t>项目废水</w:t>
                  </w:r>
                  <w:r>
                    <w:rPr>
                      <w:rFonts w:hint="default"/>
                      <w:color w:val="auto"/>
                      <w:sz w:val="18"/>
                      <w:szCs w:val="18"/>
                    </w:rPr>
                    <w:t>排入污水处理厂</w:t>
                  </w:r>
                  <w:r>
                    <w:rPr>
                      <w:rFonts w:hint="eastAsia"/>
                      <w:color w:val="auto"/>
                      <w:sz w:val="18"/>
                      <w:szCs w:val="18"/>
                      <w:lang w:eastAsia="zh-CN"/>
                    </w:rPr>
                    <w:t>，无新增工业废水直排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510" w:type="pct"/>
                  <w:noWrap w:val="0"/>
                  <w:vAlign w:val="center"/>
                </w:tcPr>
                <w:p>
                  <w:pPr>
                    <w:keepNext w:val="0"/>
                    <w:keepLines w:val="0"/>
                    <w:pageBreakBefore w:val="0"/>
                    <w:widowControl w:val="0"/>
                    <w:wordWrap/>
                    <w:topLinePunct w:val="0"/>
                    <w:autoSpaceDE w:val="0"/>
                    <w:autoSpaceDN w:val="0"/>
                    <w:bidi w:val="0"/>
                    <w:adjustRightInd w:val="0"/>
                    <w:snapToGrid/>
                    <w:jc w:val="center"/>
                    <w:textAlignment w:val="baseline"/>
                    <w:rPr>
                      <w:rFonts w:hint="default"/>
                      <w:b/>
                      <w:bCs/>
                      <w:color w:val="auto"/>
                      <w:sz w:val="18"/>
                      <w:szCs w:val="18"/>
                    </w:rPr>
                  </w:pPr>
                  <w:r>
                    <w:rPr>
                      <w:rFonts w:hint="default"/>
                      <w:b/>
                      <w:bCs/>
                      <w:color w:val="auto"/>
                      <w:sz w:val="18"/>
                      <w:szCs w:val="18"/>
                    </w:rPr>
                    <w:t>环境风险</w:t>
                  </w:r>
                </w:p>
              </w:tc>
              <w:tc>
                <w:tcPr>
                  <w:tcW w:w="2254" w:type="pct"/>
                  <w:noWrap w:val="0"/>
                  <w:vAlign w:val="center"/>
                </w:tcPr>
                <w:p>
                  <w:pPr>
                    <w:keepNext w:val="0"/>
                    <w:keepLines w:val="0"/>
                    <w:pageBreakBefore w:val="0"/>
                    <w:widowControl w:val="0"/>
                    <w:wordWrap/>
                    <w:topLinePunct w:val="0"/>
                    <w:autoSpaceDE w:val="0"/>
                    <w:autoSpaceDN w:val="0"/>
                    <w:bidi w:val="0"/>
                    <w:adjustRightInd w:val="0"/>
                    <w:snapToGrid/>
                    <w:jc w:val="center"/>
                    <w:textAlignment w:val="baseline"/>
                    <w:rPr>
                      <w:rFonts w:hint="default"/>
                      <w:color w:val="auto"/>
                      <w:sz w:val="18"/>
                      <w:szCs w:val="18"/>
                    </w:rPr>
                  </w:pPr>
                  <w:r>
                    <w:rPr>
                      <w:rFonts w:hint="default"/>
                      <w:color w:val="auto"/>
                      <w:sz w:val="18"/>
                      <w:szCs w:val="18"/>
                    </w:rPr>
                    <w:t>有毒有害和易燃易爆危险物质存储量超过临界</w:t>
                  </w:r>
                  <w:r>
                    <w:rPr>
                      <w:rFonts w:hint="default" w:ascii="Times New Roman" w:hAnsi="Times New Roman" w:eastAsia="宋体" w:cs="Times New Roman"/>
                      <w:color w:val="auto"/>
                      <w:sz w:val="18"/>
                      <w:szCs w:val="18"/>
                    </w:rPr>
                    <w:t>量</w:t>
                  </w:r>
                  <w:r>
                    <w:rPr>
                      <w:rFonts w:hint="default" w:ascii="Times New Roman" w:hAnsi="Times New Roman" w:eastAsia="宋体" w:cs="Times New Roman"/>
                      <w:color w:val="auto"/>
                      <w:sz w:val="18"/>
                      <w:szCs w:val="18"/>
                      <w:vertAlign w:val="superscript"/>
                    </w:rPr>
                    <w:t>3</w:t>
                  </w:r>
                  <w:r>
                    <w:rPr>
                      <w:rFonts w:hint="default" w:ascii="Times New Roman" w:hAnsi="Times New Roman" w:eastAsia="宋体" w:cs="Times New Roman"/>
                      <w:color w:val="auto"/>
                      <w:sz w:val="18"/>
                      <w:szCs w:val="18"/>
                    </w:rPr>
                    <w:t>的</w:t>
                  </w:r>
                  <w:r>
                    <w:rPr>
                      <w:rFonts w:hint="default"/>
                      <w:color w:val="auto"/>
                      <w:sz w:val="18"/>
                      <w:szCs w:val="18"/>
                    </w:rPr>
                    <w:t>建设项目</w:t>
                  </w:r>
                </w:p>
              </w:tc>
              <w:tc>
                <w:tcPr>
                  <w:tcW w:w="759" w:type="pct"/>
                  <w:noWrap w:val="0"/>
                  <w:vAlign w:val="center"/>
                </w:tcPr>
                <w:p>
                  <w:pPr>
                    <w:keepNext w:val="0"/>
                    <w:keepLines w:val="0"/>
                    <w:pageBreakBefore w:val="0"/>
                    <w:widowControl w:val="0"/>
                    <w:wordWrap/>
                    <w:topLinePunct w:val="0"/>
                    <w:bidi w:val="0"/>
                    <w:snapToGrid/>
                    <w:jc w:val="center"/>
                    <w:rPr>
                      <w:rFonts w:hint="default"/>
                      <w:b/>
                      <w:bCs/>
                      <w:color w:val="auto"/>
                      <w:sz w:val="18"/>
                      <w:szCs w:val="18"/>
                    </w:rPr>
                  </w:pPr>
                  <w:r>
                    <w:rPr>
                      <w:rFonts w:hint="default"/>
                      <w:b/>
                      <w:bCs/>
                      <w:color w:val="auto"/>
                      <w:sz w:val="18"/>
                      <w:szCs w:val="18"/>
                      <w:lang w:val="zh-CN"/>
                    </w:rPr>
                    <w:t>否</w:t>
                  </w:r>
                </w:p>
              </w:tc>
              <w:tc>
                <w:tcPr>
                  <w:tcW w:w="1475" w:type="pct"/>
                  <w:noWrap w:val="0"/>
                  <w:vAlign w:val="center"/>
                </w:tcPr>
                <w:p>
                  <w:pPr>
                    <w:keepNext w:val="0"/>
                    <w:keepLines w:val="0"/>
                    <w:pageBreakBefore w:val="0"/>
                    <w:widowControl w:val="0"/>
                    <w:wordWrap/>
                    <w:topLinePunct w:val="0"/>
                    <w:bidi w:val="0"/>
                    <w:snapToGrid/>
                    <w:jc w:val="center"/>
                    <w:rPr>
                      <w:rFonts w:hint="default"/>
                      <w:color w:val="auto"/>
                      <w:sz w:val="18"/>
                      <w:szCs w:val="18"/>
                    </w:rPr>
                  </w:pPr>
                  <w:r>
                    <w:rPr>
                      <w:rFonts w:hint="default"/>
                      <w:color w:val="auto"/>
                      <w:sz w:val="18"/>
                      <w:szCs w:val="18"/>
                    </w:rPr>
                    <w:t>项目</w:t>
                  </w:r>
                  <w:r>
                    <w:rPr>
                      <w:rFonts w:hint="eastAsia"/>
                      <w:color w:val="auto"/>
                      <w:sz w:val="18"/>
                      <w:szCs w:val="18"/>
                      <w:lang w:val="en-US" w:eastAsia="zh-CN"/>
                    </w:rPr>
                    <w:t>Q＜1，有毒有害和</w:t>
                  </w:r>
                  <w:r>
                    <w:rPr>
                      <w:rFonts w:hint="default"/>
                      <w:color w:val="auto"/>
                      <w:sz w:val="18"/>
                      <w:szCs w:val="18"/>
                    </w:rPr>
                    <w:t>易燃易爆危险物质存储量</w:t>
                  </w:r>
                  <w:r>
                    <w:rPr>
                      <w:rFonts w:hint="eastAsia"/>
                      <w:color w:val="auto"/>
                      <w:sz w:val="18"/>
                      <w:szCs w:val="18"/>
                      <w:lang w:eastAsia="zh-CN"/>
                    </w:rPr>
                    <w:t>＜</w:t>
                  </w:r>
                  <w:r>
                    <w:rPr>
                      <w:rFonts w:hint="default"/>
                      <w:color w:val="auto"/>
                      <w:sz w:val="18"/>
                      <w:szCs w:val="18"/>
                    </w:rPr>
                    <w:t>临界量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510" w:type="pct"/>
                  <w:noWrap w:val="0"/>
                  <w:vAlign w:val="center"/>
                </w:tcPr>
                <w:p>
                  <w:pPr>
                    <w:keepNext w:val="0"/>
                    <w:keepLines w:val="0"/>
                    <w:pageBreakBefore w:val="0"/>
                    <w:widowControl w:val="0"/>
                    <w:wordWrap/>
                    <w:topLinePunct w:val="0"/>
                    <w:autoSpaceDE w:val="0"/>
                    <w:autoSpaceDN w:val="0"/>
                    <w:bidi w:val="0"/>
                    <w:adjustRightInd w:val="0"/>
                    <w:snapToGrid/>
                    <w:jc w:val="center"/>
                    <w:textAlignment w:val="baseline"/>
                    <w:rPr>
                      <w:rFonts w:hint="default"/>
                      <w:b/>
                      <w:bCs/>
                      <w:color w:val="auto"/>
                      <w:sz w:val="18"/>
                      <w:szCs w:val="18"/>
                    </w:rPr>
                  </w:pPr>
                  <w:r>
                    <w:rPr>
                      <w:rFonts w:hint="default"/>
                      <w:b/>
                      <w:bCs/>
                      <w:color w:val="auto"/>
                      <w:sz w:val="18"/>
                      <w:szCs w:val="18"/>
                    </w:rPr>
                    <w:t>生态</w:t>
                  </w:r>
                </w:p>
              </w:tc>
              <w:tc>
                <w:tcPr>
                  <w:tcW w:w="2254" w:type="pct"/>
                  <w:noWrap w:val="0"/>
                  <w:vAlign w:val="center"/>
                </w:tcPr>
                <w:p>
                  <w:pPr>
                    <w:keepNext w:val="0"/>
                    <w:keepLines w:val="0"/>
                    <w:pageBreakBefore w:val="0"/>
                    <w:widowControl w:val="0"/>
                    <w:kinsoku w:val="0"/>
                    <w:wordWrap/>
                    <w:overflowPunct w:val="0"/>
                    <w:topLinePunct w:val="0"/>
                    <w:autoSpaceDE w:val="0"/>
                    <w:autoSpaceDN w:val="0"/>
                    <w:bidi w:val="0"/>
                    <w:adjustRightInd w:val="0"/>
                    <w:snapToGrid/>
                    <w:ind w:left="-2" w:right="128"/>
                    <w:jc w:val="center"/>
                    <w:rPr>
                      <w:rFonts w:hint="default"/>
                      <w:color w:val="auto"/>
                      <w:sz w:val="18"/>
                      <w:szCs w:val="18"/>
                    </w:rPr>
                  </w:pPr>
                  <w:r>
                    <w:rPr>
                      <w:rFonts w:hint="default"/>
                      <w:color w:val="auto"/>
                      <w:sz w:val="18"/>
                      <w:szCs w:val="18"/>
                    </w:rPr>
                    <w:t>取水口下游500米范围内有重要水生生物的自然产卵场、索饵场、越冬场和洄游通道的新增河道取水的污染类建设项目</w:t>
                  </w:r>
                </w:p>
              </w:tc>
              <w:tc>
                <w:tcPr>
                  <w:tcW w:w="759" w:type="pct"/>
                  <w:noWrap w:val="0"/>
                  <w:vAlign w:val="center"/>
                </w:tcPr>
                <w:p>
                  <w:pPr>
                    <w:keepNext w:val="0"/>
                    <w:keepLines w:val="0"/>
                    <w:pageBreakBefore w:val="0"/>
                    <w:widowControl w:val="0"/>
                    <w:wordWrap/>
                    <w:topLinePunct w:val="0"/>
                    <w:bidi w:val="0"/>
                    <w:snapToGrid/>
                    <w:jc w:val="center"/>
                    <w:rPr>
                      <w:rFonts w:hint="default"/>
                      <w:b/>
                      <w:bCs/>
                      <w:color w:val="auto"/>
                      <w:sz w:val="18"/>
                      <w:szCs w:val="18"/>
                    </w:rPr>
                  </w:pPr>
                  <w:r>
                    <w:rPr>
                      <w:rFonts w:hint="default"/>
                      <w:b/>
                      <w:bCs/>
                      <w:color w:val="auto"/>
                      <w:sz w:val="18"/>
                      <w:szCs w:val="18"/>
                      <w:lang w:val="zh-CN"/>
                    </w:rPr>
                    <w:t>否</w:t>
                  </w:r>
                </w:p>
              </w:tc>
              <w:tc>
                <w:tcPr>
                  <w:tcW w:w="1475" w:type="pct"/>
                  <w:noWrap w:val="0"/>
                  <w:vAlign w:val="center"/>
                </w:tcPr>
                <w:p>
                  <w:pPr>
                    <w:keepNext w:val="0"/>
                    <w:keepLines w:val="0"/>
                    <w:pageBreakBefore w:val="0"/>
                    <w:widowControl w:val="0"/>
                    <w:wordWrap/>
                    <w:topLinePunct w:val="0"/>
                    <w:bidi w:val="0"/>
                    <w:snapToGrid/>
                    <w:jc w:val="center"/>
                    <w:rPr>
                      <w:rFonts w:hint="default"/>
                      <w:color w:val="auto"/>
                      <w:sz w:val="18"/>
                      <w:szCs w:val="18"/>
                    </w:rPr>
                  </w:pPr>
                  <w:r>
                    <w:rPr>
                      <w:rFonts w:hint="default"/>
                      <w:color w:val="auto"/>
                      <w:sz w:val="18"/>
                      <w:szCs w:val="18"/>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510" w:type="pct"/>
                  <w:noWrap w:val="0"/>
                  <w:vAlign w:val="center"/>
                </w:tcPr>
                <w:p>
                  <w:pPr>
                    <w:keepNext w:val="0"/>
                    <w:keepLines w:val="0"/>
                    <w:pageBreakBefore w:val="0"/>
                    <w:widowControl w:val="0"/>
                    <w:wordWrap/>
                    <w:topLinePunct w:val="0"/>
                    <w:autoSpaceDE w:val="0"/>
                    <w:autoSpaceDN w:val="0"/>
                    <w:bidi w:val="0"/>
                    <w:adjustRightInd w:val="0"/>
                    <w:snapToGrid/>
                    <w:jc w:val="center"/>
                    <w:textAlignment w:val="baseline"/>
                    <w:rPr>
                      <w:rFonts w:hint="default"/>
                      <w:b/>
                      <w:bCs/>
                      <w:color w:val="auto"/>
                      <w:sz w:val="18"/>
                      <w:szCs w:val="18"/>
                    </w:rPr>
                  </w:pPr>
                  <w:r>
                    <w:rPr>
                      <w:rFonts w:hint="default"/>
                      <w:b/>
                      <w:bCs/>
                      <w:color w:val="auto"/>
                      <w:sz w:val="18"/>
                      <w:szCs w:val="18"/>
                    </w:rPr>
                    <w:t>海洋</w:t>
                  </w:r>
                </w:p>
              </w:tc>
              <w:tc>
                <w:tcPr>
                  <w:tcW w:w="2254" w:type="pct"/>
                  <w:noWrap w:val="0"/>
                  <w:vAlign w:val="center"/>
                </w:tcPr>
                <w:p>
                  <w:pPr>
                    <w:keepNext w:val="0"/>
                    <w:keepLines w:val="0"/>
                    <w:pageBreakBefore w:val="0"/>
                    <w:widowControl w:val="0"/>
                    <w:kinsoku w:val="0"/>
                    <w:wordWrap/>
                    <w:overflowPunct w:val="0"/>
                    <w:topLinePunct w:val="0"/>
                    <w:autoSpaceDE w:val="0"/>
                    <w:autoSpaceDN w:val="0"/>
                    <w:bidi w:val="0"/>
                    <w:adjustRightInd w:val="0"/>
                    <w:snapToGrid/>
                    <w:ind w:left="-2" w:right="128"/>
                    <w:jc w:val="center"/>
                    <w:rPr>
                      <w:rFonts w:hint="default"/>
                      <w:color w:val="auto"/>
                      <w:sz w:val="18"/>
                      <w:szCs w:val="18"/>
                    </w:rPr>
                  </w:pPr>
                  <w:r>
                    <w:rPr>
                      <w:rFonts w:hint="default"/>
                      <w:color w:val="auto"/>
                      <w:sz w:val="18"/>
                      <w:szCs w:val="18"/>
                    </w:rPr>
                    <w:t>直接向海排放污染物的海洋工程建设项目</w:t>
                  </w:r>
                </w:p>
              </w:tc>
              <w:tc>
                <w:tcPr>
                  <w:tcW w:w="759" w:type="pct"/>
                  <w:noWrap w:val="0"/>
                  <w:vAlign w:val="center"/>
                </w:tcPr>
                <w:p>
                  <w:pPr>
                    <w:keepNext w:val="0"/>
                    <w:keepLines w:val="0"/>
                    <w:pageBreakBefore w:val="0"/>
                    <w:widowControl w:val="0"/>
                    <w:wordWrap/>
                    <w:topLinePunct w:val="0"/>
                    <w:bidi w:val="0"/>
                    <w:snapToGrid/>
                    <w:jc w:val="center"/>
                    <w:rPr>
                      <w:rFonts w:hint="default"/>
                      <w:b/>
                      <w:bCs/>
                      <w:color w:val="auto"/>
                      <w:sz w:val="18"/>
                      <w:szCs w:val="18"/>
                    </w:rPr>
                  </w:pPr>
                  <w:r>
                    <w:rPr>
                      <w:rFonts w:hint="default"/>
                      <w:b/>
                      <w:bCs/>
                      <w:color w:val="auto"/>
                      <w:sz w:val="18"/>
                      <w:szCs w:val="18"/>
                      <w:lang w:val="zh-CN"/>
                    </w:rPr>
                    <w:t>否</w:t>
                  </w:r>
                </w:p>
              </w:tc>
              <w:tc>
                <w:tcPr>
                  <w:tcW w:w="1475" w:type="pct"/>
                  <w:noWrap w:val="0"/>
                  <w:vAlign w:val="center"/>
                </w:tcPr>
                <w:p>
                  <w:pPr>
                    <w:keepNext w:val="0"/>
                    <w:keepLines w:val="0"/>
                    <w:pageBreakBefore w:val="0"/>
                    <w:widowControl w:val="0"/>
                    <w:wordWrap/>
                    <w:topLinePunct w:val="0"/>
                    <w:bidi w:val="0"/>
                    <w:snapToGrid/>
                    <w:jc w:val="center"/>
                    <w:rPr>
                      <w:rFonts w:hint="default"/>
                      <w:color w:val="auto"/>
                      <w:sz w:val="18"/>
                      <w:szCs w:val="18"/>
                    </w:rPr>
                  </w:pPr>
                  <w:r>
                    <w:rPr>
                      <w:rFonts w:hint="default"/>
                      <w:color w:val="auto"/>
                      <w:sz w:val="18"/>
                      <w:szCs w:val="18"/>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510" w:type="pct"/>
                  <w:noWrap w:val="0"/>
                  <w:vAlign w:val="center"/>
                </w:tcPr>
                <w:p>
                  <w:pPr>
                    <w:keepNext w:val="0"/>
                    <w:keepLines w:val="0"/>
                    <w:pageBreakBefore w:val="0"/>
                    <w:widowControl w:val="0"/>
                    <w:wordWrap/>
                    <w:topLinePunct w:val="0"/>
                    <w:autoSpaceDE w:val="0"/>
                    <w:autoSpaceDN w:val="0"/>
                    <w:bidi w:val="0"/>
                    <w:adjustRightInd w:val="0"/>
                    <w:snapToGrid/>
                    <w:jc w:val="center"/>
                    <w:textAlignment w:val="baseline"/>
                    <w:rPr>
                      <w:rFonts w:hint="default"/>
                      <w:b/>
                      <w:bCs/>
                      <w:color w:val="auto"/>
                      <w:sz w:val="18"/>
                      <w:szCs w:val="18"/>
                    </w:rPr>
                  </w:pPr>
                  <w:r>
                    <w:rPr>
                      <w:rFonts w:hint="default"/>
                      <w:b/>
                      <w:bCs/>
                      <w:color w:val="auto"/>
                      <w:sz w:val="18"/>
                      <w:szCs w:val="18"/>
                    </w:rPr>
                    <w:t>土壤</w:t>
                  </w:r>
                </w:p>
              </w:tc>
              <w:tc>
                <w:tcPr>
                  <w:tcW w:w="2254" w:type="pct"/>
                  <w:noWrap w:val="0"/>
                  <w:vAlign w:val="center"/>
                </w:tcPr>
                <w:p>
                  <w:pPr>
                    <w:keepNext w:val="0"/>
                    <w:keepLines w:val="0"/>
                    <w:pageBreakBefore w:val="0"/>
                    <w:widowControl w:val="0"/>
                    <w:kinsoku w:val="0"/>
                    <w:wordWrap/>
                    <w:overflowPunct w:val="0"/>
                    <w:topLinePunct w:val="0"/>
                    <w:autoSpaceDE w:val="0"/>
                    <w:autoSpaceDN w:val="0"/>
                    <w:bidi w:val="0"/>
                    <w:adjustRightInd w:val="0"/>
                    <w:snapToGrid/>
                    <w:ind w:left="-2" w:right="128"/>
                    <w:jc w:val="center"/>
                    <w:rPr>
                      <w:rFonts w:hint="default"/>
                      <w:color w:val="auto"/>
                      <w:sz w:val="18"/>
                      <w:szCs w:val="18"/>
                    </w:rPr>
                  </w:pPr>
                  <w:r>
                    <w:rPr>
                      <w:rFonts w:hint="default"/>
                      <w:color w:val="auto"/>
                      <w:sz w:val="18"/>
                      <w:szCs w:val="18"/>
                    </w:rPr>
                    <w:t>不开展专项评价</w:t>
                  </w:r>
                </w:p>
              </w:tc>
              <w:tc>
                <w:tcPr>
                  <w:tcW w:w="759" w:type="pct"/>
                  <w:noWrap w:val="0"/>
                  <w:vAlign w:val="center"/>
                </w:tcPr>
                <w:p>
                  <w:pPr>
                    <w:keepNext w:val="0"/>
                    <w:keepLines w:val="0"/>
                    <w:pageBreakBefore w:val="0"/>
                    <w:widowControl w:val="0"/>
                    <w:wordWrap/>
                    <w:topLinePunct w:val="0"/>
                    <w:bidi w:val="0"/>
                    <w:snapToGrid/>
                    <w:jc w:val="center"/>
                    <w:rPr>
                      <w:rFonts w:hint="default"/>
                      <w:b/>
                      <w:bCs/>
                      <w:color w:val="auto"/>
                      <w:sz w:val="18"/>
                      <w:szCs w:val="18"/>
                    </w:rPr>
                  </w:pPr>
                  <w:r>
                    <w:rPr>
                      <w:rFonts w:hint="default"/>
                      <w:b/>
                      <w:bCs/>
                      <w:color w:val="auto"/>
                      <w:sz w:val="18"/>
                      <w:szCs w:val="18"/>
                      <w:lang w:val="zh-CN"/>
                    </w:rPr>
                    <w:t>否</w:t>
                  </w:r>
                </w:p>
              </w:tc>
              <w:tc>
                <w:tcPr>
                  <w:tcW w:w="1475" w:type="pct"/>
                  <w:noWrap w:val="0"/>
                  <w:vAlign w:val="center"/>
                </w:tcPr>
                <w:p>
                  <w:pPr>
                    <w:keepNext w:val="0"/>
                    <w:keepLines w:val="0"/>
                    <w:pageBreakBefore w:val="0"/>
                    <w:widowControl w:val="0"/>
                    <w:wordWrap/>
                    <w:topLinePunct w:val="0"/>
                    <w:bidi w:val="0"/>
                    <w:snapToGrid/>
                    <w:jc w:val="center"/>
                    <w:rPr>
                      <w:rFonts w:hint="default"/>
                      <w:color w:val="auto"/>
                      <w:sz w:val="18"/>
                      <w:szCs w:val="18"/>
                    </w:rPr>
                  </w:pPr>
                  <w:r>
                    <w:rPr>
                      <w:rFonts w:hint="default"/>
                      <w:color w:val="auto"/>
                      <w:sz w:val="18"/>
                      <w:szCs w:val="1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510" w:type="pct"/>
                  <w:noWrap w:val="0"/>
                  <w:vAlign w:val="center"/>
                </w:tcPr>
                <w:p>
                  <w:pPr>
                    <w:keepNext w:val="0"/>
                    <w:keepLines w:val="0"/>
                    <w:pageBreakBefore w:val="0"/>
                    <w:widowControl w:val="0"/>
                    <w:wordWrap/>
                    <w:topLinePunct w:val="0"/>
                    <w:autoSpaceDE w:val="0"/>
                    <w:autoSpaceDN w:val="0"/>
                    <w:bidi w:val="0"/>
                    <w:adjustRightInd w:val="0"/>
                    <w:snapToGrid/>
                    <w:jc w:val="center"/>
                    <w:textAlignment w:val="baseline"/>
                    <w:rPr>
                      <w:rFonts w:hint="default"/>
                      <w:b/>
                      <w:bCs/>
                      <w:color w:val="auto"/>
                      <w:sz w:val="18"/>
                      <w:szCs w:val="18"/>
                    </w:rPr>
                  </w:pPr>
                  <w:r>
                    <w:rPr>
                      <w:rFonts w:hint="default"/>
                      <w:b/>
                      <w:bCs/>
                      <w:color w:val="auto"/>
                      <w:sz w:val="18"/>
                      <w:szCs w:val="18"/>
                    </w:rPr>
                    <w:t>声环境</w:t>
                  </w:r>
                </w:p>
              </w:tc>
              <w:tc>
                <w:tcPr>
                  <w:tcW w:w="2254" w:type="pct"/>
                  <w:noWrap w:val="0"/>
                  <w:vAlign w:val="center"/>
                </w:tcPr>
                <w:p>
                  <w:pPr>
                    <w:keepNext w:val="0"/>
                    <w:keepLines w:val="0"/>
                    <w:pageBreakBefore w:val="0"/>
                    <w:widowControl w:val="0"/>
                    <w:kinsoku w:val="0"/>
                    <w:wordWrap/>
                    <w:overflowPunct w:val="0"/>
                    <w:topLinePunct w:val="0"/>
                    <w:autoSpaceDE w:val="0"/>
                    <w:autoSpaceDN w:val="0"/>
                    <w:bidi w:val="0"/>
                    <w:adjustRightInd w:val="0"/>
                    <w:snapToGrid/>
                    <w:ind w:left="-2" w:right="128"/>
                    <w:jc w:val="center"/>
                    <w:rPr>
                      <w:rFonts w:hint="default"/>
                      <w:color w:val="auto"/>
                      <w:sz w:val="18"/>
                      <w:szCs w:val="18"/>
                    </w:rPr>
                  </w:pPr>
                  <w:r>
                    <w:rPr>
                      <w:rFonts w:hint="default"/>
                      <w:color w:val="auto"/>
                      <w:sz w:val="18"/>
                      <w:szCs w:val="18"/>
                    </w:rPr>
                    <w:t>不开展专项评价</w:t>
                  </w:r>
                </w:p>
              </w:tc>
              <w:tc>
                <w:tcPr>
                  <w:tcW w:w="759" w:type="pct"/>
                  <w:noWrap w:val="0"/>
                  <w:vAlign w:val="center"/>
                </w:tcPr>
                <w:p>
                  <w:pPr>
                    <w:keepNext w:val="0"/>
                    <w:keepLines w:val="0"/>
                    <w:pageBreakBefore w:val="0"/>
                    <w:widowControl w:val="0"/>
                    <w:wordWrap/>
                    <w:topLinePunct w:val="0"/>
                    <w:bidi w:val="0"/>
                    <w:snapToGrid/>
                    <w:jc w:val="center"/>
                    <w:rPr>
                      <w:rFonts w:hint="default"/>
                      <w:b/>
                      <w:bCs/>
                      <w:color w:val="auto"/>
                      <w:sz w:val="18"/>
                      <w:szCs w:val="18"/>
                    </w:rPr>
                  </w:pPr>
                  <w:r>
                    <w:rPr>
                      <w:rFonts w:hint="default"/>
                      <w:b/>
                      <w:bCs/>
                      <w:color w:val="auto"/>
                      <w:sz w:val="18"/>
                      <w:szCs w:val="18"/>
                      <w:lang w:val="zh-CN"/>
                    </w:rPr>
                    <w:t>否</w:t>
                  </w:r>
                </w:p>
              </w:tc>
              <w:tc>
                <w:tcPr>
                  <w:tcW w:w="1475" w:type="pct"/>
                  <w:noWrap w:val="0"/>
                  <w:vAlign w:val="center"/>
                </w:tcPr>
                <w:p>
                  <w:pPr>
                    <w:keepNext w:val="0"/>
                    <w:keepLines w:val="0"/>
                    <w:pageBreakBefore w:val="0"/>
                    <w:widowControl w:val="0"/>
                    <w:wordWrap/>
                    <w:topLinePunct w:val="0"/>
                    <w:bidi w:val="0"/>
                    <w:snapToGrid/>
                    <w:jc w:val="center"/>
                    <w:rPr>
                      <w:rFonts w:hint="default"/>
                      <w:color w:val="auto"/>
                      <w:sz w:val="18"/>
                      <w:szCs w:val="18"/>
                    </w:rPr>
                  </w:pPr>
                  <w:r>
                    <w:rPr>
                      <w:rFonts w:hint="default"/>
                      <w:color w:val="auto"/>
                      <w:sz w:val="18"/>
                      <w:szCs w:val="1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62" w:hRule="atLeast"/>
                <w:jc w:val="center"/>
              </w:trPr>
              <w:tc>
                <w:tcPr>
                  <w:tcW w:w="510" w:type="pct"/>
                  <w:noWrap w:val="0"/>
                  <w:vAlign w:val="center"/>
                </w:tcPr>
                <w:p>
                  <w:pPr>
                    <w:keepNext w:val="0"/>
                    <w:keepLines w:val="0"/>
                    <w:pageBreakBefore w:val="0"/>
                    <w:widowControl w:val="0"/>
                    <w:wordWrap/>
                    <w:topLinePunct w:val="0"/>
                    <w:autoSpaceDE w:val="0"/>
                    <w:autoSpaceDN w:val="0"/>
                    <w:bidi w:val="0"/>
                    <w:adjustRightInd w:val="0"/>
                    <w:snapToGrid/>
                    <w:jc w:val="center"/>
                    <w:textAlignment w:val="baseline"/>
                    <w:rPr>
                      <w:rFonts w:hint="default"/>
                      <w:b/>
                      <w:bCs/>
                      <w:color w:val="auto"/>
                      <w:sz w:val="18"/>
                      <w:szCs w:val="18"/>
                    </w:rPr>
                  </w:pPr>
                  <w:r>
                    <w:rPr>
                      <w:rFonts w:hint="default"/>
                      <w:b/>
                      <w:bCs/>
                      <w:color w:val="auto"/>
                      <w:sz w:val="18"/>
                      <w:szCs w:val="18"/>
                    </w:rPr>
                    <w:t>地下水</w:t>
                  </w:r>
                </w:p>
              </w:tc>
              <w:tc>
                <w:tcPr>
                  <w:tcW w:w="2254" w:type="pct"/>
                  <w:noWrap w:val="0"/>
                  <w:vAlign w:val="center"/>
                </w:tcPr>
                <w:p>
                  <w:pPr>
                    <w:keepNext w:val="0"/>
                    <w:keepLines w:val="0"/>
                    <w:pageBreakBefore w:val="0"/>
                    <w:widowControl w:val="0"/>
                    <w:kinsoku w:val="0"/>
                    <w:wordWrap/>
                    <w:overflowPunct w:val="0"/>
                    <w:topLinePunct w:val="0"/>
                    <w:autoSpaceDE w:val="0"/>
                    <w:autoSpaceDN w:val="0"/>
                    <w:bidi w:val="0"/>
                    <w:adjustRightInd w:val="0"/>
                    <w:snapToGrid/>
                    <w:ind w:left="-2" w:right="128"/>
                    <w:jc w:val="center"/>
                    <w:rPr>
                      <w:rFonts w:hint="default"/>
                      <w:color w:val="auto"/>
                      <w:sz w:val="18"/>
                      <w:szCs w:val="18"/>
                    </w:rPr>
                  </w:pPr>
                  <w:r>
                    <w:rPr>
                      <w:rFonts w:hint="default"/>
                      <w:color w:val="auto"/>
                      <w:sz w:val="18"/>
                      <w:szCs w:val="18"/>
                    </w:rPr>
                    <w:t>原则上不开展专项评价，涉及集中式饮用水水源和热水、矿泉水、温泉等特殊地下水资源保护区的开展地下水专项评价工作</w:t>
                  </w:r>
                </w:p>
              </w:tc>
              <w:tc>
                <w:tcPr>
                  <w:tcW w:w="759" w:type="pct"/>
                  <w:noWrap w:val="0"/>
                  <w:vAlign w:val="center"/>
                </w:tcPr>
                <w:p>
                  <w:pPr>
                    <w:keepNext w:val="0"/>
                    <w:keepLines w:val="0"/>
                    <w:pageBreakBefore w:val="0"/>
                    <w:widowControl w:val="0"/>
                    <w:wordWrap/>
                    <w:topLinePunct w:val="0"/>
                    <w:bidi w:val="0"/>
                    <w:snapToGrid/>
                    <w:jc w:val="center"/>
                    <w:rPr>
                      <w:rFonts w:hint="default"/>
                      <w:b/>
                      <w:bCs/>
                      <w:color w:val="auto"/>
                      <w:sz w:val="18"/>
                      <w:szCs w:val="18"/>
                    </w:rPr>
                  </w:pPr>
                  <w:r>
                    <w:rPr>
                      <w:rFonts w:hint="default"/>
                      <w:b/>
                      <w:bCs/>
                      <w:color w:val="auto"/>
                      <w:sz w:val="18"/>
                      <w:szCs w:val="18"/>
                      <w:lang w:val="zh-CN"/>
                    </w:rPr>
                    <w:t>否</w:t>
                  </w:r>
                </w:p>
              </w:tc>
              <w:tc>
                <w:tcPr>
                  <w:tcW w:w="1475" w:type="pct"/>
                  <w:noWrap w:val="0"/>
                  <w:vAlign w:val="center"/>
                </w:tcPr>
                <w:p>
                  <w:pPr>
                    <w:keepNext w:val="0"/>
                    <w:keepLines w:val="0"/>
                    <w:pageBreakBefore w:val="0"/>
                    <w:widowControl w:val="0"/>
                    <w:wordWrap/>
                    <w:topLinePunct w:val="0"/>
                    <w:bidi w:val="0"/>
                    <w:snapToGrid/>
                    <w:jc w:val="center"/>
                    <w:rPr>
                      <w:rFonts w:hint="default"/>
                      <w:color w:val="auto"/>
                      <w:sz w:val="18"/>
                      <w:szCs w:val="18"/>
                    </w:rPr>
                  </w:pPr>
                  <w:r>
                    <w:rPr>
                      <w:rFonts w:hint="default"/>
                      <w:color w:val="auto"/>
                      <w:sz w:val="18"/>
                      <w:szCs w:val="18"/>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78" w:hRule="atLeast"/>
                <w:jc w:val="center"/>
              </w:trPr>
              <w:tc>
                <w:tcPr>
                  <w:tcW w:w="5000" w:type="pct"/>
                  <w:gridSpan w:val="4"/>
                  <w:noWrap w:val="0"/>
                  <w:vAlign w:val="center"/>
                </w:tcPr>
                <w:p>
                  <w:pPr>
                    <w:keepNext w:val="0"/>
                    <w:keepLines w:val="0"/>
                    <w:pageBreakBefore w:val="0"/>
                    <w:widowControl w:val="0"/>
                    <w:wordWrap/>
                    <w:topLinePunct w:val="0"/>
                    <w:bidi w:val="0"/>
                    <w:snapToGrid/>
                    <w:jc w:val="left"/>
                    <w:rPr>
                      <w:rFonts w:hint="default" w:ascii="Times New Roman" w:hAnsi="Times New Roman" w:eastAsia="宋体" w:cs="Times New Roman"/>
                      <w:color w:val="auto"/>
                      <w:sz w:val="18"/>
                      <w:szCs w:val="18"/>
                    </w:rPr>
                  </w:pPr>
                  <w:r>
                    <w:rPr>
                      <w:rFonts w:hint="default" w:ascii="Times New Roman" w:hAnsi="Times New Roman" w:eastAsia="宋体" w:cs="Times New Roman"/>
                      <w:b/>
                      <w:bCs/>
                      <w:color w:val="auto"/>
                      <w:sz w:val="18"/>
                      <w:szCs w:val="18"/>
                    </w:rPr>
                    <w:t>注：</w:t>
                  </w:r>
                  <w:r>
                    <w:rPr>
                      <w:rFonts w:hint="default" w:ascii="Times New Roman" w:hAnsi="Times New Roman" w:eastAsia="宋体" w:cs="Times New Roman"/>
                      <w:color w:val="auto"/>
                      <w:sz w:val="18"/>
                      <w:szCs w:val="18"/>
                    </w:rPr>
                    <w:t>1.废气中有毒有害污染物指纳入《有毒有害大气污染物名录》的污染物（不包括无排放标准的污染物）。</w:t>
                  </w:r>
                </w:p>
                <w:p>
                  <w:pPr>
                    <w:keepNext w:val="0"/>
                    <w:keepLines w:val="0"/>
                    <w:pageBreakBefore w:val="0"/>
                    <w:widowControl w:val="0"/>
                    <w:wordWrap/>
                    <w:topLinePunct w:val="0"/>
                    <w:bidi w:val="0"/>
                    <w:snapToGrid/>
                    <w:ind w:firstLine="360" w:firstLineChars="200"/>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2.环境空气保护目标指自然保护区、风景名胜区、居住区、文化区和农村地区中人群较集中的区域。</w:t>
                  </w:r>
                </w:p>
                <w:p>
                  <w:pPr>
                    <w:keepNext w:val="0"/>
                    <w:keepLines w:val="0"/>
                    <w:pageBreakBefore w:val="0"/>
                    <w:widowControl w:val="0"/>
                    <w:wordWrap/>
                    <w:topLinePunct w:val="0"/>
                    <w:bidi w:val="0"/>
                    <w:snapToGrid/>
                    <w:ind w:firstLine="360" w:firstLineChars="200"/>
                    <w:jc w:val="left"/>
                    <w:rPr>
                      <w:rFonts w:hint="default"/>
                      <w:color w:val="auto"/>
                      <w:sz w:val="18"/>
                      <w:szCs w:val="18"/>
                    </w:rPr>
                  </w:pPr>
                  <w:r>
                    <w:rPr>
                      <w:rFonts w:hint="default" w:ascii="Times New Roman" w:hAnsi="Times New Roman" w:eastAsia="宋体" w:cs="Times New Roman"/>
                      <w:color w:val="auto"/>
                      <w:sz w:val="18"/>
                      <w:szCs w:val="18"/>
                    </w:rPr>
                    <w:t>3.临界量及其计算方法可参考《建设项目环境风险评价技术导则》（HJ 169）附录 B、附录C。</w:t>
                  </w:r>
                </w:p>
              </w:tc>
            </w:tr>
          </w:tbl>
          <w:p>
            <w:pPr>
              <w:keepNext w:val="0"/>
              <w:keepLines w:val="0"/>
              <w:pageBreakBefore w:val="0"/>
              <w:widowControl w:val="0"/>
              <w:kinsoku/>
              <w:wordWrap/>
              <w:overflowPunct/>
              <w:topLinePunct w:val="0"/>
              <w:autoSpaceDE w:val="0"/>
              <w:autoSpaceDN w:val="0"/>
              <w:bidi w:val="0"/>
              <w:adjustRightInd w:val="0"/>
              <w:snapToGrid w:val="0"/>
              <w:spacing w:line="500" w:lineRule="exact"/>
              <w:jc w:val="left"/>
              <w:textAlignment w:val="auto"/>
              <w:rPr>
                <w:color w:val="auto"/>
                <w:kern w:val="0"/>
                <w:szCs w:val="21"/>
              </w:rPr>
            </w:pPr>
            <w:r>
              <w:rPr>
                <w:rFonts w:hint="eastAsia"/>
                <w:color w:val="auto"/>
                <w:sz w:val="21"/>
                <w:szCs w:val="21"/>
                <w:lang w:val="en-US" w:eastAsia="zh-CN"/>
              </w:rPr>
              <w:t>根据上表分析，本项目</w:t>
            </w:r>
            <w:r>
              <w:rPr>
                <w:rFonts w:hint="eastAsia"/>
                <w:b/>
                <w:bCs/>
                <w:color w:val="auto"/>
                <w:sz w:val="21"/>
                <w:szCs w:val="21"/>
                <w:lang w:val="en-US" w:eastAsia="zh-CN"/>
              </w:rPr>
              <w:t>不设置专项评价</w:t>
            </w:r>
            <w:r>
              <w:rPr>
                <w:rFonts w:hint="eastAsia"/>
                <w:b w:val="0"/>
                <w:bCs w:val="0"/>
                <w:color w:val="auto"/>
                <w:sz w:val="21"/>
                <w:szCs w:val="21"/>
                <w:lang w:val="en-US" w:eastAsia="zh-CN"/>
              </w:rPr>
              <w:t>内容</w:t>
            </w:r>
            <w:r>
              <w:rPr>
                <w:rFonts w:hint="eastAsia"/>
                <w:color w:val="auto"/>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1623" w:type="dxa"/>
            <w:vAlign w:val="center"/>
          </w:tcPr>
          <w:p>
            <w:pPr>
              <w:autoSpaceDE w:val="0"/>
              <w:autoSpaceDN w:val="0"/>
              <w:adjustRightInd w:val="0"/>
              <w:snapToGrid w:val="0"/>
              <w:jc w:val="center"/>
              <w:rPr>
                <w:kern w:val="0"/>
                <w:szCs w:val="21"/>
              </w:rPr>
            </w:pPr>
            <w:r>
              <w:rPr>
                <w:szCs w:val="21"/>
              </w:rPr>
              <w:t>规划情况</w:t>
            </w:r>
          </w:p>
        </w:tc>
        <w:tc>
          <w:tcPr>
            <w:tcW w:w="7247"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firstLine="0" w:firstLineChars="0"/>
              <w:textAlignment w:val="auto"/>
              <w:rPr>
                <w:rFonts w:hint="default" w:ascii="Times New Roman" w:hAnsi="Times New Roman" w:cs="Times New Roman"/>
                <w:bCs/>
                <w:color w:val="auto"/>
                <w:szCs w:val="21"/>
              </w:rPr>
            </w:pPr>
            <w:r>
              <w:rPr>
                <w:rFonts w:hint="eastAsia" w:cs="Times New Roman"/>
                <w:b w:val="0"/>
                <w:bCs/>
                <w:color w:val="auto"/>
                <w:szCs w:val="21"/>
                <w:lang w:val="en-US" w:eastAsia="zh-CN"/>
              </w:rPr>
              <w:t>1、</w:t>
            </w:r>
            <w:r>
              <w:rPr>
                <w:rFonts w:hint="default" w:ascii="Times New Roman" w:hAnsi="Times New Roman" w:cs="Times New Roman"/>
                <w:b w:val="0"/>
                <w:bCs/>
                <w:color w:val="auto"/>
                <w:szCs w:val="21"/>
              </w:rPr>
              <w:t>规划名称：</w:t>
            </w:r>
            <w:r>
              <w:rPr>
                <w:rFonts w:hint="eastAsia" w:ascii="Times New Roman" w:hAnsi="Times New Roman" w:cs="Times New Roman"/>
                <w:bCs/>
                <w:color w:val="auto"/>
                <w:szCs w:val="21"/>
              </w:rPr>
              <w:t>《如皋市国土空间总体规划（2021－2035年）》</w:t>
            </w:r>
            <w:r>
              <w:rPr>
                <w:rFonts w:hint="default" w:ascii="Times New Roman" w:hAnsi="Times New Roman" w:cs="Times New Roman"/>
                <w:bCs/>
                <w:color w:val="auto"/>
                <w:szCs w:val="21"/>
              </w:rPr>
              <w:t>；</w:t>
            </w:r>
          </w:p>
          <w:p>
            <w:pPr>
              <w:keepNext w:val="0"/>
              <w:keepLines w:val="0"/>
              <w:pageBreakBefore w:val="0"/>
              <w:widowControl w:val="0"/>
              <w:kinsoku/>
              <w:wordWrap/>
              <w:overflowPunct/>
              <w:topLinePunct w:val="0"/>
              <w:autoSpaceDE/>
              <w:autoSpaceDN/>
              <w:bidi w:val="0"/>
              <w:adjustRightInd w:val="0"/>
              <w:snapToGrid w:val="0"/>
              <w:spacing w:line="500" w:lineRule="exact"/>
              <w:ind w:firstLine="0" w:firstLineChars="0"/>
              <w:textAlignment w:val="auto"/>
              <w:rPr>
                <w:rFonts w:hint="default" w:ascii="Times New Roman" w:hAnsi="Times New Roman" w:cs="Times New Roman"/>
                <w:bCs/>
                <w:color w:val="auto"/>
                <w:szCs w:val="21"/>
              </w:rPr>
            </w:pPr>
            <w:r>
              <w:rPr>
                <w:rFonts w:hint="default" w:ascii="Times New Roman" w:hAnsi="Times New Roman" w:cs="Times New Roman"/>
                <w:b w:val="0"/>
                <w:bCs/>
                <w:color w:val="auto"/>
                <w:szCs w:val="21"/>
              </w:rPr>
              <w:t>审批机关：</w:t>
            </w:r>
            <w:r>
              <w:rPr>
                <w:rFonts w:hint="eastAsia" w:ascii="Times New Roman" w:hAnsi="Times New Roman" w:cs="Times New Roman"/>
                <w:bCs/>
                <w:color w:val="auto"/>
                <w:szCs w:val="21"/>
              </w:rPr>
              <w:t>江苏省人民政府</w:t>
            </w:r>
          </w:p>
          <w:p>
            <w:pPr>
              <w:keepNext w:val="0"/>
              <w:keepLines w:val="0"/>
              <w:pageBreakBefore w:val="0"/>
              <w:widowControl w:val="0"/>
              <w:kinsoku/>
              <w:wordWrap/>
              <w:overflowPunct/>
              <w:topLinePunct w:val="0"/>
              <w:autoSpaceDE/>
              <w:autoSpaceDN/>
              <w:bidi w:val="0"/>
              <w:adjustRightInd w:val="0"/>
              <w:snapToGrid w:val="0"/>
              <w:spacing w:line="500" w:lineRule="exact"/>
              <w:ind w:firstLine="0" w:firstLineChars="0"/>
              <w:textAlignment w:val="auto"/>
              <w:rPr>
                <w:rFonts w:hint="default" w:ascii="Times New Roman" w:hAnsi="Times New Roman" w:cs="Times New Roman"/>
                <w:bCs/>
                <w:color w:val="auto"/>
                <w:szCs w:val="21"/>
              </w:rPr>
            </w:pPr>
            <w:r>
              <w:rPr>
                <w:rFonts w:hint="default" w:ascii="Times New Roman" w:hAnsi="Times New Roman" w:cs="Times New Roman"/>
                <w:b w:val="0"/>
                <w:bCs/>
                <w:color w:val="auto"/>
                <w:szCs w:val="21"/>
              </w:rPr>
              <w:t>审批文件名称及文号：</w:t>
            </w:r>
            <w:r>
              <w:rPr>
                <w:rFonts w:hint="eastAsia" w:ascii="Times New Roman" w:hAnsi="Times New Roman" w:cs="Times New Roman"/>
                <w:bCs/>
                <w:color w:val="auto"/>
                <w:szCs w:val="21"/>
              </w:rPr>
              <w:t>《省政府关于南通市海门区、如东县、启东市、如皋市、海安市国土空间总体规划（2021－2035年）的批复》，</w:t>
            </w:r>
            <w:r>
              <w:rPr>
                <w:rFonts w:hint="default" w:ascii="Times New Roman" w:hAnsi="Times New Roman" w:cs="Times New Roman"/>
                <w:bCs/>
                <w:color w:val="auto"/>
                <w:szCs w:val="21"/>
              </w:rPr>
              <w:t>苏政复〔2023〕43号</w:t>
            </w:r>
          </w:p>
          <w:p>
            <w:pPr>
              <w:autoSpaceDE w:val="0"/>
              <w:autoSpaceDN w:val="0"/>
              <w:adjustRightInd w:val="0"/>
              <w:snapToGrid w:val="0"/>
              <w:spacing w:line="500" w:lineRule="exact"/>
              <w:jc w:val="left"/>
              <w:rPr>
                <w:rFonts w:hint="default" w:ascii="Times New Roman" w:hAnsi="Times New Roman" w:cs="Times New Roman"/>
                <w:color w:val="auto"/>
                <w:kern w:val="0"/>
                <w:szCs w:val="21"/>
                <w:lang w:eastAsia="zh-CN"/>
              </w:rPr>
            </w:pPr>
            <w:r>
              <w:rPr>
                <w:rFonts w:hint="eastAsia" w:ascii="Times New Roman" w:hAnsi="Times New Roman" w:cs="Times New Roman"/>
                <w:color w:val="auto"/>
                <w:kern w:val="0"/>
                <w:szCs w:val="21"/>
                <w:lang w:val="en-US" w:eastAsia="zh-CN"/>
              </w:rPr>
              <w:t>2、</w:t>
            </w:r>
            <w:r>
              <w:rPr>
                <w:rFonts w:hint="default" w:ascii="Times New Roman" w:hAnsi="Times New Roman" w:cs="Times New Roman"/>
                <w:color w:val="auto"/>
                <w:kern w:val="0"/>
                <w:szCs w:val="21"/>
                <w:lang w:eastAsia="zh-CN"/>
              </w:rPr>
              <w:t>规划名称：如皋市长江镇（如皋港区）总体规划（2008-2030）</w:t>
            </w:r>
          </w:p>
          <w:p>
            <w:pPr>
              <w:autoSpaceDE w:val="0"/>
              <w:autoSpaceDN w:val="0"/>
              <w:adjustRightInd w:val="0"/>
              <w:snapToGrid w:val="0"/>
              <w:spacing w:line="500" w:lineRule="exact"/>
              <w:jc w:val="left"/>
              <w:rPr>
                <w:rFonts w:hint="default" w:ascii="Times New Roman" w:hAnsi="Times New Roman" w:cs="Times New Roman"/>
                <w:color w:val="auto"/>
                <w:kern w:val="0"/>
                <w:szCs w:val="21"/>
                <w:lang w:eastAsia="zh-CN"/>
              </w:rPr>
            </w:pPr>
            <w:r>
              <w:rPr>
                <w:rFonts w:hint="default" w:ascii="Times New Roman" w:hAnsi="Times New Roman" w:cs="Times New Roman"/>
                <w:color w:val="auto"/>
                <w:kern w:val="0"/>
                <w:szCs w:val="21"/>
                <w:lang w:eastAsia="zh-CN"/>
              </w:rPr>
              <w:t>审批机关：南通市人民政府</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500" w:lineRule="exact"/>
              <w:jc w:val="both"/>
              <w:textAlignment w:val="auto"/>
              <w:rPr>
                <w:rFonts w:hint="eastAsia" w:ascii="Times New Roman" w:hAnsi="Times New Roman" w:cs="Times New Roman"/>
                <w:bCs/>
                <w:color w:val="auto"/>
                <w:szCs w:val="21"/>
                <w:lang w:eastAsia="zh-CN"/>
              </w:rPr>
            </w:pPr>
            <w:r>
              <w:rPr>
                <w:rFonts w:hint="default" w:ascii="Times New Roman" w:hAnsi="Times New Roman" w:cs="Times New Roman"/>
                <w:color w:val="auto"/>
                <w:kern w:val="0"/>
                <w:szCs w:val="21"/>
                <w:lang w:eastAsia="zh-CN"/>
              </w:rPr>
              <w:t>审批文件名称及文号：关于如皋市长江镇（如皋港区）总体规划的批复（通规管）[2008]162号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9" w:hRule="atLeast"/>
          <w:jc w:val="center"/>
        </w:trPr>
        <w:tc>
          <w:tcPr>
            <w:tcW w:w="1623" w:type="dxa"/>
            <w:vAlign w:val="center"/>
          </w:tcPr>
          <w:p>
            <w:pPr>
              <w:adjustRightInd w:val="0"/>
              <w:snapToGrid w:val="0"/>
              <w:jc w:val="center"/>
              <w:rPr>
                <w:szCs w:val="21"/>
              </w:rPr>
            </w:pPr>
            <w:r>
              <w:rPr>
                <w:szCs w:val="21"/>
              </w:rPr>
              <w:t>规划环境影响</w:t>
            </w:r>
          </w:p>
          <w:p>
            <w:pPr>
              <w:autoSpaceDE w:val="0"/>
              <w:autoSpaceDN w:val="0"/>
              <w:adjustRightInd w:val="0"/>
              <w:snapToGrid w:val="0"/>
              <w:jc w:val="center"/>
              <w:rPr>
                <w:szCs w:val="21"/>
              </w:rPr>
            </w:pPr>
            <w:r>
              <w:rPr>
                <w:szCs w:val="21"/>
              </w:rPr>
              <w:t>评价情况</w:t>
            </w:r>
          </w:p>
        </w:tc>
        <w:tc>
          <w:tcPr>
            <w:tcW w:w="7247"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firstLine="0" w:firstLineChars="0"/>
              <w:textAlignment w:val="auto"/>
              <w:rPr>
                <w:rFonts w:hint="default" w:ascii="Times New Roman" w:hAnsi="Times New Roman" w:cs="Times New Roman"/>
                <w:bCs/>
                <w:color w:val="auto"/>
                <w:szCs w:val="21"/>
              </w:rPr>
            </w:pPr>
            <w:r>
              <w:rPr>
                <w:rFonts w:hint="default" w:ascii="Times New Roman" w:hAnsi="Times New Roman" w:cs="Times New Roman"/>
                <w:b w:val="0"/>
                <w:bCs/>
                <w:color w:val="auto"/>
                <w:szCs w:val="21"/>
              </w:rPr>
              <w:t>规划</w:t>
            </w:r>
            <w:r>
              <w:rPr>
                <w:rFonts w:hint="eastAsia" w:cs="Times New Roman"/>
                <w:b w:val="0"/>
                <w:bCs/>
                <w:color w:val="auto"/>
                <w:szCs w:val="21"/>
                <w:lang w:eastAsia="zh-CN"/>
              </w:rPr>
              <w:t>环评</w:t>
            </w:r>
            <w:r>
              <w:rPr>
                <w:rFonts w:hint="default" w:ascii="Times New Roman" w:hAnsi="Times New Roman" w:cs="Times New Roman"/>
                <w:b w:val="0"/>
                <w:bCs/>
                <w:color w:val="auto"/>
                <w:szCs w:val="21"/>
              </w:rPr>
              <w:t>名称：</w:t>
            </w:r>
            <w:r>
              <w:rPr>
                <w:rFonts w:hint="default" w:ascii="Times New Roman" w:hAnsi="Times New Roman" w:cs="Times New Roman"/>
                <w:bCs/>
                <w:color w:val="auto"/>
                <w:szCs w:val="21"/>
              </w:rPr>
              <w:t>《</w:t>
            </w:r>
            <w:r>
              <w:rPr>
                <w:rFonts w:hint="eastAsia" w:ascii="Times New Roman" w:hAnsi="Times New Roman" w:cs="Times New Roman"/>
                <w:bCs/>
                <w:color w:val="auto"/>
                <w:szCs w:val="21"/>
              </w:rPr>
              <w:t>长江镇（如皋港工业园区）开发建设规划（2020-2030）环境影响报告书</w:t>
            </w:r>
            <w:r>
              <w:rPr>
                <w:rFonts w:hint="default" w:ascii="Times New Roman" w:hAnsi="Times New Roman" w:cs="Times New Roman"/>
                <w:bCs/>
                <w:color w:val="auto"/>
                <w:szCs w:val="21"/>
              </w:rPr>
              <w:t>》；</w:t>
            </w:r>
          </w:p>
          <w:p>
            <w:pPr>
              <w:keepNext w:val="0"/>
              <w:keepLines w:val="0"/>
              <w:pageBreakBefore w:val="0"/>
              <w:widowControl w:val="0"/>
              <w:kinsoku/>
              <w:wordWrap/>
              <w:overflowPunct/>
              <w:topLinePunct w:val="0"/>
              <w:autoSpaceDE/>
              <w:autoSpaceDN/>
              <w:bidi w:val="0"/>
              <w:adjustRightInd w:val="0"/>
              <w:snapToGrid w:val="0"/>
              <w:spacing w:line="500" w:lineRule="exact"/>
              <w:ind w:firstLine="0" w:firstLineChars="0"/>
              <w:textAlignment w:val="auto"/>
              <w:rPr>
                <w:rFonts w:hint="default" w:ascii="Times New Roman" w:hAnsi="Times New Roman" w:cs="Times New Roman"/>
                <w:bCs/>
                <w:color w:val="auto"/>
                <w:szCs w:val="21"/>
              </w:rPr>
            </w:pPr>
            <w:r>
              <w:rPr>
                <w:rFonts w:hint="default" w:ascii="Times New Roman" w:hAnsi="Times New Roman" w:cs="Times New Roman"/>
                <w:b w:val="0"/>
                <w:bCs/>
                <w:color w:val="auto"/>
                <w:szCs w:val="21"/>
              </w:rPr>
              <w:t>审批机关：</w:t>
            </w:r>
            <w:r>
              <w:rPr>
                <w:rFonts w:hint="eastAsia" w:ascii="Times New Roman" w:hAnsi="Times New Roman" w:cs="Times New Roman"/>
                <w:bCs/>
                <w:color w:val="auto"/>
                <w:szCs w:val="21"/>
              </w:rPr>
              <w:t>南通市如皋生态环境局</w:t>
            </w:r>
            <w:r>
              <w:rPr>
                <w:rFonts w:hint="default" w:ascii="Times New Roman" w:hAnsi="Times New Roman" w:cs="Times New Roman"/>
                <w:bCs/>
                <w:color w:val="auto"/>
                <w:szCs w:val="21"/>
              </w:rPr>
              <w:t>；</w:t>
            </w:r>
          </w:p>
          <w:p>
            <w:pPr>
              <w:keepNext w:val="0"/>
              <w:keepLines w:val="0"/>
              <w:pageBreakBefore w:val="0"/>
              <w:widowControl w:val="0"/>
              <w:kinsoku/>
              <w:wordWrap/>
              <w:overflowPunct/>
              <w:topLinePunct w:val="0"/>
              <w:autoSpaceDE/>
              <w:autoSpaceDN/>
              <w:bidi w:val="0"/>
              <w:adjustRightInd w:val="0"/>
              <w:snapToGrid w:val="0"/>
              <w:spacing w:line="500" w:lineRule="exact"/>
              <w:ind w:firstLine="0" w:firstLineChars="0"/>
              <w:textAlignment w:val="auto"/>
              <w:rPr>
                <w:rFonts w:hint="default" w:ascii="Times New Roman" w:hAnsi="Times New Roman" w:cs="Times New Roman"/>
                <w:bCs/>
                <w:color w:val="auto"/>
                <w:szCs w:val="21"/>
              </w:rPr>
            </w:pPr>
            <w:r>
              <w:rPr>
                <w:rFonts w:hint="default" w:ascii="Times New Roman" w:hAnsi="Times New Roman" w:cs="Times New Roman"/>
                <w:b w:val="0"/>
                <w:bCs/>
                <w:color w:val="auto"/>
                <w:szCs w:val="21"/>
              </w:rPr>
              <w:t>审批文件名称及文号：</w:t>
            </w:r>
            <w:r>
              <w:rPr>
                <w:rFonts w:hint="default" w:ascii="Times New Roman" w:hAnsi="Times New Roman" w:cs="Times New Roman"/>
                <w:bCs/>
                <w:color w:val="auto"/>
                <w:szCs w:val="21"/>
              </w:rPr>
              <w:t>《〈长江镇（如皋港工业园区）开发建设规划（2020-2030）环境影响报告书〉</w:t>
            </w:r>
            <w:r>
              <w:rPr>
                <w:rFonts w:hint="eastAsia" w:ascii="Times New Roman" w:hAnsi="Times New Roman" w:cs="Times New Roman"/>
                <w:bCs/>
                <w:color w:val="auto"/>
                <w:szCs w:val="21"/>
              </w:rPr>
              <w:t>审查意见</w:t>
            </w:r>
            <w:r>
              <w:rPr>
                <w:rFonts w:hint="default" w:ascii="Times New Roman" w:hAnsi="Times New Roman" w:cs="Times New Roman"/>
                <w:bCs/>
                <w:color w:val="auto"/>
                <w:szCs w:val="21"/>
              </w:rPr>
              <w:t>》</w:t>
            </w:r>
            <w:r>
              <w:rPr>
                <w:rFonts w:hint="eastAsia" w:ascii="Times New Roman" w:hAnsi="Times New Roman" w:cs="Times New Roman"/>
                <w:bCs/>
                <w:color w:val="auto"/>
                <w:szCs w:val="21"/>
              </w:rPr>
              <w:t>，2021年1月22日</w:t>
            </w:r>
            <w:r>
              <w:rPr>
                <w:rFonts w:hint="default" w:ascii="Times New Roman" w:hAnsi="Times New Roman" w:cs="Times New Roman"/>
                <w:bCs/>
                <w:color w:val="auto"/>
                <w:szCs w:val="21"/>
                <w:lang w:val="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7" w:hRule="atLeast"/>
          <w:jc w:val="center"/>
        </w:trPr>
        <w:tc>
          <w:tcPr>
            <w:tcW w:w="1623" w:type="dxa"/>
            <w:vAlign w:val="center"/>
          </w:tcPr>
          <w:p>
            <w:pPr>
              <w:autoSpaceDE w:val="0"/>
              <w:autoSpaceDN w:val="0"/>
              <w:adjustRightInd w:val="0"/>
              <w:snapToGrid w:val="0"/>
              <w:jc w:val="center"/>
              <w:rPr>
                <w:szCs w:val="21"/>
              </w:rPr>
            </w:pPr>
            <w:r>
              <w:rPr>
                <w:kern w:val="0"/>
                <w:szCs w:val="21"/>
              </w:rPr>
              <w:t>规划及规划环境影响评价符合性分析</w:t>
            </w:r>
          </w:p>
        </w:tc>
        <w:tc>
          <w:tcPr>
            <w:tcW w:w="7247" w:type="dxa"/>
            <w:gridSpan w:val="4"/>
            <w:vAlign w:val="center"/>
          </w:tcPr>
          <w:p>
            <w:pPr>
              <w:adjustRightInd w:val="0"/>
              <w:snapToGrid w:val="0"/>
              <w:spacing w:line="500" w:lineRule="exact"/>
              <w:ind w:firstLine="420" w:firstLineChars="200"/>
              <w:rPr>
                <w:rFonts w:hint="default" w:ascii="Times New Roman" w:hAnsi="Times New Roman" w:cs="Times New Roman"/>
                <w:bCs/>
                <w:color w:val="auto"/>
                <w:szCs w:val="21"/>
              </w:rPr>
            </w:pPr>
            <w:r>
              <w:rPr>
                <w:rFonts w:hint="default" w:ascii="Times New Roman" w:hAnsi="Times New Roman" w:cs="Times New Roman"/>
                <w:bCs/>
                <w:color w:val="auto"/>
                <w:szCs w:val="21"/>
              </w:rPr>
              <w:t>1、规划相符性分析</w:t>
            </w:r>
          </w:p>
          <w:p>
            <w:pPr>
              <w:adjustRightInd w:val="0"/>
              <w:snapToGrid w:val="0"/>
              <w:spacing w:line="500" w:lineRule="exact"/>
              <w:ind w:firstLine="420" w:firstLineChars="200"/>
              <w:rPr>
                <w:rFonts w:hint="default" w:ascii="Times New Roman" w:hAnsi="Times New Roman" w:eastAsia="宋体" w:cs="Times New Roman"/>
                <w:bCs/>
                <w:color w:val="auto"/>
                <w:szCs w:val="21"/>
                <w:lang w:eastAsia="zh-CN"/>
              </w:rPr>
            </w:pPr>
            <w:r>
              <w:rPr>
                <w:rFonts w:hint="default" w:ascii="Times New Roman" w:hAnsi="Times New Roman" w:cs="Times New Roman"/>
                <w:bCs/>
                <w:color w:val="auto"/>
                <w:szCs w:val="21"/>
                <w:lang w:val="en-US" w:eastAsia="zh-CN"/>
              </w:rPr>
              <w:t>1</w:t>
            </w:r>
            <w:r>
              <w:rPr>
                <w:rFonts w:hint="default" w:ascii="Times New Roman" w:hAnsi="Times New Roman" w:cs="Times New Roman"/>
                <w:bCs/>
                <w:color w:val="auto"/>
                <w:szCs w:val="21"/>
                <w:lang w:eastAsia="zh-CN"/>
              </w:rPr>
              <w:t>）规划范围</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20" w:firstLineChars="200"/>
              <w:jc w:val="left"/>
              <w:textAlignment w:val="auto"/>
              <w:rPr>
                <w:rFonts w:hint="default" w:ascii="Times New Roman" w:hAnsi="Times New Roman" w:cs="Times New Roman"/>
                <w:color w:val="auto"/>
                <w:kern w:val="0"/>
                <w:szCs w:val="21"/>
                <w:lang w:eastAsia="zh-CN"/>
              </w:rPr>
            </w:pPr>
            <w:r>
              <w:rPr>
                <w:rFonts w:hint="default" w:ascii="Times New Roman" w:hAnsi="Times New Roman" w:cs="Times New Roman"/>
                <w:color w:val="auto"/>
                <w:kern w:val="0"/>
                <w:szCs w:val="21"/>
                <w:lang w:eastAsia="zh-CN"/>
              </w:rPr>
              <w:t>根据</w:t>
            </w:r>
            <w:r>
              <w:rPr>
                <w:rFonts w:hint="eastAsia" w:cs="Times New Roman"/>
                <w:color w:val="auto"/>
                <w:kern w:val="0"/>
                <w:szCs w:val="21"/>
                <w:lang w:eastAsia="zh-CN"/>
              </w:rPr>
              <w:t>《</w:t>
            </w:r>
            <w:r>
              <w:rPr>
                <w:rFonts w:hint="eastAsia"/>
                <w:color w:val="auto"/>
                <w:kern w:val="0"/>
                <w:szCs w:val="21"/>
              </w:rPr>
              <w:t>长江镇（如皋港工业园区）开发建设规划</w:t>
            </w:r>
            <w:r>
              <w:rPr>
                <w:rFonts w:hint="eastAsia" w:cs="Times New Roman"/>
                <w:color w:val="auto"/>
                <w:kern w:val="0"/>
                <w:szCs w:val="21"/>
                <w:lang w:eastAsia="zh-CN"/>
              </w:rPr>
              <w:t>》</w:t>
            </w:r>
            <w:r>
              <w:rPr>
                <w:rFonts w:hint="eastAsia"/>
                <w:color w:val="auto"/>
                <w:kern w:val="0"/>
                <w:szCs w:val="21"/>
              </w:rPr>
              <w:t>（2020-2030）</w:t>
            </w:r>
            <w:r>
              <w:rPr>
                <w:rFonts w:hint="eastAsia" w:cs="Times New Roman"/>
                <w:color w:val="auto"/>
                <w:kern w:val="0"/>
                <w:szCs w:val="21"/>
                <w:lang w:val="en-US" w:eastAsia="zh-CN"/>
              </w:rPr>
              <w:t>及</w:t>
            </w:r>
            <w:r>
              <w:rPr>
                <w:rFonts w:hint="default" w:ascii="Times New Roman" w:hAnsi="Times New Roman" w:cs="Times New Roman"/>
                <w:color w:val="auto"/>
                <w:kern w:val="0"/>
                <w:szCs w:val="21"/>
                <w:lang w:eastAsia="zh-CN"/>
              </w:rPr>
              <w:t>《长江镇（如皋港工业园区）开发建设规划（2020-2030）环境影响报告书》审查意见，区域规划范围为：北至沪陕高速，西至王石线沿江公路以北、如皋港引河沿岸码头、兴港路（如港路-长江路）、长江路（兴港路-滨江路）、滨江路（长江路-德源高科厂界）、皋靖界线，东至如海运河，南至长江皋张边界，陆域总面积111.96平方公里，规划期限：2020-2030年，规划基准年2019年，规划布局：规划形成“一心两轴、一区四园”的空间布局结构。</w:t>
            </w:r>
            <w:r>
              <w:rPr>
                <w:rFonts w:hint="eastAsia"/>
                <w:color w:val="auto"/>
                <w:lang w:eastAsia="zh-CN"/>
              </w:rPr>
              <w:t>本项目</w:t>
            </w:r>
            <w:r>
              <w:rPr>
                <w:rFonts w:hint="eastAsia" w:cs="Times New Roman"/>
                <w:color w:val="auto"/>
                <w:kern w:val="0"/>
                <w:szCs w:val="21"/>
                <w:lang w:eastAsia="zh-CN"/>
              </w:rPr>
              <w:t>位于</w:t>
            </w:r>
            <w:r>
              <w:rPr>
                <w:rFonts w:hint="eastAsia" w:cs="Times New Roman"/>
                <w:color w:val="auto"/>
                <w:kern w:val="0"/>
                <w:szCs w:val="21"/>
                <w:lang w:val="en-US" w:eastAsia="zh-CN"/>
              </w:rPr>
              <w:t>规划范围内</w:t>
            </w:r>
            <w:r>
              <w:rPr>
                <w:rFonts w:hint="eastAsia" w:cs="Times New Roman"/>
                <w:color w:val="auto"/>
                <w:kern w:val="0"/>
                <w:szCs w:val="21"/>
                <w:lang w:eastAsia="zh-CN"/>
              </w:rPr>
              <w:t>的智能装备制造产业园（北）。</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firstLine="420" w:firstLineChars="200"/>
              <w:jc w:val="left"/>
              <w:textAlignment w:val="auto"/>
              <w:rPr>
                <w:rFonts w:hint="eastAsia" w:cs="Times New Roman"/>
                <w:color w:val="auto"/>
                <w:kern w:val="0"/>
                <w:szCs w:val="21"/>
                <w:lang w:val="en-US" w:eastAsia="zh-CN"/>
              </w:rPr>
            </w:pPr>
            <w:r>
              <w:rPr>
                <w:rFonts w:hint="eastAsia" w:cs="Times New Roman"/>
                <w:color w:val="auto"/>
                <w:kern w:val="0"/>
                <w:szCs w:val="21"/>
                <w:lang w:val="en-US" w:eastAsia="zh-CN"/>
              </w:rPr>
              <w:t>2）规划布局</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20" w:firstLineChars="200"/>
              <w:jc w:val="left"/>
              <w:textAlignment w:val="auto"/>
              <w:rPr>
                <w:rFonts w:hint="eastAsia" w:ascii="Times New Roman" w:hAnsi="Times New Roman" w:cs="Times New Roman"/>
                <w:color w:val="auto"/>
                <w:kern w:val="0"/>
                <w:szCs w:val="21"/>
                <w:lang w:val="en-US" w:eastAsia="zh-CN"/>
              </w:rPr>
            </w:pPr>
            <w:r>
              <w:rPr>
                <w:rFonts w:hint="eastAsia" w:ascii="Times New Roman" w:hAnsi="Times New Roman" w:cs="Times New Roman"/>
                <w:color w:val="auto"/>
                <w:kern w:val="0"/>
                <w:szCs w:val="21"/>
                <w:lang w:val="en-US" w:eastAsia="zh-CN"/>
              </w:rPr>
              <w:t>规划形成“一心两轴、一区四园”的空间布局结构。</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20" w:firstLineChars="200"/>
              <w:jc w:val="left"/>
              <w:textAlignment w:val="auto"/>
              <w:rPr>
                <w:rFonts w:hint="default" w:ascii="Times New Roman" w:hAnsi="Times New Roman" w:cs="Times New Roman"/>
                <w:color w:val="auto"/>
                <w:kern w:val="0"/>
                <w:szCs w:val="21"/>
                <w:lang w:eastAsia="zh-CN"/>
              </w:rPr>
            </w:pPr>
            <w:r>
              <w:rPr>
                <w:rFonts w:hint="eastAsia" w:cs="Times New Roman"/>
                <w:color w:val="auto"/>
                <w:kern w:val="0"/>
                <w:szCs w:val="21"/>
                <w:lang w:val="en-US" w:eastAsia="zh-CN"/>
              </w:rPr>
              <w:t>3</w:t>
            </w:r>
            <w:r>
              <w:rPr>
                <w:rFonts w:hint="eastAsia" w:ascii="Times New Roman" w:hAnsi="Times New Roman" w:cs="Times New Roman"/>
                <w:color w:val="auto"/>
                <w:kern w:val="0"/>
                <w:szCs w:val="21"/>
                <w:lang w:val="en-US" w:eastAsia="zh-CN"/>
              </w:rPr>
              <w:t>）</w:t>
            </w:r>
            <w:r>
              <w:rPr>
                <w:rFonts w:hint="eastAsia" w:ascii="Times New Roman" w:hAnsi="Times New Roman" w:cs="Times New Roman"/>
                <w:color w:val="auto"/>
                <w:kern w:val="0"/>
                <w:szCs w:val="21"/>
                <w:lang w:eastAsia="zh-CN"/>
              </w:rPr>
              <w:t>产业定位</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20" w:firstLineChars="200"/>
              <w:jc w:val="left"/>
              <w:textAlignment w:val="auto"/>
              <w:rPr>
                <w:color w:val="auto"/>
              </w:rPr>
            </w:pPr>
            <w:r>
              <w:rPr>
                <w:rFonts w:hint="eastAsia"/>
                <w:color w:val="auto"/>
                <w:kern w:val="0"/>
                <w:szCs w:val="21"/>
                <w:lang w:eastAsia="zh-CN"/>
              </w:rPr>
              <w:t>重点发展高端新材料、智能装备制造和现代物流“2+1”产业发展体系，其中高端新材料重点发展前沿新材料，智能装备制造业大力发展智能设备、汽车零部件和电子信息三大领域。同时结合产业发展需求和城市副中心定位，配套发展科技服务、电子商务等生产性服务业与商贸服务，全域旅游等生活性服务业。</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20" w:firstLineChars="200"/>
              <w:jc w:val="left"/>
              <w:textAlignment w:val="auto"/>
              <w:rPr>
                <w:rFonts w:hint="eastAsia"/>
                <w:color w:val="auto"/>
                <w:lang w:eastAsia="zh-CN"/>
              </w:rPr>
            </w:pPr>
            <w:r>
              <w:rPr>
                <w:rFonts w:hint="default" w:ascii="Times New Roman" w:hAnsi="Times New Roman" w:cs="Times New Roman"/>
                <w:color w:val="auto"/>
                <w:kern w:val="0"/>
                <w:szCs w:val="21"/>
                <w:lang w:eastAsia="zh-CN"/>
              </w:rPr>
              <w:t>智能装备制造产业园（北）：重点发展汽车零部件及通讯设备产业门类。汽车零部件近期重点发展轻量化汽车底盘系统，远期依托高品质钢结构、高档模具钢等产业基础，在车身结构件、车身覆盖件等车身系统环节。通讯设备做大做强天线、天馈、射频器件、线缆等移动通信基站配件产业，同时发展以智能可穿戴设备、智能家居、智能交通为代表的新兴移动智能终端产品。</w:t>
            </w:r>
          </w:p>
          <w:p>
            <w:pPr>
              <w:adjustRightInd w:val="0"/>
              <w:snapToGrid w:val="0"/>
              <w:spacing w:line="500" w:lineRule="exact"/>
              <w:ind w:firstLine="420" w:firstLineChars="200"/>
              <w:rPr>
                <w:rFonts w:hint="default" w:ascii="Times New Roman" w:hAnsi="Times New Roman" w:cs="Times New Roman"/>
                <w:bCs/>
                <w:color w:val="auto"/>
                <w:szCs w:val="21"/>
              </w:rPr>
            </w:pPr>
            <w:r>
              <w:rPr>
                <w:rFonts w:hint="eastAsia" w:cs="Times New Roman"/>
                <w:color w:val="auto"/>
                <w:kern w:val="0"/>
                <w:szCs w:val="21"/>
                <w:lang w:eastAsia="zh-CN"/>
              </w:rPr>
              <w:t>本</w:t>
            </w:r>
            <w:r>
              <w:rPr>
                <w:rFonts w:hint="default" w:ascii="Times New Roman" w:hAnsi="Times New Roman" w:cs="Times New Roman"/>
                <w:color w:val="auto"/>
                <w:kern w:val="0"/>
                <w:szCs w:val="21"/>
                <w:lang w:eastAsia="zh-CN"/>
              </w:rPr>
              <w:t>项目位于</w:t>
            </w:r>
            <w:r>
              <w:rPr>
                <w:rFonts w:hint="eastAsia"/>
                <w:color w:val="auto"/>
                <w:szCs w:val="21"/>
                <w:lang w:val="en-US" w:eastAsia="zh-CN"/>
              </w:rPr>
              <w:t>如皋市长江镇创业路8号</w:t>
            </w:r>
            <w:r>
              <w:rPr>
                <w:rFonts w:hint="default" w:ascii="Times New Roman" w:hAnsi="Times New Roman" w:cs="Times New Roman"/>
                <w:color w:val="auto"/>
                <w:kern w:val="0"/>
                <w:szCs w:val="21"/>
                <w:lang w:eastAsia="zh-CN"/>
              </w:rPr>
              <w:t>，</w:t>
            </w:r>
            <w:r>
              <w:rPr>
                <w:rFonts w:hint="eastAsia" w:ascii="Times New Roman" w:hAnsi="Times New Roman" w:eastAsia="宋体" w:cs="Times New Roman"/>
                <w:color w:val="auto"/>
                <w:sz w:val="21"/>
                <w:szCs w:val="21"/>
                <w:lang w:val="en-US" w:eastAsia="zh-CN"/>
              </w:rPr>
              <w:t>本项目</w:t>
            </w:r>
            <w:r>
              <w:rPr>
                <w:rFonts w:hint="eastAsia" w:ascii="Times New Roman" w:hAnsi="Times New Roman" w:cs="Times New Roman"/>
                <w:color w:val="auto"/>
                <w:kern w:val="0"/>
                <w:szCs w:val="21"/>
                <w:lang w:eastAsia="zh-CN"/>
              </w:rPr>
              <w:t>位于</w:t>
            </w:r>
            <w:r>
              <w:rPr>
                <w:rFonts w:hint="default" w:ascii="Times New Roman" w:hAnsi="Times New Roman" w:cs="Times New Roman"/>
                <w:color w:val="auto"/>
                <w:kern w:val="0"/>
                <w:szCs w:val="21"/>
                <w:lang w:eastAsia="zh-CN"/>
              </w:rPr>
              <w:t>规划范围内的智能装备制造产业园（北）</w:t>
            </w:r>
            <w:r>
              <w:rPr>
                <w:rFonts w:hint="eastAsia" w:ascii="Times New Roman" w:hAnsi="Times New Roman" w:cs="Times New Roman"/>
                <w:color w:val="auto"/>
                <w:kern w:val="0"/>
                <w:szCs w:val="21"/>
                <w:lang w:eastAsia="zh-CN"/>
              </w:rPr>
              <w:t>，</w:t>
            </w:r>
            <w:r>
              <w:rPr>
                <w:rFonts w:hint="eastAsia" w:ascii="Times New Roman" w:hAnsi="Times New Roman" w:eastAsia="宋体" w:cs="Times New Roman"/>
                <w:color w:val="auto"/>
                <w:kern w:val="0"/>
                <w:szCs w:val="21"/>
                <w:lang w:eastAsia="zh-CN"/>
              </w:rPr>
              <w:t>本项</w:t>
            </w:r>
            <w:r>
              <w:rPr>
                <w:rFonts w:hint="eastAsia" w:ascii="Times New Roman" w:hAnsi="Times New Roman" w:eastAsia="宋体" w:cs="Times New Roman"/>
                <w:color w:val="auto"/>
                <w:szCs w:val="21"/>
                <w:lang w:val="en-US" w:eastAsia="zh-CN"/>
              </w:rPr>
              <w:t>目为锻件及粉末冶金制品制造，属于智能设备重点发展关键零部件</w:t>
            </w:r>
            <w:r>
              <w:rPr>
                <w:rFonts w:hint="eastAsia" w:cs="Times New Roman"/>
                <w:color w:val="auto"/>
                <w:szCs w:val="21"/>
                <w:lang w:val="en-US" w:eastAsia="zh-CN"/>
              </w:rPr>
              <w:t>，</w:t>
            </w:r>
            <w:r>
              <w:rPr>
                <w:rFonts w:hint="eastAsia" w:ascii="Times New Roman" w:hAnsi="Times New Roman" w:eastAsia="宋体" w:cs="Times New Roman"/>
                <w:color w:val="auto"/>
                <w:szCs w:val="21"/>
                <w:lang w:val="en-US" w:eastAsia="zh-CN"/>
              </w:rPr>
              <w:t>属于园区生态环境准入清单优先引入类项目</w:t>
            </w:r>
            <w:r>
              <w:rPr>
                <w:rFonts w:hint="eastAsia" w:cs="Times New Roman"/>
                <w:color w:val="auto"/>
                <w:szCs w:val="21"/>
                <w:lang w:val="en-US" w:eastAsia="zh-CN"/>
              </w:rPr>
              <w:t>，</w:t>
            </w:r>
            <w:r>
              <w:rPr>
                <w:rFonts w:hint="eastAsia" w:ascii="Times New Roman" w:hAnsi="Times New Roman" w:eastAsia="宋体" w:cs="Times New Roman"/>
                <w:color w:val="auto"/>
                <w:sz w:val="21"/>
                <w:szCs w:val="21"/>
                <w:lang w:val="en-US" w:eastAsia="zh-CN"/>
              </w:rPr>
              <w:t>与园区产业定位相符，</w:t>
            </w:r>
            <w:r>
              <w:rPr>
                <w:rFonts w:hint="eastAsia" w:ascii="Times New Roman" w:hAnsi="Times New Roman" w:cs="Times New Roman"/>
                <w:color w:val="auto"/>
                <w:kern w:val="0"/>
                <w:szCs w:val="21"/>
                <w:lang w:eastAsia="zh-CN"/>
              </w:rPr>
              <w:t>且</w:t>
            </w:r>
            <w:r>
              <w:rPr>
                <w:rFonts w:hint="default" w:ascii="Times New Roman" w:hAnsi="Times New Roman" w:cs="Times New Roman"/>
                <w:color w:val="auto"/>
                <w:kern w:val="0"/>
                <w:szCs w:val="21"/>
                <w:lang w:eastAsia="zh-CN"/>
              </w:rPr>
              <w:t>用地性质为工业用地，</w:t>
            </w:r>
            <w:r>
              <w:rPr>
                <w:rFonts w:hint="eastAsia" w:ascii="Times New Roman" w:hAnsi="Times New Roman" w:cs="Times New Roman"/>
                <w:color w:val="auto"/>
                <w:kern w:val="0"/>
                <w:szCs w:val="21"/>
                <w:lang w:eastAsia="zh-CN"/>
              </w:rPr>
              <w:t>符合</w:t>
            </w:r>
            <w:r>
              <w:rPr>
                <w:rFonts w:hint="default" w:ascii="Times New Roman" w:hAnsi="Times New Roman" w:eastAsia="宋体" w:cs="Times New Roman"/>
                <w:color w:val="auto"/>
                <w:szCs w:val="21"/>
                <w:lang w:eastAsia="zh-CN"/>
              </w:rPr>
              <w:t>如皋市长江镇（如皋港区)</w:t>
            </w:r>
            <w:r>
              <w:rPr>
                <w:rFonts w:hint="eastAsia" w:ascii="Times New Roman" w:hAnsi="Times New Roman" w:eastAsia="宋体" w:cs="Times New Roman"/>
                <w:color w:val="auto"/>
                <w:szCs w:val="21"/>
                <w:lang w:eastAsia="zh-CN"/>
              </w:rPr>
              <w:t>产业定位</w:t>
            </w:r>
            <w:r>
              <w:rPr>
                <w:rFonts w:hint="default" w:ascii="Times New Roman" w:hAnsi="Times New Roman" w:cs="Times New Roman"/>
                <w:bCs/>
                <w:color w:val="auto"/>
                <w:szCs w:val="21"/>
              </w:rPr>
              <w:t>。</w:t>
            </w:r>
          </w:p>
          <w:p>
            <w:pPr>
              <w:adjustRightInd w:val="0"/>
              <w:snapToGrid w:val="0"/>
              <w:spacing w:line="500" w:lineRule="exact"/>
              <w:ind w:firstLine="420" w:firstLineChars="200"/>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2、与规划环评生态环境准入负面清单相符性分析</w:t>
            </w:r>
          </w:p>
          <w:p>
            <w:pPr>
              <w:adjustRightInd w:val="0"/>
              <w:snapToGrid w:val="0"/>
              <w:spacing w:line="500" w:lineRule="exact"/>
              <w:ind w:firstLine="420" w:firstLineChars="200"/>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项目与</w:t>
            </w:r>
            <w:r>
              <w:rPr>
                <w:rFonts w:hint="default" w:ascii="Times New Roman" w:hAnsi="Times New Roman" w:cs="Times New Roman"/>
                <w:color w:val="auto"/>
                <w:kern w:val="0"/>
                <w:szCs w:val="21"/>
                <w:lang w:eastAsia="zh-CN" w:bidi="ar"/>
              </w:rPr>
              <w:t>《长江镇（如皋港工业园区）开发建设规划（2020-2030）环境影响报告书》</w:t>
            </w:r>
            <w:r>
              <w:rPr>
                <w:rFonts w:hint="default" w:ascii="Times New Roman" w:hAnsi="Times New Roman" w:eastAsia="宋体" w:cs="Times New Roman"/>
                <w:bCs/>
                <w:color w:val="auto"/>
                <w:szCs w:val="21"/>
                <w:lang w:val="en-US" w:eastAsia="zh-CN"/>
              </w:rPr>
              <w:t>提出的生态环境准入清单相符性分析见下表。</w:t>
            </w:r>
          </w:p>
          <w:p>
            <w:pPr>
              <w:pStyle w:val="4"/>
              <w:keepNext/>
              <w:keepLines/>
              <w:pageBreakBefore w:val="0"/>
              <w:widowControl w:val="0"/>
              <w:tabs>
                <w:tab w:val="left" w:pos="864"/>
              </w:tabs>
              <w:kinsoku/>
              <w:wordWrap/>
              <w:overflowPunct/>
              <w:topLinePunct w:val="0"/>
              <w:autoSpaceDE/>
              <w:autoSpaceDN/>
              <w:bidi w:val="0"/>
              <w:adjustRightInd w:val="0"/>
              <w:snapToGrid w:val="0"/>
              <w:spacing w:before="0" w:after="0" w:line="500" w:lineRule="exact"/>
              <w:jc w:val="center"/>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cs="Times New Roman"/>
                <w:color w:val="auto"/>
                <w:sz w:val="21"/>
                <w:szCs w:val="21"/>
                <w:highlight w:val="none"/>
              </w:rPr>
              <w:t>表 1-</w:t>
            </w:r>
            <w:r>
              <w:rPr>
                <w:rFonts w:hint="eastAsia" w:ascii="Times New Roman" w:hAnsi="Times New Roman" w:cs="Times New Roman"/>
                <w:color w:val="auto"/>
                <w:sz w:val="21"/>
                <w:szCs w:val="21"/>
                <w:highlight w:val="none"/>
                <w:lang w:val="en-US" w:eastAsia="zh-CN"/>
              </w:rPr>
              <w:t xml:space="preserve">2 </w:t>
            </w:r>
            <w:r>
              <w:rPr>
                <w:rFonts w:hint="default" w:ascii="Times New Roman" w:hAnsi="Times New Roman" w:cs="Times New Roman"/>
                <w:color w:val="auto"/>
                <w:sz w:val="21"/>
                <w:szCs w:val="21"/>
                <w:highlight w:val="none"/>
              </w:rPr>
              <w:t xml:space="preserve"> </w:t>
            </w:r>
            <w:r>
              <w:rPr>
                <w:rFonts w:hint="default" w:ascii="Times New Roman" w:hAnsi="Times New Roman" w:eastAsia="宋体" w:cs="Times New Roman"/>
                <w:b/>
                <w:bCs/>
                <w:color w:val="auto"/>
                <w:kern w:val="0"/>
                <w:sz w:val="21"/>
                <w:szCs w:val="21"/>
                <w:highlight w:val="none"/>
                <w:lang w:val="en-US" w:eastAsia="zh-CN" w:bidi="ar"/>
              </w:rPr>
              <w:t>与规划环评生态环境准入清单相符性</w:t>
            </w:r>
          </w:p>
          <w:tbl>
            <w:tblPr>
              <w:tblStyle w:val="21"/>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9"/>
              <w:gridCol w:w="3975"/>
              <w:gridCol w:w="1962"/>
              <w:gridCol w:w="3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1" w:hRule="atLeast"/>
                <w:tblHeader/>
                <w:jc w:val="center"/>
              </w:trPr>
              <w:tc>
                <w:tcPr>
                  <w:tcW w:w="685"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清单</w:t>
                  </w:r>
                </w:p>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rPr>
                    <w:t>类型</w:t>
                  </w:r>
                </w:p>
              </w:tc>
              <w:tc>
                <w:tcPr>
                  <w:tcW w:w="3683"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准入内容</w:t>
                  </w:r>
                </w:p>
              </w:tc>
              <w:tc>
                <w:tcPr>
                  <w:tcW w:w="1818"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本项目情况</w:t>
                  </w:r>
                </w:p>
              </w:tc>
              <w:tc>
                <w:tcPr>
                  <w:tcW w:w="323"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5"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auto"/>
                      <w:sz w:val="18"/>
                      <w:szCs w:val="18"/>
                      <w:lang w:eastAsia="zh-CN"/>
                    </w:rPr>
                  </w:pPr>
                  <w:r>
                    <w:rPr>
                      <w:rFonts w:hint="eastAsia" w:ascii="Times New Roman" w:hAnsi="Times New Roman" w:cs="Times New Roman"/>
                      <w:color w:val="auto"/>
                      <w:sz w:val="18"/>
                      <w:szCs w:val="18"/>
                      <w:lang w:eastAsia="zh-CN"/>
                    </w:rPr>
                    <w:t>优先引入</w:t>
                  </w:r>
                </w:p>
              </w:tc>
              <w:tc>
                <w:tcPr>
                  <w:tcW w:w="3683" w:type="dxa"/>
                  <w:noWrap w:val="0"/>
                  <w:vAlign w:val="center"/>
                </w:tcPr>
                <w:p>
                  <w:pPr>
                    <w:keepNext w:val="0"/>
                    <w:keepLines w:val="0"/>
                    <w:pageBreakBefore w:val="0"/>
                    <w:widowControl w:val="0"/>
                    <w:numPr>
                      <w:ilvl w:val="0"/>
                      <w:numId w:val="2"/>
                    </w:numPr>
                    <w:kinsoku/>
                    <w:wordWrap/>
                    <w:overflowPunct/>
                    <w:topLinePunct w:val="0"/>
                    <w:autoSpaceDE/>
                    <w:autoSpaceDN/>
                    <w:bidi w:val="0"/>
                    <w:adjustRightInd w:val="0"/>
                    <w:snapToGrid w:val="0"/>
                    <w:spacing w:beforeAutospacing="0" w:afterAutospacing="0" w:line="240" w:lineRule="auto"/>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产业定位且属于国家发展和改革委《产业结构调整指导目录(2019年本)》、《鼓励外商投资产业目录(2020年版)》、《产业转移指导目录》、《江苏省工业和信息产业结构调整指导目录》及修订、战略性新兴产业重点产品和服务指导目录(2016版)等产业政策文件中属于鼓励类和重点发展行业中的产品、工艺和技术。</w:t>
                  </w:r>
                </w:p>
                <w:p>
                  <w:pPr>
                    <w:keepNext w:val="0"/>
                    <w:keepLines w:val="0"/>
                    <w:pageBreakBefore w:val="0"/>
                    <w:widowControl w:val="0"/>
                    <w:numPr>
                      <w:ilvl w:val="0"/>
                      <w:numId w:val="2"/>
                    </w:numPr>
                    <w:kinsoku/>
                    <w:wordWrap/>
                    <w:overflowPunct/>
                    <w:topLinePunct w:val="0"/>
                    <w:autoSpaceDE/>
                    <w:autoSpaceDN/>
                    <w:bidi w:val="0"/>
                    <w:adjustRightInd w:val="0"/>
                    <w:snapToGrid w:val="0"/>
                    <w:spacing w:beforeAutospacing="0" w:afterAutospacing="0" w:line="240" w:lineRule="auto"/>
                    <w:ind w:left="0" w:leftChars="0" w:firstLine="0" w:firstLineChars="0"/>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园区主导产业中优质石材重点发展高端石材产业，发展建筑、安全用和结构性金属制品制造，及建筑行业通用设备制造等建筑产业相关金属及非金属矿物制品业；高端新材料重点发展高性能纤维材料以及超导材料、纳米材料等战略性前沿材料：智能装备包括汽车零部件、通讯设备、智能设备和电子信息，其中汽车零部件重点发展轻量化汽车底盘系统，在车身系统环节加强补链延链，通讯设备重点发展移动通信基站设备、移动智能终端等，智能设备重点发展关键零部件、风电装备、模块化设备等，电子信息重点发展半导体封装测试产业、新型电子元器件、光电器件等电子器件。</w:t>
                  </w:r>
                </w:p>
                <w:p>
                  <w:pPr>
                    <w:keepNext w:val="0"/>
                    <w:keepLines w:val="0"/>
                    <w:pageBreakBefore w:val="0"/>
                    <w:widowControl w:val="0"/>
                    <w:numPr>
                      <w:ilvl w:val="0"/>
                      <w:numId w:val="2"/>
                    </w:numPr>
                    <w:kinsoku/>
                    <w:wordWrap/>
                    <w:overflowPunct/>
                    <w:topLinePunct w:val="0"/>
                    <w:autoSpaceDE/>
                    <w:autoSpaceDN/>
                    <w:bidi w:val="0"/>
                    <w:adjustRightInd w:val="0"/>
                    <w:snapToGrid w:val="0"/>
                    <w:spacing w:beforeAutospacing="0" w:afterAutospacing="0" w:line="240" w:lineRule="auto"/>
                    <w:ind w:left="0" w:leftChars="0" w:firstLine="0" w:firstLineChars="0"/>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鼓励依托龙头企业发展上下游关联度强、技术水平高、绿色安全环保的企业和项目，进一步补链、延链、强链。</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240" w:lineRule="auto"/>
                    <w:ind w:leftChars="0"/>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4、鼓励实施园区内废弃物资源综合利用项目。</w:t>
                  </w:r>
                </w:p>
              </w:tc>
              <w:tc>
                <w:tcPr>
                  <w:tcW w:w="1818"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黑体" w:cs="Times New Roman"/>
                      <w:color w:val="auto"/>
                      <w:lang w:val="en-US" w:eastAsia="zh-CN"/>
                    </w:rPr>
                  </w:pPr>
                  <w:r>
                    <w:rPr>
                      <w:rFonts w:hint="default" w:ascii="Times New Roman" w:hAnsi="Times New Roman" w:eastAsia="宋体" w:cs="Times New Roman"/>
                      <w:color w:val="auto"/>
                      <w:sz w:val="18"/>
                      <w:szCs w:val="18"/>
                      <w:lang w:val="en-US" w:eastAsia="zh-CN"/>
                    </w:rPr>
                    <w:t>本项目属于</w:t>
                  </w:r>
                  <w:r>
                    <w:rPr>
                      <w:rFonts w:hint="eastAsia" w:ascii="Times New Roman" w:hAnsi="Times New Roman" w:eastAsia="宋体" w:cs="Times New Roman"/>
                      <w:color w:val="auto"/>
                      <w:sz w:val="18"/>
                      <w:szCs w:val="18"/>
                      <w:lang w:val="en-US" w:eastAsia="zh-CN"/>
                    </w:rPr>
                    <w:t>【C3</w:t>
                  </w:r>
                  <w:r>
                    <w:rPr>
                      <w:rFonts w:hint="eastAsia" w:cs="Times New Roman"/>
                      <w:color w:val="auto"/>
                      <w:sz w:val="18"/>
                      <w:szCs w:val="18"/>
                      <w:lang w:val="en-US" w:eastAsia="zh-CN"/>
                    </w:rPr>
                    <w:t>393</w:t>
                  </w:r>
                  <w:r>
                    <w:rPr>
                      <w:rFonts w:hint="eastAsia" w:ascii="Times New Roman" w:hAnsi="Times New Roman" w:eastAsia="宋体" w:cs="Times New Roman"/>
                      <w:color w:val="auto"/>
                      <w:sz w:val="18"/>
                      <w:szCs w:val="18"/>
                      <w:lang w:val="en-US" w:eastAsia="zh-CN"/>
                    </w:rPr>
                    <w:t>】锻件及粉末冶金制品制造</w:t>
                  </w:r>
                  <w:r>
                    <w:rPr>
                      <w:rFonts w:hint="default" w:ascii="Times New Roman" w:hAnsi="Times New Roman" w:eastAsia="宋体" w:cs="Times New Roman"/>
                      <w:color w:val="auto"/>
                      <w:sz w:val="18"/>
                      <w:szCs w:val="18"/>
                      <w:lang w:val="en-US" w:eastAsia="zh-CN"/>
                    </w:rPr>
                    <w:t>，</w:t>
                  </w:r>
                  <w:r>
                    <w:rPr>
                      <w:rFonts w:hint="eastAsia" w:ascii="Times New Roman" w:hAnsi="Times New Roman" w:eastAsia="宋体" w:cs="Times New Roman"/>
                      <w:color w:val="auto"/>
                      <w:sz w:val="18"/>
                      <w:szCs w:val="18"/>
                      <w:lang w:val="en-US" w:eastAsia="zh-CN"/>
                    </w:rPr>
                    <w:t>本项目使用</w:t>
                  </w:r>
                  <w:r>
                    <w:rPr>
                      <w:rFonts w:hint="eastAsia" w:cs="Times New Roman"/>
                      <w:color w:val="auto"/>
                      <w:sz w:val="18"/>
                      <w:szCs w:val="18"/>
                      <w:lang w:val="en-US" w:eastAsia="zh-CN"/>
                    </w:rPr>
                    <w:t>清洁能源</w:t>
                  </w:r>
                  <w:r>
                    <w:rPr>
                      <w:rFonts w:hint="eastAsia" w:ascii="Times New Roman" w:hAnsi="Times New Roman" w:eastAsia="宋体" w:cs="Times New Roman"/>
                      <w:color w:val="auto"/>
                      <w:sz w:val="18"/>
                      <w:szCs w:val="18"/>
                      <w:lang w:val="en-US" w:eastAsia="zh-CN"/>
                    </w:rPr>
                    <w:t>，</w:t>
                  </w:r>
                  <w:r>
                    <w:rPr>
                      <w:rFonts w:hint="default" w:ascii="Times New Roman" w:hAnsi="Times New Roman" w:eastAsia="宋体" w:cs="Times New Roman"/>
                      <w:color w:val="auto"/>
                      <w:sz w:val="18"/>
                      <w:szCs w:val="18"/>
                      <w:lang w:val="en-US" w:eastAsia="zh-CN"/>
                    </w:rPr>
                    <w:t>属于《产业结构调整指导目录（2024年本）》中的鼓励类</w:t>
                  </w:r>
                  <w:r>
                    <w:rPr>
                      <w:rFonts w:hint="eastAsia" w:ascii="Times New Roman" w:hAnsi="Times New Roman" w:eastAsia="宋体" w:cs="Times New Roman"/>
                      <w:color w:val="auto"/>
                      <w:sz w:val="18"/>
                      <w:szCs w:val="18"/>
                      <w:lang w:val="en-US" w:eastAsia="zh-CN"/>
                    </w:rPr>
                    <w:t>，不在</w:t>
                  </w:r>
                  <w:r>
                    <w:rPr>
                      <w:rFonts w:hint="default" w:ascii="Times New Roman" w:hAnsi="Times New Roman" w:eastAsia="宋体" w:cs="Times New Roman"/>
                      <w:color w:val="auto"/>
                      <w:sz w:val="18"/>
                      <w:szCs w:val="18"/>
                      <w:lang w:val="en-US" w:eastAsia="zh-CN"/>
                    </w:rPr>
                    <w:t>《江苏省产业结构调整限制、淘汰和禁止目录》(苏办发[2018]32号)附件3禁止</w:t>
                  </w:r>
                  <w:r>
                    <w:rPr>
                      <w:rFonts w:hint="eastAsia" w:cs="Times New Roman"/>
                      <w:color w:val="auto"/>
                      <w:sz w:val="18"/>
                      <w:szCs w:val="18"/>
                      <w:lang w:val="en-US" w:eastAsia="zh-CN"/>
                    </w:rPr>
                    <w:t>、</w:t>
                  </w:r>
                  <w:r>
                    <w:rPr>
                      <w:rFonts w:hint="default" w:ascii="Times New Roman" w:hAnsi="Times New Roman" w:eastAsia="宋体" w:cs="Times New Roman"/>
                      <w:color w:val="auto"/>
                      <w:sz w:val="18"/>
                      <w:szCs w:val="18"/>
                      <w:lang w:val="en-US" w:eastAsia="zh-CN"/>
                    </w:rPr>
                    <w:t>限制</w:t>
                  </w:r>
                  <w:r>
                    <w:rPr>
                      <w:rFonts w:hint="eastAsia" w:cs="Times New Roman"/>
                      <w:color w:val="auto"/>
                      <w:sz w:val="18"/>
                      <w:szCs w:val="18"/>
                      <w:lang w:val="en-US" w:eastAsia="zh-CN"/>
                    </w:rPr>
                    <w:t>、淘汰类</w:t>
                  </w:r>
                  <w:r>
                    <w:rPr>
                      <w:rFonts w:hint="default" w:ascii="Times New Roman" w:hAnsi="Times New Roman" w:eastAsia="宋体" w:cs="Times New Roman"/>
                      <w:color w:val="auto"/>
                      <w:sz w:val="18"/>
                      <w:szCs w:val="18"/>
                      <w:lang w:val="en-US" w:eastAsia="zh-CN"/>
                    </w:rPr>
                    <w:t>的产业产品</w:t>
                  </w:r>
                  <w:r>
                    <w:rPr>
                      <w:rFonts w:hint="eastAsia" w:cs="Times New Roman"/>
                      <w:color w:val="auto"/>
                      <w:sz w:val="18"/>
                      <w:szCs w:val="18"/>
                      <w:lang w:val="en-US" w:eastAsia="zh-CN"/>
                    </w:rPr>
                    <w:t>中，</w:t>
                  </w:r>
                  <w:r>
                    <w:rPr>
                      <w:rFonts w:hint="eastAsia"/>
                      <w:color w:val="auto"/>
                      <w:sz w:val="18"/>
                      <w:szCs w:val="18"/>
                    </w:rPr>
                    <w:t>本项目</w:t>
                  </w:r>
                  <w:r>
                    <w:rPr>
                      <w:rFonts w:hint="eastAsia" w:ascii="Times New Roman" w:hAnsi="Times New Roman" w:eastAsia="宋体" w:cs="Times New Roman"/>
                      <w:color w:val="auto"/>
                      <w:sz w:val="18"/>
                      <w:szCs w:val="18"/>
                      <w:lang w:val="en-US" w:eastAsia="zh-CN"/>
                    </w:rPr>
                    <w:t>位于</w:t>
                  </w:r>
                  <w:r>
                    <w:rPr>
                      <w:rFonts w:hint="default" w:ascii="Times New Roman" w:hAnsi="Times New Roman" w:eastAsia="宋体" w:cs="Times New Roman"/>
                      <w:color w:val="auto"/>
                      <w:sz w:val="18"/>
                      <w:szCs w:val="18"/>
                      <w:lang w:val="en-US" w:eastAsia="zh-CN"/>
                    </w:rPr>
                    <w:t>智能装备制造产业园（北）</w:t>
                  </w:r>
                  <w:r>
                    <w:rPr>
                      <w:rFonts w:hint="eastAsia" w:ascii="Times New Roman" w:hAnsi="Times New Roman" w:eastAsia="宋体" w:cs="Times New Roman"/>
                      <w:color w:val="auto"/>
                      <w:sz w:val="18"/>
                      <w:szCs w:val="18"/>
                      <w:lang w:val="en-US" w:eastAsia="zh-CN"/>
                    </w:rPr>
                    <w:t>属于优先引入类项目中智能设备重点发展关键零部件，符合如皋市长江镇（如皋港区)产业定位。</w:t>
                  </w:r>
                </w:p>
              </w:tc>
              <w:tc>
                <w:tcPr>
                  <w:tcW w:w="323"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685"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禁止引入类项目</w:t>
                  </w:r>
                </w:p>
              </w:tc>
              <w:tc>
                <w:tcPr>
                  <w:tcW w:w="3683" w:type="dxa"/>
                  <w:noWrap w:val="0"/>
                  <w:vAlign w:val="center"/>
                </w:tcPr>
                <w:p>
                  <w:pPr>
                    <w:keepNext w:val="0"/>
                    <w:keepLines w:val="0"/>
                    <w:pageBreakBefore w:val="0"/>
                    <w:widowControl w:val="0"/>
                    <w:numPr>
                      <w:ilvl w:val="0"/>
                      <w:numId w:val="3"/>
                    </w:numPr>
                    <w:kinsoku/>
                    <w:wordWrap/>
                    <w:overflowPunct/>
                    <w:topLinePunct w:val="0"/>
                    <w:autoSpaceDE/>
                    <w:autoSpaceDN/>
                    <w:bidi w:val="0"/>
                    <w:adjustRightInd w:val="0"/>
                    <w:snapToGrid w:val="0"/>
                    <w:spacing w:beforeAutospacing="0" w:afterAutospacing="0" w:line="240" w:lineRule="auto"/>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建设《产业结构调整指导目录(2019年本)》及《江苏省工业和信息产业结构调整限制淘汰目录和能耗限额》等中淘汰、禁止类项目。</w:t>
                  </w:r>
                </w:p>
                <w:p>
                  <w:pPr>
                    <w:keepNext w:val="0"/>
                    <w:keepLines w:val="0"/>
                    <w:pageBreakBefore w:val="0"/>
                    <w:widowControl w:val="0"/>
                    <w:numPr>
                      <w:ilvl w:val="0"/>
                      <w:numId w:val="3"/>
                    </w:numPr>
                    <w:kinsoku/>
                    <w:wordWrap/>
                    <w:overflowPunct/>
                    <w:topLinePunct w:val="0"/>
                    <w:autoSpaceDE/>
                    <w:autoSpaceDN/>
                    <w:bidi w:val="0"/>
                    <w:adjustRightInd w:val="0"/>
                    <w:snapToGrid w:val="0"/>
                    <w:spacing w:beforeAutospacing="0" w:afterAutospacing="0" w:line="240" w:lineRule="auto"/>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不符合规划产业定位的项目。</w:t>
                  </w:r>
                </w:p>
                <w:p>
                  <w:pPr>
                    <w:keepNext w:val="0"/>
                    <w:keepLines w:val="0"/>
                    <w:pageBreakBefore w:val="0"/>
                    <w:widowControl w:val="0"/>
                    <w:numPr>
                      <w:ilvl w:val="0"/>
                      <w:numId w:val="3"/>
                    </w:numPr>
                    <w:kinsoku/>
                    <w:wordWrap/>
                    <w:overflowPunct/>
                    <w:topLinePunct w:val="0"/>
                    <w:autoSpaceDE/>
                    <w:autoSpaceDN/>
                    <w:bidi w:val="0"/>
                    <w:adjustRightInd w:val="0"/>
                    <w:snapToGrid w:val="0"/>
                    <w:spacing w:beforeAutospacing="0" w:afterAutospacing="0" w:line="240" w:lineRule="auto"/>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新建、扩建技术装备、污染排放、能耗达不到国际先进水平的项目。</w:t>
                  </w:r>
                </w:p>
                <w:p>
                  <w:pPr>
                    <w:keepNext w:val="0"/>
                    <w:keepLines w:val="0"/>
                    <w:pageBreakBefore w:val="0"/>
                    <w:widowControl w:val="0"/>
                    <w:numPr>
                      <w:ilvl w:val="0"/>
                      <w:numId w:val="3"/>
                    </w:numPr>
                    <w:kinsoku/>
                    <w:wordWrap/>
                    <w:overflowPunct/>
                    <w:topLinePunct w:val="0"/>
                    <w:autoSpaceDE/>
                    <w:autoSpaceDN/>
                    <w:bidi w:val="0"/>
                    <w:adjustRightInd w:val="0"/>
                    <w:snapToGrid w:val="0"/>
                    <w:spacing w:beforeAutospacing="0" w:afterAutospacing="0" w:line="240" w:lineRule="auto"/>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禁止引进钢铁、石化、化工、医药、焦化、有色、化学制浆造纸、制革、染料、印染项目。LED光电禁止引入使用液态汞和手动注汞的荧光灯制造项目。禁止引入纯电镀项目，因产业链需求，必须配套涉及电镀(含阳极氧化)工艺的，不允许对外承接电镀业务。</w:t>
                  </w:r>
                </w:p>
                <w:p>
                  <w:pPr>
                    <w:keepNext w:val="0"/>
                    <w:keepLines w:val="0"/>
                    <w:pageBreakBefore w:val="0"/>
                    <w:widowControl w:val="0"/>
                    <w:numPr>
                      <w:ilvl w:val="0"/>
                      <w:numId w:val="3"/>
                    </w:numPr>
                    <w:kinsoku/>
                    <w:wordWrap/>
                    <w:overflowPunct/>
                    <w:topLinePunct w:val="0"/>
                    <w:autoSpaceDE/>
                    <w:autoSpaceDN/>
                    <w:bidi w:val="0"/>
                    <w:adjustRightInd w:val="0"/>
                    <w:snapToGrid w:val="0"/>
                    <w:spacing w:beforeAutospacing="0" w:afterAutospacing="0" w:line="240" w:lineRule="auto"/>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邻近饮用水源保护区、清水通道维护区、重要渔业水域、特殊物种保护区、生活区的工业用地，禁止引进废气污染物排放量大、难以治理、无组织污染严重的项目，禁止引进废水排放量大、难以治理、环境风险大的项目。</w:t>
                  </w:r>
                </w:p>
                <w:p>
                  <w:pPr>
                    <w:keepNext w:val="0"/>
                    <w:keepLines w:val="0"/>
                    <w:pageBreakBefore w:val="0"/>
                    <w:widowControl w:val="0"/>
                    <w:numPr>
                      <w:ilvl w:val="0"/>
                      <w:numId w:val="3"/>
                    </w:numPr>
                    <w:kinsoku/>
                    <w:wordWrap/>
                    <w:overflowPunct/>
                    <w:topLinePunct w:val="0"/>
                    <w:autoSpaceDE/>
                    <w:autoSpaceDN/>
                    <w:bidi w:val="0"/>
                    <w:adjustRightInd w:val="0"/>
                    <w:snapToGrid w:val="0"/>
                    <w:spacing w:beforeAutospacing="0" w:afterAutospacing="0" w:line="240" w:lineRule="auto"/>
                    <w:ind w:left="0" w:leftChars="0" w:firstLine="0" w:firstLineChars="0"/>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直接向水体排放废水的项目。区域污水处理厂满负荷时，暂缓建设排放废水的工业项目。</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240" w:lineRule="auto"/>
                    <w:ind w:leftChars="0"/>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7、新建、扩建落后产能项目和不符合国家产能置换要求的严重过剩产能行业的项目。</w:t>
                  </w:r>
                </w:p>
              </w:tc>
              <w:tc>
                <w:tcPr>
                  <w:tcW w:w="1818"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本项目属于《产业结构调整指导目录（2024年本）》中的鼓励类，符合如皋市长江镇 （如皋港区)产业定位。</w:t>
                  </w:r>
                  <w:r>
                    <w:rPr>
                      <w:rFonts w:hint="eastAsia" w:ascii="Times New Roman" w:hAnsi="Times New Roman" w:eastAsia="宋体" w:cs="Times New Roman"/>
                      <w:color w:val="auto"/>
                      <w:sz w:val="18"/>
                      <w:szCs w:val="18"/>
                      <w:lang w:val="en-US" w:eastAsia="zh-CN"/>
                    </w:rPr>
                    <w:t>本项目不属于钢铁、石化、化工、医药、焦化、有色、化学制浆造纸、制革、染料、印染、LED光电、纯电镀项目，</w:t>
                  </w:r>
                  <w:r>
                    <w:rPr>
                      <w:rFonts w:hint="default" w:ascii="Times New Roman" w:hAnsi="Times New Roman" w:eastAsia="宋体" w:cs="Times New Roman"/>
                      <w:color w:val="auto"/>
                      <w:sz w:val="18"/>
                      <w:szCs w:val="18"/>
                      <w:lang w:val="en-US" w:eastAsia="zh-CN"/>
                    </w:rPr>
                    <w:t>本项目废气、废水可实现达标排放和安全处置，本项目建设不突破生态环境承载力。</w:t>
                  </w:r>
                </w:p>
              </w:tc>
              <w:tc>
                <w:tcPr>
                  <w:tcW w:w="323"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9" w:hRule="atLeast"/>
                <w:jc w:val="center"/>
              </w:trPr>
              <w:tc>
                <w:tcPr>
                  <w:tcW w:w="685"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限制引入类项目</w:t>
                  </w:r>
                </w:p>
              </w:tc>
              <w:tc>
                <w:tcPr>
                  <w:tcW w:w="3683" w:type="dxa"/>
                  <w:noWrap w:val="0"/>
                  <w:vAlign w:val="center"/>
                </w:tcPr>
                <w:p>
                  <w:pPr>
                    <w:keepNext w:val="0"/>
                    <w:keepLines w:val="0"/>
                    <w:pageBreakBefore w:val="0"/>
                    <w:widowControl w:val="0"/>
                    <w:numPr>
                      <w:ilvl w:val="0"/>
                      <w:numId w:val="4"/>
                    </w:numPr>
                    <w:kinsoku/>
                    <w:wordWrap/>
                    <w:overflowPunct/>
                    <w:topLinePunct w:val="0"/>
                    <w:autoSpaceDE/>
                    <w:autoSpaceDN/>
                    <w:bidi w:val="0"/>
                    <w:adjustRightInd w:val="0"/>
                    <w:snapToGrid w:val="0"/>
                    <w:spacing w:beforeAutospacing="0" w:afterAutospacing="0" w:line="240" w:lineRule="auto"/>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建设《产业结构调整指导目录(2019年本)》及《江苏省工业和信息产业结构调整限制淘汰目录和能耗限额》等中限制类项目。</w:t>
                  </w:r>
                </w:p>
                <w:p>
                  <w:pPr>
                    <w:keepNext w:val="0"/>
                    <w:keepLines w:val="0"/>
                    <w:pageBreakBefore w:val="0"/>
                    <w:widowControl w:val="0"/>
                    <w:numPr>
                      <w:ilvl w:val="0"/>
                      <w:numId w:val="4"/>
                    </w:numPr>
                    <w:kinsoku/>
                    <w:wordWrap/>
                    <w:overflowPunct/>
                    <w:topLinePunct w:val="0"/>
                    <w:autoSpaceDE/>
                    <w:autoSpaceDN/>
                    <w:bidi w:val="0"/>
                    <w:adjustRightInd w:val="0"/>
                    <w:snapToGrid w:val="0"/>
                    <w:spacing w:beforeAutospacing="0" w:afterAutospacing="0" w:line="240" w:lineRule="auto"/>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污染治理措施达不到《挥发性有机物(VOCs)污染防治技术政策》、《江苏省重点行业挥发性有机物污染控制指南》等要求。</w:t>
                  </w:r>
                </w:p>
                <w:p>
                  <w:pPr>
                    <w:keepNext w:val="0"/>
                    <w:keepLines w:val="0"/>
                    <w:pageBreakBefore w:val="0"/>
                    <w:widowControl w:val="0"/>
                    <w:numPr>
                      <w:ilvl w:val="0"/>
                      <w:numId w:val="4"/>
                    </w:numPr>
                    <w:kinsoku/>
                    <w:wordWrap/>
                    <w:overflowPunct/>
                    <w:topLinePunct w:val="0"/>
                    <w:autoSpaceDE/>
                    <w:autoSpaceDN/>
                    <w:bidi w:val="0"/>
                    <w:adjustRightInd w:val="0"/>
                    <w:snapToGrid w:val="0"/>
                    <w:spacing w:beforeAutospacing="0" w:afterAutospacing="0" w:line="240" w:lineRule="auto"/>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控制区域PM</w:t>
                  </w:r>
                  <w:r>
                    <w:rPr>
                      <w:rFonts w:hint="eastAsia" w:ascii="Times New Roman" w:hAnsi="Times New Roman" w:cs="Times New Roman"/>
                      <w:color w:val="auto"/>
                      <w:sz w:val="18"/>
                      <w:szCs w:val="18"/>
                      <w:vertAlign w:val="subscript"/>
                      <w:lang w:val="en-US" w:eastAsia="zh-CN"/>
                    </w:rPr>
                    <w:t>10</w:t>
                  </w:r>
                  <w:r>
                    <w:rPr>
                      <w:rFonts w:hint="default" w:ascii="Times New Roman" w:hAnsi="Times New Roman" w:cs="Times New Roman"/>
                      <w:color w:val="auto"/>
                      <w:sz w:val="18"/>
                      <w:szCs w:val="18"/>
                    </w:rPr>
                    <w:t>、PM</w:t>
                  </w:r>
                  <w:r>
                    <w:rPr>
                      <w:rFonts w:hint="eastAsia" w:ascii="Times New Roman" w:hAnsi="Times New Roman" w:cs="Times New Roman"/>
                      <w:color w:val="auto"/>
                      <w:sz w:val="18"/>
                      <w:szCs w:val="18"/>
                      <w:vertAlign w:val="subscript"/>
                      <w:lang w:val="en-US" w:eastAsia="zh-CN"/>
                    </w:rPr>
                    <w:t>2.5</w:t>
                  </w:r>
                  <w:r>
                    <w:rPr>
                      <w:rFonts w:hint="default" w:ascii="Times New Roman" w:hAnsi="Times New Roman" w:cs="Times New Roman"/>
                      <w:color w:val="auto"/>
                      <w:sz w:val="18"/>
                      <w:szCs w:val="18"/>
                    </w:rPr>
                    <w:t>浓度，园区应严格控制烟粉尘、SO</w:t>
                  </w:r>
                  <w:r>
                    <w:rPr>
                      <w:rFonts w:hint="eastAsia" w:ascii="Times New Roman" w:hAnsi="Times New Roman" w:cs="Times New Roman"/>
                      <w:color w:val="auto"/>
                      <w:sz w:val="18"/>
                      <w:szCs w:val="18"/>
                      <w:vertAlign w:val="subscript"/>
                      <w:lang w:val="en-US" w:eastAsia="zh-CN"/>
                    </w:rPr>
                    <w:t>2</w:t>
                  </w:r>
                  <w:r>
                    <w:rPr>
                      <w:rFonts w:hint="default" w:ascii="Times New Roman" w:hAnsi="Times New Roman" w:cs="Times New Roman"/>
                      <w:color w:val="auto"/>
                      <w:sz w:val="18"/>
                      <w:szCs w:val="18"/>
                    </w:rPr>
                    <w:t>、NOx排放量大的企业入区。</w:t>
                  </w:r>
                </w:p>
                <w:p>
                  <w:pPr>
                    <w:keepNext w:val="0"/>
                    <w:keepLines w:val="0"/>
                    <w:pageBreakBefore w:val="0"/>
                    <w:widowControl w:val="0"/>
                    <w:numPr>
                      <w:ilvl w:val="0"/>
                      <w:numId w:val="4"/>
                    </w:numPr>
                    <w:kinsoku/>
                    <w:wordWrap/>
                    <w:overflowPunct/>
                    <w:topLinePunct w:val="0"/>
                    <w:autoSpaceDE/>
                    <w:autoSpaceDN/>
                    <w:bidi w:val="0"/>
                    <w:adjustRightInd w:val="0"/>
                    <w:snapToGrid w:val="0"/>
                    <w:spacing w:beforeAutospacing="0" w:afterAutospacing="0" w:line="240" w:lineRule="auto"/>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在水环境敏感区域，应控制废水排放量大、且没有合理可行废水回用或处置途径的项目。</w:t>
                  </w:r>
                </w:p>
              </w:tc>
              <w:tc>
                <w:tcPr>
                  <w:tcW w:w="1818"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本项目属于《产业结构调整指导目录（2024年本）》中的鼓励类，</w:t>
                  </w:r>
                  <w:r>
                    <w:rPr>
                      <w:rFonts w:hint="eastAsia" w:cs="Times New Roman"/>
                      <w:color w:val="auto"/>
                      <w:sz w:val="18"/>
                      <w:szCs w:val="18"/>
                      <w:lang w:val="en-US" w:eastAsia="zh-CN"/>
                    </w:rPr>
                    <w:t>没有挥发性有机物产生</w:t>
                  </w:r>
                  <w:r>
                    <w:rPr>
                      <w:rFonts w:hint="eastAsia" w:ascii="Times New Roman" w:hAnsi="Times New Roman" w:eastAsia="宋体" w:cs="Times New Roman"/>
                      <w:color w:val="auto"/>
                      <w:sz w:val="18"/>
                      <w:szCs w:val="18"/>
                      <w:lang w:val="en-US" w:eastAsia="zh-CN"/>
                    </w:rPr>
                    <w:t>。</w:t>
                  </w:r>
                  <w:r>
                    <w:rPr>
                      <w:rFonts w:hint="default" w:ascii="Times New Roman" w:hAnsi="Times New Roman" w:eastAsia="宋体" w:cs="Times New Roman"/>
                      <w:color w:val="auto"/>
                      <w:sz w:val="18"/>
                      <w:szCs w:val="18"/>
                      <w:lang w:val="en-US" w:eastAsia="zh-CN"/>
                    </w:rPr>
                    <w:t>企业将严格执行污染物总量控制制度。</w:t>
                  </w:r>
                </w:p>
              </w:tc>
              <w:tc>
                <w:tcPr>
                  <w:tcW w:w="323"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75" w:hRule="atLeast"/>
                <w:jc w:val="center"/>
              </w:trPr>
              <w:tc>
                <w:tcPr>
                  <w:tcW w:w="685"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空间</w:t>
                  </w:r>
                </w:p>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布局</w:t>
                  </w:r>
                </w:p>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约束</w:t>
                  </w:r>
                </w:p>
              </w:tc>
              <w:tc>
                <w:tcPr>
                  <w:tcW w:w="3683" w:type="dxa"/>
                  <w:noWrap w:val="0"/>
                  <w:vAlign w:val="center"/>
                </w:tcPr>
                <w:p>
                  <w:pPr>
                    <w:keepNext w:val="0"/>
                    <w:keepLines w:val="0"/>
                    <w:pageBreakBefore w:val="0"/>
                    <w:widowControl w:val="0"/>
                    <w:numPr>
                      <w:ilvl w:val="0"/>
                      <w:numId w:val="5"/>
                    </w:numPr>
                    <w:kinsoku/>
                    <w:wordWrap/>
                    <w:overflowPunct/>
                    <w:topLinePunct w:val="0"/>
                    <w:autoSpaceDE/>
                    <w:autoSpaceDN/>
                    <w:bidi w:val="0"/>
                    <w:adjustRightInd w:val="0"/>
                    <w:snapToGrid w:val="0"/>
                    <w:spacing w:beforeAutospacing="0" w:afterAutospacing="0" w:line="240" w:lineRule="auto"/>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根据《如皋市长江镇土地利用总体规划》(2006-2020年),到2020年本区域范围内基本农田面积为2178.87公顷，规划2030年保持这一规模，严格按照《基本农田保护条例》的保护控制要求执行，禁止非法占用。</w:t>
                  </w:r>
                </w:p>
                <w:p>
                  <w:pPr>
                    <w:keepNext w:val="0"/>
                    <w:keepLines w:val="0"/>
                    <w:pageBreakBefore w:val="0"/>
                    <w:widowControl w:val="0"/>
                    <w:numPr>
                      <w:ilvl w:val="0"/>
                      <w:numId w:val="5"/>
                    </w:numPr>
                    <w:kinsoku/>
                    <w:wordWrap/>
                    <w:overflowPunct/>
                    <w:topLinePunct w:val="0"/>
                    <w:autoSpaceDE/>
                    <w:autoSpaceDN/>
                    <w:bidi w:val="0"/>
                    <w:adjustRightInd w:val="0"/>
                    <w:snapToGrid w:val="0"/>
                    <w:spacing w:beforeAutospacing="0" w:afterAutospacing="0" w:line="240" w:lineRule="auto"/>
                    <w:jc w:val="left"/>
                    <w:textAlignment w:val="auto"/>
                    <w:rPr>
                      <w:rFonts w:hint="eastAsia"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位于禁建区的重要水域禁止围垦填埋河流，除规划许可的水面和滨水景观设施以外，禁止新建、扩建与防洪、改善水环境无关的建筑物、构筑物。位于限建区的次要水域可结合水体特点进行景观营造和环境整治。</w:t>
                  </w:r>
                </w:p>
                <w:p>
                  <w:pPr>
                    <w:keepNext w:val="0"/>
                    <w:keepLines w:val="0"/>
                    <w:pageBreakBefore w:val="0"/>
                    <w:widowControl w:val="0"/>
                    <w:numPr>
                      <w:ilvl w:val="0"/>
                      <w:numId w:val="5"/>
                    </w:numPr>
                    <w:kinsoku/>
                    <w:wordWrap/>
                    <w:overflowPunct/>
                    <w:topLinePunct w:val="0"/>
                    <w:autoSpaceDE/>
                    <w:autoSpaceDN/>
                    <w:bidi w:val="0"/>
                    <w:adjustRightInd w:val="0"/>
                    <w:snapToGrid w:val="0"/>
                    <w:spacing w:beforeAutospacing="0" w:afterAutospacing="0" w:line="240" w:lineRule="auto"/>
                    <w:jc w:val="left"/>
                    <w:textAlignment w:val="auto"/>
                    <w:rPr>
                      <w:rFonts w:hint="eastAsia"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禁止铁路、公路及主要城市道路防护林带、水系防护林带、高压走廊防护绿地、公用设施周围防护绿带、工业区与居住区之间的防护林带内的开发建设。</w:t>
                  </w:r>
                </w:p>
                <w:p>
                  <w:pPr>
                    <w:keepNext w:val="0"/>
                    <w:keepLines w:val="0"/>
                    <w:pageBreakBefore w:val="0"/>
                    <w:widowControl w:val="0"/>
                    <w:numPr>
                      <w:ilvl w:val="0"/>
                      <w:numId w:val="5"/>
                    </w:numPr>
                    <w:kinsoku/>
                    <w:wordWrap/>
                    <w:overflowPunct/>
                    <w:topLinePunct w:val="0"/>
                    <w:autoSpaceDE/>
                    <w:autoSpaceDN/>
                    <w:bidi w:val="0"/>
                    <w:adjustRightInd w:val="0"/>
                    <w:snapToGrid w:val="0"/>
                    <w:spacing w:beforeAutospacing="0" w:afterAutospacing="0" w:line="240" w:lineRule="auto"/>
                    <w:jc w:val="left"/>
                    <w:textAlignment w:val="auto"/>
                    <w:rPr>
                      <w:rFonts w:hint="eastAsia"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严禁在长江干流及主要支流1公里范围内新建危化品码头。</w:t>
                  </w:r>
                </w:p>
                <w:p>
                  <w:pPr>
                    <w:keepNext w:val="0"/>
                    <w:keepLines w:val="0"/>
                    <w:pageBreakBefore w:val="0"/>
                    <w:widowControl w:val="0"/>
                    <w:numPr>
                      <w:ilvl w:val="0"/>
                      <w:numId w:val="5"/>
                    </w:numPr>
                    <w:kinsoku/>
                    <w:wordWrap/>
                    <w:overflowPunct/>
                    <w:topLinePunct w:val="0"/>
                    <w:autoSpaceDE/>
                    <w:autoSpaceDN/>
                    <w:bidi w:val="0"/>
                    <w:adjustRightInd w:val="0"/>
                    <w:snapToGrid w:val="0"/>
                    <w:spacing w:beforeAutospacing="0" w:afterAutospacing="0" w:line="240" w:lineRule="auto"/>
                    <w:jc w:val="left"/>
                    <w:textAlignment w:val="auto"/>
                    <w:rPr>
                      <w:rFonts w:hint="eastAsia"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严格按照《江苏省沿江沿海港口布局规划(2015-2030年)》及《南通港总体规划》中的布局进行岸线利用。涉及的生态空间管控区，应严守生态保护红线，不同生态红线区域的分类管控要求，确保“功能不降低、面积不减少、性质不改变”</w:t>
                  </w:r>
                  <w:r>
                    <w:rPr>
                      <w:rFonts w:hint="eastAsia" w:ascii="Times New Roman" w:hAnsi="Times New Roman" w:cs="Times New Roman"/>
                      <w:color w:val="auto"/>
                      <w:sz w:val="18"/>
                      <w:szCs w:val="18"/>
                      <w:lang w:eastAsia="zh-CN"/>
                    </w:rPr>
                    <w:t>。</w:t>
                  </w:r>
                </w:p>
              </w:tc>
              <w:tc>
                <w:tcPr>
                  <w:tcW w:w="1818"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本项目位于</w:t>
                  </w:r>
                  <w:r>
                    <w:rPr>
                      <w:rFonts w:hint="eastAsia" w:ascii="Times New Roman" w:hAnsi="Times New Roman" w:eastAsia="宋体" w:cs="Times New Roman"/>
                      <w:color w:val="auto"/>
                      <w:sz w:val="18"/>
                      <w:szCs w:val="18"/>
                      <w:lang w:val="en-US" w:eastAsia="zh-CN"/>
                    </w:rPr>
                    <w:t>如皋市长江镇创业路8号</w:t>
                  </w:r>
                  <w:r>
                    <w:rPr>
                      <w:rFonts w:hint="default" w:ascii="Times New Roman" w:hAnsi="Times New Roman" w:eastAsia="宋体" w:cs="Times New Roman"/>
                      <w:color w:val="auto"/>
                      <w:sz w:val="18"/>
                      <w:szCs w:val="18"/>
                      <w:lang w:val="en-US" w:eastAsia="zh-CN"/>
                    </w:rPr>
                    <w:t>，不属于</w:t>
                  </w:r>
                  <w:r>
                    <w:rPr>
                      <w:rFonts w:hint="eastAsia" w:ascii="Times New Roman" w:hAnsi="Times New Roman" w:eastAsia="宋体" w:cs="Times New Roman"/>
                      <w:color w:val="auto"/>
                      <w:sz w:val="18"/>
                      <w:szCs w:val="18"/>
                      <w:lang w:val="en-US" w:eastAsia="zh-CN"/>
                    </w:rPr>
                    <w:t>禁建区，不在铁路、公路及主要城市道路防护林带、水系防护林带、高压走廊防护绿地、公用设施周围防护绿带、工业区与居住区之间的防护林带内不在长江干流及主要支流1公里范围内，</w:t>
                  </w:r>
                  <w:r>
                    <w:rPr>
                      <w:rFonts w:hint="default" w:ascii="Times New Roman" w:hAnsi="Times New Roman" w:eastAsia="宋体" w:cs="Times New Roman"/>
                      <w:color w:val="auto"/>
                      <w:sz w:val="18"/>
                      <w:szCs w:val="18"/>
                      <w:lang w:val="en-US" w:eastAsia="zh-CN"/>
                    </w:rPr>
                    <w:t>用地不占用生态保护红线和永久基本农田。</w:t>
                  </w:r>
                </w:p>
              </w:tc>
              <w:tc>
                <w:tcPr>
                  <w:tcW w:w="323"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07" w:hRule="atLeast"/>
                <w:jc w:val="center"/>
              </w:trPr>
              <w:tc>
                <w:tcPr>
                  <w:tcW w:w="685"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污染</w:t>
                  </w:r>
                </w:p>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物排</w:t>
                  </w:r>
                </w:p>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放管</w:t>
                  </w:r>
                </w:p>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cs="Times New Roman"/>
                      <w:color w:val="auto"/>
                      <w:lang w:val="en-US" w:eastAsia="zh-CN"/>
                    </w:rPr>
                  </w:pPr>
                  <w:r>
                    <w:rPr>
                      <w:rFonts w:hint="default" w:ascii="Times New Roman" w:hAnsi="Times New Roman" w:eastAsia="宋体" w:cs="Times New Roman"/>
                      <w:color w:val="auto"/>
                      <w:sz w:val="18"/>
                      <w:szCs w:val="18"/>
                      <w:lang w:val="en-US" w:eastAsia="zh-CN"/>
                    </w:rPr>
                    <w:t>控</w:t>
                  </w:r>
                </w:p>
              </w:tc>
              <w:tc>
                <w:tcPr>
                  <w:tcW w:w="3683"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1、园区主要污染物外排量COD774.42 吨/年、NH</w:t>
                  </w:r>
                  <w:r>
                    <w:rPr>
                      <w:rFonts w:hint="default" w:ascii="Times New Roman" w:hAnsi="Times New Roman" w:cs="Times New Roman"/>
                      <w:color w:val="auto"/>
                      <w:sz w:val="18"/>
                      <w:szCs w:val="18"/>
                      <w:vertAlign w:val="subscript"/>
                    </w:rPr>
                    <w:t>3</w:t>
                  </w:r>
                  <w:r>
                    <w:rPr>
                      <w:rFonts w:hint="default" w:ascii="Times New Roman" w:hAnsi="Times New Roman" w:cs="Times New Roman"/>
                      <w:color w:val="auto"/>
                      <w:sz w:val="18"/>
                      <w:szCs w:val="18"/>
                    </w:rPr>
                    <w:t>-N123.91吨/年、总氮 232.33 吨/年、总磷 7.74吨/年。2、园区主要污染物外排量SO2193.90 吨/年、NOx329.36 吨/年、烟粉尘 269.98 吨/年、VOCs269.29 吨/年。3、未申请到如皋市排放总量的情况下，区内企业排放的涉重金属特征污染物废水需实现零排放。</w:t>
                  </w:r>
                </w:p>
              </w:tc>
              <w:tc>
                <w:tcPr>
                  <w:tcW w:w="1818"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项目属于实施登记管理的行业，无需申请排污总量指标及排污权交易。</w:t>
                  </w:r>
                </w:p>
              </w:tc>
              <w:tc>
                <w:tcPr>
                  <w:tcW w:w="32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cs="Times New Roman"/>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685"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环境</w:t>
                  </w:r>
                </w:p>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风险</w:t>
                  </w:r>
                </w:p>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防控</w:t>
                  </w:r>
                </w:p>
              </w:tc>
              <w:tc>
                <w:tcPr>
                  <w:tcW w:w="3683"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邻近国家级生态保护红线、江苏省生态空间管控区的工业用地，加强入区企业跑、冒、滴、漏管理，设置符合规范的事故应急池，确保企业废水不排入上述敏感区域。</w:t>
                  </w:r>
                </w:p>
              </w:tc>
              <w:tc>
                <w:tcPr>
                  <w:tcW w:w="1818"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本项目实施后加强跑、冒、滴、漏管理，设置符合规范的事故应急池，确保废水不排入上述敏感区域。</w:t>
                  </w:r>
                </w:p>
              </w:tc>
              <w:tc>
                <w:tcPr>
                  <w:tcW w:w="32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cs="Times New Roman"/>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85"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资源</w:t>
                  </w:r>
                </w:p>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利用</w:t>
                  </w:r>
                </w:p>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效率</w:t>
                  </w:r>
                </w:p>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要求</w:t>
                  </w:r>
                </w:p>
              </w:tc>
              <w:tc>
                <w:tcPr>
                  <w:tcW w:w="3683"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1、2030 年用水总量不得超过 5 万吨/日、城市建设用地不得超过47.78 平方公里。2、园区实行集中供热，入区企业确因工艺要求需新增工业炉窑的，应以电、天然气或轻柴油（含硫率低于 0.2%）等清洁燃料为能源。3、建设项目须满足单位 GDP 综合能耗≤0.5 吨标煤/万元，单位 GDP新鲜水耗≤8 立方米/万元。</w:t>
                  </w:r>
                </w:p>
              </w:tc>
              <w:tc>
                <w:tcPr>
                  <w:tcW w:w="1818"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本项目仅使用电能</w:t>
                  </w:r>
                  <w:r>
                    <w:rPr>
                      <w:rFonts w:hint="eastAsia" w:cs="Times New Roman"/>
                      <w:color w:val="auto"/>
                      <w:sz w:val="18"/>
                      <w:szCs w:val="18"/>
                      <w:lang w:val="en-US" w:eastAsia="zh-CN"/>
                    </w:rPr>
                    <w:t>、天然气</w:t>
                  </w:r>
                  <w:r>
                    <w:rPr>
                      <w:rFonts w:hint="default" w:ascii="Times New Roman" w:hAnsi="Times New Roman" w:cs="Times New Roman"/>
                      <w:color w:val="auto"/>
                      <w:sz w:val="18"/>
                      <w:szCs w:val="18"/>
                    </w:rPr>
                    <w:t>清洁燃料为能源</w:t>
                  </w:r>
                  <w:r>
                    <w:rPr>
                      <w:rFonts w:hint="default" w:ascii="Times New Roman" w:hAnsi="Times New Roman" w:eastAsia="宋体" w:cs="Times New Roman"/>
                      <w:color w:val="auto"/>
                      <w:sz w:val="18"/>
                      <w:szCs w:val="18"/>
                      <w:lang w:val="en-US" w:eastAsia="zh-CN"/>
                    </w:rPr>
                    <w:t>，满足资源能源利用效率要求</w:t>
                  </w:r>
                  <w:r>
                    <w:rPr>
                      <w:rFonts w:hint="eastAsia" w:ascii="Times New Roman" w:hAnsi="Times New Roman" w:eastAsia="宋体" w:cs="Times New Roman"/>
                      <w:color w:val="auto"/>
                      <w:sz w:val="18"/>
                      <w:szCs w:val="18"/>
                      <w:lang w:val="en-US" w:eastAsia="zh-CN"/>
                    </w:rPr>
                    <w:t>。</w:t>
                  </w:r>
                </w:p>
              </w:tc>
              <w:tc>
                <w:tcPr>
                  <w:tcW w:w="32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cs="Times New Roman"/>
                      <w:color w:val="auto"/>
                      <w:sz w:val="18"/>
                      <w:szCs w:val="18"/>
                    </w:rPr>
                  </w:pPr>
                </w:p>
              </w:tc>
            </w:tr>
          </w:tbl>
          <w:p>
            <w:pPr>
              <w:adjustRightInd w:val="0"/>
              <w:snapToGrid w:val="0"/>
              <w:spacing w:line="500" w:lineRule="exact"/>
              <w:ind w:firstLine="420" w:firstLineChars="200"/>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3、与规划环评审查意见相符性分析</w:t>
            </w:r>
          </w:p>
          <w:p>
            <w:pPr>
              <w:adjustRightInd w:val="0"/>
              <w:snapToGrid w:val="0"/>
              <w:spacing w:line="500" w:lineRule="exact"/>
              <w:ind w:firstLine="420" w:firstLineChars="200"/>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项目与</w:t>
            </w:r>
            <w:r>
              <w:rPr>
                <w:rFonts w:hint="default" w:ascii="Times New Roman" w:hAnsi="Times New Roman" w:cs="Times New Roman"/>
                <w:color w:val="auto"/>
                <w:kern w:val="0"/>
                <w:szCs w:val="21"/>
                <w:lang w:eastAsia="zh-CN" w:bidi="ar"/>
              </w:rPr>
              <w:t>《长江镇（如皋港工业园区）开发建设规划（2020-2030）环境影响报告书》审查意见</w:t>
            </w:r>
            <w:r>
              <w:rPr>
                <w:rFonts w:hint="default" w:ascii="Times New Roman" w:hAnsi="Times New Roman" w:eastAsia="宋体" w:cs="Times New Roman"/>
                <w:bCs/>
                <w:color w:val="auto"/>
                <w:szCs w:val="21"/>
                <w:lang w:val="en-US" w:eastAsia="zh-CN"/>
              </w:rPr>
              <w:t>相符性分析见下表。</w:t>
            </w:r>
          </w:p>
          <w:p>
            <w:pPr>
              <w:pStyle w:val="4"/>
              <w:keepNext/>
              <w:keepLines/>
              <w:pageBreakBefore w:val="0"/>
              <w:widowControl w:val="0"/>
              <w:tabs>
                <w:tab w:val="left" w:pos="864"/>
              </w:tabs>
              <w:kinsoku/>
              <w:wordWrap/>
              <w:overflowPunct/>
              <w:topLinePunct w:val="0"/>
              <w:autoSpaceDE/>
              <w:autoSpaceDN/>
              <w:bidi w:val="0"/>
              <w:adjustRightInd w:val="0"/>
              <w:snapToGrid w:val="0"/>
              <w:spacing w:before="0" w:after="0" w:line="500" w:lineRule="exact"/>
              <w:jc w:val="center"/>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cs="Times New Roman"/>
                <w:color w:val="auto"/>
                <w:sz w:val="21"/>
                <w:szCs w:val="21"/>
                <w:highlight w:val="none"/>
              </w:rPr>
              <w:t>表 1-</w:t>
            </w:r>
            <w:r>
              <w:rPr>
                <w:rFonts w:hint="eastAsia" w:ascii="Times New Roman" w:hAnsi="Times New Roman" w:cs="Times New Roman"/>
                <w:color w:val="auto"/>
                <w:sz w:val="21"/>
                <w:szCs w:val="21"/>
                <w:highlight w:val="none"/>
                <w:lang w:val="en-US" w:eastAsia="zh-CN"/>
              </w:rPr>
              <w:t xml:space="preserve">3 </w:t>
            </w:r>
            <w:r>
              <w:rPr>
                <w:rFonts w:hint="default" w:ascii="Times New Roman" w:hAnsi="Times New Roman" w:cs="Times New Roman"/>
                <w:color w:val="auto"/>
                <w:sz w:val="21"/>
                <w:szCs w:val="21"/>
                <w:highlight w:val="none"/>
              </w:rPr>
              <w:t xml:space="preserve"> </w:t>
            </w:r>
            <w:r>
              <w:rPr>
                <w:rFonts w:hint="default" w:ascii="Times New Roman" w:hAnsi="Times New Roman" w:eastAsia="宋体" w:cs="Times New Roman"/>
                <w:b/>
                <w:bCs/>
                <w:color w:val="auto"/>
                <w:kern w:val="0"/>
                <w:sz w:val="21"/>
                <w:szCs w:val="21"/>
                <w:highlight w:val="none"/>
                <w:lang w:val="en-US" w:eastAsia="zh-CN" w:bidi="ar"/>
              </w:rPr>
              <w:t>与规划环评审查意见相符性</w:t>
            </w:r>
          </w:p>
          <w:tbl>
            <w:tblPr>
              <w:tblStyle w:val="21"/>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44"/>
              <w:gridCol w:w="3848"/>
              <w:gridCol w:w="2146"/>
              <w:gridCol w:w="4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38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b/>
                      <w:bCs/>
                      <w:color w:val="auto"/>
                      <w:sz w:val="18"/>
                      <w:szCs w:val="18"/>
                      <w:lang w:val="en-US" w:eastAsia="zh-CN"/>
                    </w:rPr>
                  </w:pPr>
                  <w:r>
                    <w:rPr>
                      <w:rFonts w:hint="eastAsia" w:ascii="Times New Roman" w:hAnsi="Times New Roman" w:eastAsia="宋体" w:cs="Times New Roman"/>
                      <w:b/>
                      <w:bCs/>
                      <w:color w:val="auto"/>
                      <w:sz w:val="18"/>
                      <w:szCs w:val="18"/>
                      <w:lang w:val="en-US" w:eastAsia="zh-CN"/>
                    </w:rPr>
                    <w:t>序号</w:t>
                  </w:r>
                </w:p>
              </w:tc>
              <w:tc>
                <w:tcPr>
                  <w:tcW w:w="27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指导意见</w:t>
                  </w:r>
                </w:p>
              </w:tc>
              <w:tc>
                <w:tcPr>
                  <w:tcW w:w="15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本项目情况</w:t>
                  </w:r>
                </w:p>
              </w:tc>
              <w:tc>
                <w:tcPr>
                  <w:tcW w:w="3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b/>
                      <w:bCs/>
                      <w:color w:val="auto"/>
                      <w:sz w:val="18"/>
                      <w:szCs w:val="18"/>
                      <w:lang w:val="en-US" w:eastAsia="zh-CN"/>
                    </w:rPr>
                  </w:pPr>
                  <w:r>
                    <w:rPr>
                      <w:rFonts w:hint="eastAsia" w:ascii="Times New Roman" w:hAnsi="Times New Roman" w:eastAsia="宋体" w:cs="Times New Roman"/>
                      <w:b/>
                      <w:bCs/>
                      <w:color w:val="auto"/>
                      <w:sz w:val="18"/>
                      <w:szCs w:val="18"/>
                      <w:lang w:val="en-US" w:eastAsia="zh-CN"/>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38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w:t>
                  </w:r>
                </w:p>
              </w:tc>
              <w:tc>
                <w:tcPr>
                  <w:tcW w:w="27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left"/>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加强规划引导，坚持绿色发展和协调发展理念。位于长青沙饮用水水源保护区二级保护区内的航道局码头仅进行航运海事等管理部门工作，规划期内应健全事故风险防范和应急机制，确保废水、固废能够统一收集至保护区外处理排放，不得新、改、扩排放污染物的建设项目；对位于长青沙饮用水水源保护区准保护区内码头，应依法依规提出严格的管控要求；如皋市富港水处理有限公司排污口对长青沙饮用水水源保护区存在环境制约，且规划期富港水处理有限公司废水处置容量不足，需重新开展排污口设置论证工作，在环境合理的基础上，有效预防和减缓《规划》实施可能带来的不利环境影响；鉴于长青沙饮用水源保护区的重要性，长青沙区域在产业及土地开发利用布局上应进一步遵循调优调轻的原则，落实生态保护管控要求。对于位于刀鲚国家级水产种质资源保护区国家级生态保护红线（核心区）范围内的 9 家企业，应于 2025 年底前关停退出，远期恢复为生态绿地，并落实续存期间的污染及风险管控要求。</w:t>
                  </w:r>
                </w:p>
              </w:tc>
              <w:tc>
                <w:tcPr>
                  <w:tcW w:w="15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本项目属于</w:t>
                  </w:r>
                  <w:r>
                    <w:rPr>
                      <w:rFonts w:hint="eastAsia" w:ascii="Times New Roman" w:hAnsi="Times New Roman" w:eastAsia="宋体" w:cs="Times New Roman"/>
                      <w:color w:val="auto"/>
                      <w:sz w:val="18"/>
                      <w:szCs w:val="18"/>
                      <w:lang w:val="en-US" w:eastAsia="zh-CN"/>
                    </w:rPr>
                    <w:t>【C3</w:t>
                  </w:r>
                  <w:r>
                    <w:rPr>
                      <w:rFonts w:hint="eastAsia" w:cs="Times New Roman"/>
                      <w:color w:val="auto"/>
                      <w:sz w:val="18"/>
                      <w:szCs w:val="18"/>
                      <w:lang w:val="en-US" w:eastAsia="zh-CN"/>
                    </w:rPr>
                    <w:t>393</w:t>
                  </w:r>
                  <w:r>
                    <w:rPr>
                      <w:rFonts w:hint="eastAsia" w:ascii="Times New Roman" w:hAnsi="Times New Roman" w:eastAsia="宋体" w:cs="Times New Roman"/>
                      <w:color w:val="auto"/>
                      <w:sz w:val="18"/>
                      <w:szCs w:val="18"/>
                      <w:lang w:val="en-US" w:eastAsia="zh-CN"/>
                    </w:rPr>
                    <w:t>】锻件及粉末冶金制品制造</w:t>
                  </w:r>
                  <w:r>
                    <w:rPr>
                      <w:rFonts w:hint="default" w:ascii="Times New Roman" w:hAnsi="Times New Roman" w:eastAsia="宋体" w:cs="Times New Roman"/>
                      <w:color w:val="auto"/>
                      <w:sz w:val="18"/>
                      <w:szCs w:val="18"/>
                      <w:lang w:val="en-US" w:eastAsia="zh-CN"/>
                    </w:rPr>
                    <w:t>，不属于航运海事等管理部门工作</w:t>
                  </w:r>
                  <w:r>
                    <w:rPr>
                      <w:rFonts w:hint="eastAsia" w:ascii="Times New Roman" w:hAnsi="Times New Roman" w:eastAsia="宋体" w:cs="Times New Roman"/>
                      <w:color w:val="auto"/>
                      <w:sz w:val="18"/>
                      <w:szCs w:val="18"/>
                      <w:lang w:val="en-US" w:eastAsia="zh-CN"/>
                    </w:rPr>
                    <w:t>，</w:t>
                  </w:r>
                  <w:r>
                    <w:rPr>
                      <w:rFonts w:hint="default" w:ascii="Times New Roman" w:hAnsi="Times New Roman" w:eastAsia="宋体" w:cs="Times New Roman"/>
                      <w:color w:val="auto"/>
                      <w:sz w:val="18"/>
                      <w:szCs w:val="18"/>
                      <w:lang w:val="en-US" w:eastAsia="zh-CN"/>
                    </w:rPr>
                    <w:t>不属于码头建设；本项目位于</w:t>
                  </w:r>
                  <w:r>
                    <w:rPr>
                      <w:rFonts w:hint="eastAsia" w:ascii="Times New Roman" w:hAnsi="Times New Roman" w:eastAsia="宋体" w:cs="Times New Roman"/>
                      <w:color w:val="auto"/>
                      <w:sz w:val="18"/>
                      <w:szCs w:val="18"/>
                      <w:lang w:val="en-US" w:eastAsia="zh-CN"/>
                    </w:rPr>
                    <w:t>如皋市长江镇创业路8号</w:t>
                  </w:r>
                  <w:r>
                    <w:rPr>
                      <w:rFonts w:hint="default" w:ascii="Times New Roman" w:hAnsi="Times New Roman" w:eastAsia="宋体" w:cs="Times New Roman"/>
                      <w:color w:val="auto"/>
                      <w:sz w:val="18"/>
                      <w:szCs w:val="18"/>
                      <w:lang w:val="en-US" w:eastAsia="zh-CN"/>
                    </w:rPr>
                    <w:t>，不属于刀鲚国家级水产种质资源保护区国家级生态保护红线（核心区）范围内的9家企业。</w:t>
                  </w:r>
                </w:p>
              </w:tc>
              <w:tc>
                <w:tcPr>
                  <w:tcW w:w="3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38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w:t>
                  </w:r>
                </w:p>
              </w:tc>
              <w:tc>
                <w:tcPr>
                  <w:tcW w:w="27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left"/>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园区排放的污染物应根据省、市污染物排放总量管理办法以及规划实施期间生态环境部门出台的总量控制相关要求在如皋市内进行点对点削减平衡。</w:t>
                  </w:r>
                </w:p>
              </w:tc>
              <w:tc>
                <w:tcPr>
                  <w:tcW w:w="15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项目属于实施登记管理的行业，无需申请排污总量指标及排污权交易。</w:t>
                  </w:r>
                </w:p>
              </w:tc>
              <w:tc>
                <w:tcPr>
                  <w:tcW w:w="3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38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w:t>
                  </w:r>
                </w:p>
              </w:tc>
              <w:tc>
                <w:tcPr>
                  <w:tcW w:w="27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left"/>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智能制造产业园区（南区）因产业链需求，必须配套涉及电镀（含阳极氧化）工艺的，废水一类污染物不得外排，不允许对外承接电镀业务。</w:t>
                  </w:r>
                </w:p>
              </w:tc>
              <w:tc>
                <w:tcPr>
                  <w:tcW w:w="15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项目位于</w:t>
                  </w:r>
                  <w:r>
                    <w:rPr>
                      <w:rFonts w:hint="eastAsia" w:ascii="Times New Roman" w:hAnsi="Times New Roman" w:eastAsia="宋体" w:cs="Times New Roman"/>
                      <w:color w:val="auto"/>
                      <w:sz w:val="18"/>
                      <w:szCs w:val="18"/>
                      <w:lang w:val="en-US" w:eastAsia="zh-CN"/>
                    </w:rPr>
                    <w:t>如皋市长江镇创业路8号</w:t>
                  </w:r>
                  <w:r>
                    <w:rPr>
                      <w:rFonts w:hint="default" w:ascii="Times New Roman" w:hAnsi="Times New Roman" w:eastAsia="宋体" w:cs="Times New Roman"/>
                      <w:color w:val="auto"/>
                      <w:sz w:val="18"/>
                      <w:szCs w:val="18"/>
                      <w:lang w:val="en-US" w:eastAsia="zh-CN"/>
                    </w:rPr>
                    <w:t>，属于规划范围内</w:t>
                  </w:r>
                  <w:r>
                    <w:rPr>
                      <w:rFonts w:hint="eastAsia" w:ascii="Times New Roman" w:hAnsi="Times New Roman" w:eastAsia="宋体" w:cs="Times New Roman"/>
                      <w:color w:val="auto"/>
                      <w:sz w:val="18"/>
                      <w:szCs w:val="18"/>
                      <w:lang w:val="en-US" w:eastAsia="zh-CN"/>
                    </w:rPr>
                    <w:t>，项目不涉及电镀</w:t>
                  </w:r>
                  <w:r>
                    <w:rPr>
                      <w:rFonts w:hint="default" w:ascii="Times New Roman" w:hAnsi="Times New Roman" w:eastAsia="宋体" w:cs="Times New Roman"/>
                      <w:color w:val="auto"/>
                      <w:sz w:val="18"/>
                      <w:szCs w:val="18"/>
                      <w:lang w:val="en-US" w:eastAsia="zh-CN"/>
                    </w:rPr>
                    <w:t>。</w:t>
                  </w:r>
                </w:p>
              </w:tc>
              <w:tc>
                <w:tcPr>
                  <w:tcW w:w="3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38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4</w:t>
                  </w:r>
                </w:p>
              </w:tc>
              <w:tc>
                <w:tcPr>
                  <w:tcW w:w="27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left"/>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完善环境基础设施，严守环境质量底线。完善区域污水排放系统，加快园区污水厂扩建及管网建设进程，污水处理厂排放标准应进一步从严提高：严禁建设燃煤锅炉，新建工业炉窑及锅炉需使用清洁能源，根据《如皋市热电联产规划》，加快提升园区集中供热规模，满足园区发展供热需求；加强固体废弃物的处理处置，危险废物交由有资质的单位收集处理。采取有效措施减少大气、水主要污染物和特征污染物的排放总量，确保实现区域环境质量改善目标。</w:t>
                  </w:r>
                </w:p>
              </w:tc>
              <w:tc>
                <w:tcPr>
                  <w:tcW w:w="15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项目</w:t>
                  </w:r>
                  <w:r>
                    <w:rPr>
                      <w:rFonts w:hint="eastAsia" w:cs="Times New Roman"/>
                      <w:color w:val="auto"/>
                      <w:sz w:val="18"/>
                      <w:szCs w:val="18"/>
                      <w:lang w:val="en-US" w:eastAsia="zh-CN"/>
                    </w:rPr>
                    <w:t>新建</w:t>
                  </w:r>
                  <w:r>
                    <w:rPr>
                      <w:rFonts w:hint="eastAsia" w:ascii="Times New Roman" w:hAnsi="Times New Roman" w:eastAsia="宋体" w:cs="Times New Roman"/>
                      <w:color w:val="auto"/>
                      <w:sz w:val="18"/>
                      <w:szCs w:val="18"/>
                      <w:lang w:val="en-US" w:eastAsia="zh-CN"/>
                    </w:rPr>
                    <w:t>工业炉窑</w:t>
                  </w:r>
                  <w:r>
                    <w:rPr>
                      <w:rFonts w:hint="eastAsia" w:cs="Times New Roman"/>
                      <w:color w:val="auto"/>
                      <w:sz w:val="18"/>
                      <w:szCs w:val="18"/>
                      <w:lang w:val="en-US" w:eastAsia="zh-CN"/>
                    </w:rPr>
                    <w:t>使用天然气及电，属于</w:t>
                  </w:r>
                  <w:r>
                    <w:rPr>
                      <w:rFonts w:hint="default" w:ascii="Times New Roman" w:hAnsi="Times New Roman" w:eastAsia="宋体" w:cs="Times New Roman"/>
                      <w:color w:val="auto"/>
                      <w:sz w:val="18"/>
                      <w:szCs w:val="18"/>
                      <w:lang w:val="en-US" w:eastAsia="zh-CN"/>
                    </w:rPr>
                    <w:t>清洁能源。</w:t>
                  </w:r>
                </w:p>
              </w:tc>
              <w:tc>
                <w:tcPr>
                  <w:tcW w:w="3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38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w:t>
                  </w:r>
                </w:p>
              </w:tc>
              <w:tc>
                <w:tcPr>
                  <w:tcW w:w="27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left"/>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严格入区项目生态环境准入，推动高质量发展。落实《报告书》生态环境准入要求，强化入区企业挥发性有机物、重金属等特征污染物排放控制，禁止与主导产业不相关且污染物排放量大的项目入区，执行严格的行业废水、废气排放控制指标，引进项目的生产工艺、设备，以及单位产品能耗、污染物排放和资源利用效率等均需达到同行业国内先进水平。</w:t>
                  </w:r>
                </w:p>
              </w:tc>
              <w:tc>
                <w:tcPr>
                  <w:tcW w:w="15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本项目符合长江镇(如皋港工业园区)生态环境准入要求(具体分析详见表1-1),项目建成后执行严格的行业废水、废气排放控制指标。项目生产工艺、设备，以及单位产品能耗、污染物排放和资源利用效率等均达到同行业国内先进水平。</w:t>
                  </w:r>
                </w:p>
              </w:tc>
              <w:tc>
                <w:tcPr>
                  <w:tcW w:w="3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38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6</w:t>
                  </w:r>
                </w:p>
              </w:tc>
              <w:tc>
                <w:tcPr>
                  <w:tcW w:w="27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left"/>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加强生态环境保护，统筹考虑区内污染防治、生态恢复与建设、环境风险防范、环境管理等事宜。园区管理部门应强化管理职能和主体责任，推动区内企业做好减排工作，做好区域防控措施，落实生态敏感区的管控要求，建立健全区域环境风险防范体系，建立应急响应联动机制，提升规划区环境风险防控和应急响应能力，保障区域环境安全。</w:t>
                  </w:r>
                </w:p>
              </w:tc>
              <w:tc>
                <w:tcPr>
                  <w:tcW w:w="15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本项目废气、废水可实现达标排放和安全处置，本项目建设不突破生态环境承载力。</w:t>
                  </w:r>
                </w:p>
              </w:tc>
              <w:tc>
                <w:tcPr>
                  <w:tcW w:w="3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38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7</w:t>
                  </w:r>
                </w:p>
              </w:tc>
              <w:tc>
                <w:tcPr>
                  <w:tcW w:w="27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left"/>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完善环境监测监控体系，提升环境风险应急能力。建立环境要素的监控体系，每年开展规划区大气、水、土壤、声等环境质量的监测与管理，明确责任主体和实施时限等，重点关注长江长青沙饮用水水源保护区等保护区的环境变化情况和居住区大气环境质量变化情况，根据监测结果并结合环境影响、区域污染物控制措施实施的进度和效果，适时优化调整规划实施。加强规划区环境风险防范应急体系建设，完善规划区应急预案，加强演练。</w:t>
                  </w:r>
                </w:p>
              </w:tc>
              <w:tc>
                <w:tcPr>
                  <w:tcW w:w="15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本项目完成后将根据实际情况建立完善的环境监测方案，并加强环境风险防范应急体系。</w:t>
                  </w:r>
                </w:p>
              </w:tc>
              <w:tc>
                <w:tcPr>
                  <w:tcW w:w="3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符合</w:t>
                  </w:r>
                </w:p>
              </w:tc>
            </w:tr>
          </w:tbl>
          <w:p>
            <w:pPr>
              <w:spacing w:line="360" w:lineRule="auto"/>
              <w:ind w:firstLine="422" w:firstLineChars="200"/>
              <w:rPr>
                <w:rFonts w:ascii="Times New Roman" w:hAnsi="Times New Roman" w:eastAsia="宋体" w:cs="Times New Roman"/>
                <w:b/>
                <w:color w:val="auto"/>
                <w:sz w:val="21"/>
                <w:szCs w:val="21"/>
              </w:rPr>
            </w:pPr>
            <w:r>
              <w:rPr>
                <w:rFonts w:hint="eastAsia" w:eastAsia="宋体"/>
                <w:b/>
                <w:color w:val="auto"/>
                <w:sz w:val="21"/>
                <w:szCs w:val="21"/>
                <w:lang w:val="en-US" w:eastAsia="zh-CN"/>
              </w:rPr>
              <w:t>4、</w:t>
            </w:r>
            <w:r>
              <w:rPr>
                <w:rFonts w:hint="eastAsia" w:ascii="Times New Roman" w:hAnsi="Times New Roman" w:eastAsia="宋体" w:cs="Times New Roman"/>
                <w:b/>
                <w:color w:val="auto"/>
                <w:sz w:val="21"/>
                <w:szCs w:val="21"/>
              </w:rPr>
              <w:t>与长江镇（如皋港工业园区）生态环境准入清单相符性分析</w:t>
            </w:r>
          </w:p>
          <w:p>
            <w:pPr>
              <w:adjustRightInd w:val="0"/>
              <w:snapToGrid w:val="0"/>
              <w:spacing w:line="360" w:lineRule="auto"/>
              <w:ind w:firstLine="420" w:firstLineChars="200"/>
              <w:rPr>
                <w:rFonts w:hint="default" w:eastAsia="宋体"/>
                <w:bCs/>
                <w:color w:val="auto"/>
                <w:kern w:val="0"/>
                <w:sz w:val="21"/>
                <w:szCs w:val="21"/>
                <w:lang w:val="en-US" w:eastAsia="zh-CN" w:bidi="ar"/>
              </w:rPr>
            </w:pPr>
            <w:r>
              <w:rPr>
                <w:rFonts w:hint="eastAsia"/>
                <w:bCs/>
                <w:color w:val="auto"/>
                <w:sz w:val="21"/>
                <w:szCs w:val="21"/>
              </w:rPr>
              <w:t>对照《长江镇（如皋港工业园区）开发建设规划（2020-2030）环境影响报告书》中环境准入清单，本项目符合相关要求，本项目与规划环评准入清单相符性分析见表1-</w:t>
            </w:r>
            <w:r>
              <w:rPr>
                <w:rFonts w:hint="eastAsia"/>
                <w:bCs/>
                <w:color w:val="auto"/>
                <w:sz w:val="21"/>
                <w:szCs w:val="21"/>
                <w:lang w:val="en-US" w:eastAsia="zh-CN"/>
              </w:rPr>
              <w:t>4</w:t>
            </w:r>
            <w:r>
              <w:rPr>
                <w:rFonts w:hint="eastAsia"/>
                <w:bCs/>
                <w:color w:val="auto"/>
                <w:sz w:val="21"/>
                <w:szCs w:val="21"/>
              </w:rPr>
              <w:t>。</w:t>
            </w:r>
          </w:p>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color w:val="auto"/>
                <w:sz w:val="21"/>
                <w:szCs w:val="21"/>
              </w:rPr>
            </w:pPr>
            <w:r>
              <w:rPr>
                <w:b/>
                <w:color w:val="auto"/>
                <w:sz w:val="21"/>
                <w:szCs w:val="21"/>
              </w:rPr>
              <w:t>表</w:t>
            </w:r>
            <w:r>
              <w:rPr>
                <w:rFonts w:hint="eastAsia"/>
                <w:b/>
                <w:color w:val="auto"/>
                <w:sz w:val="21"/>
                <w:szCs w:val="21"/>
              </w:rPr>
              <w:t>1-</w:t>
            </w:r>
            <w:r>
              <w:rPr>
                <w:rFonts w:hint="eastAsia"/>
                <w:b/>
                <w:color w:val="auto"/>
                <w:sz w:val="21"/>
                <w:szCs w:val="21"/>
                <w:lang w:val="en-US" w:eastAsia="zh-CN"/>
              </w:rPr>
              <w:t>4</w:t>
            </w:r>
            <w:r>
              <w:rPr>
                <w:rFonts w:hint="eastAsia"/>
                <w:b/>
                <w:color w:val="auto"/>
                <w:sz w:val="21"/>
                <w:szCs w:val="21"/>
              </w:rPr>
              <w:t xml:space="preserve"> </w:t>
            </w:r>
            <w:r>
              <w:rPr>
                <w:b/>
                <w:color w:val="auto"/>
                <w:sz w:val="21"/>
                <w:szCs w:val="21"/>
              </w:rPr>
              <w:t xml:space="preserve"> </w:t>
            </w:r>
            <w:r>
              <w:rPr>
                <w:rFonts w:hint="eastAsia"/>
                <w:b/>
                <w:color w:val="auto"/>
                <w:sz w:val="21"/>
                <w:szCs w:val="21"/>
              </w:rPr>
              <w:t>园区</w:t>
            </w:r>
            <w:r>
              <w:rPr>
                <w:b/>
                <w:color w:val="auto"/>
                <w:sz w:val="21"/>
                <w:szCs w:val="21"/>
              </w:rPr>
              <w:t>生态环境准入清单</w:t>
            </w:r>
          </w:p>
          <w:tbl>
            <w:tblPr>
              <w:tblStyle w:val="21"/>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05"/>
              <w:gridCol w:w="4232"/>
              <w:gridCol w:w="19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73"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b/>
                      <w:bCs/>
                      <w:color w:val="auto"/>
                      <w:sz w:val="18"/>
                      <w:szCs w:val="18"/>
                    </w:rPr>
                  </w:pPr>
                  <w:r>
                    <w:rPr>
                      <w:rFonts w:hint="eastAsia"/>
                      <w:b/>
                      <w:bCs/>
                      <w:color w:val="auto"/>
                      <w:sz w:val="18"/>
                      <w:szCs w:val="18"/>
                    </w:rPr>
                    <w:t>清单类型</w:t>
                  </w:r>
                </w:p>
              </w:tc>
              <w:tc>
                <w:tcPr>
                  <w:tcW w:w="3011"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b/>
                      <w:bCs/>
                      <w:color w:val="auto"/>
                      <w:sz w:val="18"/>
                      <w:szCs w:val="18"/>
                    </w:rPr>
                  </w:pPr>
                  <w:r>
                    <w:rPr>
                      <w:b/>
                      <w:bCs/>
                      <w:color w:val="auto"/>
                      <w:sz w:val="18"/>
                      <w:szCs w:val="18"/>
                    </w:rPr>
                    <w:t>要求</w:t>
                  </w:r>
                </w:p>
              </w:tc>
              <w:tc>
                <w:tcPr>
                  <w:tcW w:w="1415"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b/>
                      <w:bCs/>
                      <w:color w:val="auto"/>
                      <w:sz w:val="18"/>
                      <w:szCs w:val="18"/>
                    </w:rPr>
                  </w:pPr>
                  <w:r>
                    <w:rPr>
                      <w:rFonts w:hint="eastAsia"/>
                      <w:b/>
                      <w:bCs/>
                      <w:color w:val="auto"/>
                      <w:sz w:val="18"/>
                      <w:szCs w:val="18"/>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73"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eastAsia" w:eastAsia="宋体"/>
                      <w:color w:val="auto"/>
                      <w:sz w:val="18"/>
                      <w:szCs w:val="18"/>
                      <w:lang w:eastAsia="zh-CN"/>
                    </w:rPr>
                  </w:pPr>
                  <w:r>
                    <w:rPr>
                      <w:rFonts w:hint="eastAsia"/>
                      <w:color w:val="auto"/>
                      <w:sz w:val="18"/>
                      <w:szCs w:val="18"/>
                      <w:lang w:eastAsia="zh-CN"/>
                    </w:rPr>
                    <w:t>优先引入</w:t>
                  </w:r>
                </w:p>
              </w:tc>
              <w:tc>
                <w:tcPr>
                  <w:tcW w:w="3011" w:type="pct"/>
                  <w:tcBorders>
                    <w:tl2br w:val="nil"/>
                    <w:tr2bl w:val="nil"/>
                  </w:tcBorders>
                  <w:shd w:val="clear" w:color="auto" w:fill="auto"/>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18"/>
                      <w:szCs w:val="18"/>
                    </w:rPr>
                  </w:pPr>
                  <w:r>
                    <w:rPr>
                      <w:rFonts w:hint="eastAsia" w:ascii="Times New Roman" w:hAnsi="Times New Roman" w:eastAsia="宋体" w:cs="Times New Roman"/>
                      <w:color w:val="auto"/>
                      <w:kern w:val="2"/>
                      <w:sz w:val="18"/>
                      <w:szCs w:val="18"/>
                      <w:lang w:val="en-US" w:eastAsia="zh-CN" w:bidi="ar-SA"/>
                    </w:rPr>
                    <w:t>1、</w:t>
                  </w:r>
                  <w:r>
                    <w:rPr>
                      <w:rFonts w:hint="eastAsia"/>
                      <w:color w:val="auto"/>
                      <w:sz w:val="18"/>
                      <w:szCs w:val="18"/>
                    </w:rPr>
                    <w:t>符合产业定位且属于国家</w:t>
                  </w:r>
                  <w:r>
                    <w:rPr>
                      <w:rFonts w:hint="eastAsia"/>
                      <w:color w:val="auto"/>
                      <w:sz w:val="18"/>
                      <w:szCs w:val="18"/>
                      <w:lang w:eastAsia="zh-CN"/>
                    </w:rPr>
                    <w:t>发展改革委</w:t>
                  </w:r>
                  <w:r>
                    <w:rPr>
                      <w:rFonts w:hint="eastAsia"/>
                      <w:color w:val="auto"/>
                      <w:sz w:val="18"/>
                      <w:szCs w:val="18"/>
                    </w:rPr>
                    <w:t>《产业结构调整指导目录</w:t>
                  </w:r>
                  <w:r>
                    <w:rPr>
                      <w:rFonts w:hint="eastAsia"/>
                      <w:color w:val="auto"/>
                      <w:sz w:val="18"/>
                      <w:szCs w:val="18"/>
                      <w:lang w:eastAsia="zh-CN"/>
                    </w:rPr>
                    <w:t>（</w:t>
                  </w:r>
                  <w:r>
                    <w:rPr>
                      <w:rFonts w:hint="eastAsia"/>
                      <w:color w:val="auto"/>
                      <w:sz w:val="18"/>
                      <w:szCs w:val="18"/>
                    </w:rPr>
                    <w:t>2019年本</w:t>
                  </w:r>
                  <w:r>
                    <w:rPr>
                      <w:rFonts w:hint="eastAsia"/>
                      <w:color w:val="auto"/>
                      <w:sz w:val="18"/>
                      <w:szCs w:val="18"/>
                      <w:lang w:eastAsia="zh-CN"/>
                    </w:rPr>
                    <w:t>）</w:t>
                  </w:r>
                  <w:r>
                    <w:rPr>
                      <w:rFonts w:hint="eastAsia"/>
                      <w:color w:val="auto"/>
                      <w:sz w:val="18"/>
                      <w:szCs w:val="18"/>
                    </w:rPr>
                    <w:t>》、《鼓励外商投资产业目录》</w:t>
                  </w:r>
                  <w:r>
                    <w:rPr>
                      <w:rFonts w:hint="eastAsia"/>
                      <w:color w:val="auto"/>
                      <w:sz w:val="18"/>
                      <w:szCs w:val="18"/>
                      <w:lang w:eastAsia="zh-CN"/>
                    </w:rPr>
                    <w:t>（</w:t>
                  </w:r>
                  <w:r>
                    <w:rPr>
                      <w:rFonts w:hint="eastAsia"/>
                      <w:color w:val="auto"/>
                      <w:sz w:val="18"/>
                      <w:szCs w:val="18"/>
                    </w:rPr>
                    <w:t>2020年版</w:t>
                  </w:r>
                  <w:r>
                    <w:rPr>
                      <w:rFonts w:hint="eastAsia"/>
                      <w:color w:val="auto"/>
                      <w:sz w:val="18"/>
                      <w:szCs w:val="18"/>
                      <w:lang w:eastAsia="zh-CN"/>
                    </w:rPr>
                    <w:t>）</w:t>
                  </w:r>
                  <w:r>
                    <w:rPr>
                      <w:rFonts w:hint="eastAsia"/>
                      <w:color w:val="auto"/>
                      <w:sz w:val="18"/>
                      <w:szCs w:val="18"/>
                    </w:rPr>
                    <w:t>》、《产业转移指导目录》、《江苏省工业和信息产业结构调整指导目录》及修订、《战略性新兴产业重点产品和服务指导目录</w:t>
                  </w:r>
                  <w:r>
                    <w:rPr>
                      <w:rFonts w:hint="eastAsia"/>
                      <w:color w:val="auto"/>
                      <w:sz w:val="18"/>
                      <w:szCs w:val="18"/>
                      <w:lang w:eastAsia="zh-CN"/>
                    </w:rPr>
                    <w:t>（</w:t>
                  </w:r>
                  <w:r>
                    <w:rPr>
                      <w:rFonts w:hint="eastAsia"/>
                      <w:color w:val="auto"/>
                      <w:sz w:val="18"/>
                      <w:szCs w:val="18"/>
                    </w:rPr>
                    <w:t>2016版</w:t>
                  </w:r>
                  <w:r>
                    <w:rPr>
                      <w:rFonts w:hint="eastAsia"/>
                      <w:color w:val="auto"/>
                      <w:sz w:val="18"/>
                      <w:szCs w:val="18"/>
                      <w:lang w:eastAsia="zh-CN"/>
                    </w:rPr>
                    <w:t>）</w:t>
                  </w:r>
                  <w:r>
                    <w:rPr>
                      <w:rFonts w:hint="eastAsia"/>
                      <w:color w:val="auto"/>
                      <w:sz w:val="18"/>
                      <w:szCs w:val="18"/>
                    </w:rPr>
                    <w:t>》等产业政策文件中属于鼓励类和重点发展行业中的产品、工艺和技术。</w:t>
                  </w:r>
                </w:p>
                <w:p>
                  <w:pPr>
                    <w:keepNext w:val="0"/>
                    <w:keepLines w:val="0"/>
                    <w:pageBreakBefore w:val="0"/>
                    <w:widowControl/>
                    <w:numPr>
                      <w:ilvl w:val="0"/>
                      <w:numId w:val="0"/>
                    </w:numPr>
                    <w:kinsoku/>
                    <w:wordWrap/>
                    <w:overflowPunct/>
                    <w:topLinePunct w:val="0"/>
                    <w:autoSpaceDE/>
                    <w:autoSpaceDN/>
                    <w:bidi w:val="0"/>
                    <w:adjustRightInd w:val="0"/>
                    <w:snapToGrid w:val="0"/>
                    <w:spacing w:line="320" w:lineRule="exact"/>
                    <w:ind w:firstLine="0" w:firstLineChars="0"/>
                    <w:jc w:val="both"/>
                    <w:textAlignment w:val="auto"/>
                    <w:rPr>
                      <w:rFonts w:hint="eastAsia"/>
                      <w:color w:val="auto"/>
                      <w:sz w:val="18"/>
                      <w:szCs w:val="18"/>
                    </w:rPr>
                  </w:pPr>
                  <w:r>
                    <w:rPr>
                      <w:rFonts w:hint="eastAsia"/>
                      <w:color w:val="auto"/>
                      <w:sz w:val="18"/>
                      <w:szCs w:val="18"/>
                    </w:rPr>
                    <w:t>2、园区主导产业中优质石材重点发展高端石材产业，发展建筑</w:t>
                  </w:r>
                  <w:r>
                    <w:rPr>
                      <w:rFonts w:hint="eastAsia"/>
                      <w:color w:val="auto"/>
                      <w:sz w:val="18"/>
                      <w:szCs w:val="18"/>
                      <w:lang w:eastAsia="zh-CN"/>
                    </w:rPr>
                    <w:t>用、</w:t>
                  </w:r>
                  <w:r>
                    <w:rPr>
                      <w:rFonts w:hint="eastAsia"/>
                      <w:color w:val="auto"/>
                      <w:sz w:val="18"/>
                      <w:szCs w:val="18"/>
                    </w:rPr>
                    <w:t>安全用和结构性金属制品制造，及建筑行业通用设备制造等建筑产业相关金属及非金属矿物制品业；高端新材料重点发展高性能纤维材料以及超导材料、纳米材料等战略性前沿材料；智能装备包括汽车零部件、通讯设备、智能设备和电子信息，其中汽车零部件重点发展轻量化汽车底盘系统，在车身系统环节加强补链延链，通讯设备重点发展移动通信基站设备、移动智能终端等，智能设备重点发展关键零部件、风电装备、模块化设备等，电子信息重点发展半导体封装测试产业、新型电子元器件、光电器件等电子器件。</w:t>
                  </w:r>
                </w:p>
                <w:p>
                  <w:pPr>
                    <w:keepNext w:val="0"/>
                    <w:keepLines w:val="0"/>
                    <w:pageBreakBefore w:val="0"/>
                    <w:widowControl/>
                    <w:numPr>
                      <w:ilvl w:val="0"/>
                      <w:numId w:val="0"/>
                    </w:numPr>
                    <w:kinsoku/>
                    <w:wordWrap/>
                    <w:overflowPunct/>
                    <w:topLinePunct w:val="0"/>
                    <w:autoSpaceDE/>
                    <w:autoSpaceDN/>
                    <w:bidi w:val="0"/>
                    <w:adjustRightInd w:val="0"/>
                    <w:snapToGrid w:val="0"/>
                    <w:spacing w:line="320" w:lineRule="exact"/>
                    <w:ind w:firstLine="0" w:firstLineChars="0"/>
                    <w:jc w:val="both"/>
                    <w:textAlignment w:val="auto"/>
                    <w:rPr>
                      <w:rFonts w:hint="eastAsia"/>
                      <w:color w:val="auto"/>
                      <w:sz w:val="18"/>
                      <w:szCs w:val="18"/>
                    </w:rPr>
                  </w:pPr>
                  <w:r>
                    <w:rPr>
                      <w:rFonts w:hint="eastAsia"/>
                      <w:color w:val="auto"/>
                      <w:sz w:val="18"/>
                      <w:szCs w:val="18"/>
                    </w:rPr>
                    <w:t>3、鼓励依托龙头企业发展上下游关联度强、技术水平高、绿色安全环保的企业和项目，进一步补链、延链、强链。</w:t>
                  </w:r>
                </w:p>
                <w:p>
                  <w:pPr>
                    <w:keepNext w:val="0"/>
                    <w:keepLines w:val="0"/>
                    <w:pageBreakBefore w:val="0"/>
                    <w:widowControl/>
                    <w:numPr>
                      <w:ilvl w:val="0"/>
                      <w:numId w:val="0"/>
                    </w:numPr>
                    <w:kinsoku/>
                    <w:wordWrap/>
                    <w:overflowPunct/>
                    <w:topLinePunct w:val="0"/>
                    <w:autoSpaceDE/>
                    <w:autoSpaceDN/>
                    <w:bidi w:val="0"/>
                    <w:adjustRightInd w:val="0"/>
                    <w:snapToGrid w:val="0"/>
                    <w:spacing w:line="320" w:lineRule="exact"/>
                    <w:ind w:firstLine="0" w:firstLineChars="0"/>
                    <w:jc w:val="both"/>
                    <w:textAlignment w:val="auto"/>
                    <w:rPr>
                      <w:color w:val="auto"/>
                      <w:sz w:val="18"/>
                      <w:szCs w:val="18"/>
                    </w:rPr>
                  </w:pPr>
                  <w:r>
                    <w:rPr>
                      <w:rFonts w:hint="eastAsia"/>
                      <w:color w:val="auto"/>
                      <w:sz w:val="18"/>
                      <w:szCs w:val="18"/>
                    </w:rPr>
                    <w:t>4、鼓励实施园区内废弃物资源综合利用项目。</w:t>
                  </w:r>
                </w:p>
              </w:tc>
              <w:tc>
                <w:tcPr>
                  <w:tcW w:w="1415"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eastAsia" w:eastAsia="宋体"/>
                      <w:color w:val="auto"/>
                      <w:sz w:val="18"/>
                      <w:szCs w:val="18"/>
                      <w:lang w:val="en-US" w:eastAsia="zh-CN"/>
                    </w:rPr>
                  </w:pPr>
                  <w:r>
                    <w:rPr>
                      <w:rFonts w:hint="eastAsia"/>
                      <w:color w:val="auto"/>
                      <w:sz w:val="18"/>
                      <w:szCs w:val="18"/>
                      <w:lang w:eastAsia="zh-CN"/>
                    </w:rPr>
                    <w:t>本项目属于</w:t>
                  </w:r>
                  <w:r>
                    <w:rPr>
                      <w:rFonts w:hint="eastAsia"/>
                      <w:b w:val="0"/>
                      <w:bCs/>
                      <w:color w:val="auto"/>
                      <w:sz w:val="18"/>
                      <w:szCs w:val="18"/>
                      <w:lang w:eastAsia="zh-CN"/>
                    </w:rPr>
                    <w:t>《产业结构调整指导目录（</w:t>
                  </w:r>
                  <w:r>
                    <w:rPr>
                      <w:rFonts w:hint="eastAsia"/>
                      <w:b w:val="0"/>
                      <w:bCs/>
                      <w:color w:val="auto"/>
                      <w:sz w:val="18"/>
                      <w:szCs w:val="18"/>
                      <w:lang w:val="en-US" w:eastAsia="zh-CN"/>
                    </w:rPr>
                    <w:t>2024</w:t>
                  </w:r>
                  <w:r>
                    <w:rPr>
                      <w:rFonts w:hint="eastAsia"/>
                      <w:b w:val="0"/>
                      <w:bCs/>
                      <w:color w:val="auto"/>
                      <w:sz w:val="18"/>
                      <w:szCs w:val="18"/>
                      <w:lang w:eastAsia="zh-CN"/>
                    </w:rPr>
                    <w:t>年本）》中鼓励类；</w:t>
                  </w:r>
                  <w:r>
                    <w:rPr>
                      <w:rFonts w:hint="eastAsia"/>
                      <w:color w:val="auto"/>
                      <w:sz w:val="18"/>
                      <w:szCs w:val="18"/>
                    </w:rPr>
                    <w:t>本项目</w:t>
                  </w:r>
                  <w:r>
                    <w:rPr>
                      <w:rFonts w:hint="eastAsia"/>
                      <w:color w:val="auto"/>
                      <w:sz w:val="18"/>
                      <w:szCs w:val="18"/>
                      <w:lang w:eastAsia="zh-CN"/>
                    </w:rPr>
                    <w:t>为</w:t>
                  </w:r>
                  <w:r>
                    <w:rPr>
                      <w:rFonts w:hint="eastAsia" w:ascii="Times New Roman" w:hAnsi="Times New Roman" w:eastAsia="宋体" w:cs="Times New Roman"/>
                      <w:color w:val="auto"/>
                      <w:sz w:val="18"/>
                      <w:szCs w:val="18"/>
                      <w:lang w:val="en-US" w:eastAsia="zh-CN"/>
                    </w:rPr>
                    <w:t>【C3</w:t>
                  </w:r>
                  <w:r>
                    <w:rPr>
                      <w:rFonts w:hint="eastAsia" w:cs="Times New Roman"/>
                      <w:color w:val="auto"/>
                      <w:sz w:val="18"/>
                      <w:szCs w:val="18"/>
                      <w:lang w:val="en-US" w:eastAsia="zh-CN"/>
                    </w:rPr>
                    <w:t>393</w:t>
                  </w:r>
                  <w:r>
                    <w:rPr>
                      <w:rFonts w:hint="eastAsia" w:ascii="Times New Roman" w:hAnsi="Times New Roman" w:eastAsia="宋体" w:cs="Times New Roman"/>
                      <w:color w:val="auto"/>
                      <w:sz w:val="18"/>
                      <w:szCs w:val="18"/>
                      <w:lang w:val="en-US" w:eastAsia="zh-CN"/>
                    </w:rPr>
                    <w:t>】锻件及粉末冶金制品制造</w:t>
                  </w:r>
                  <w:r>
                    <w:rPr>
                      <w:rFonts w:hint="eastAsia"/>
                      <w:color w:val="auto"/>
                      <w:sz w:val="18"/>
                      <w:szCs w:val="18"/>
                    </w:rPr>
                    <w:t>，</w:t>
                  </w:r>
                  <w:r>
                    <w:rPr>
                      <w:rFonts w:hint="eastAsia" w:ascii="Times New Roman" w:hAnsi="Times New Roman" w:eastAsia="宋体" w:cs="Times New Roman"/>
                      <w:color w:val="auto"/>
                      <w:sz w:val="18"/>
                      <w:szCs w:val="18"/>
                      <w:lang w:val="en-US" w:eastAsia="zh-CN"/>
                    </w:rPr>
                    <w:t>属于优先引入类项目中</w:t>
                  </w:r>
                  <w:r>
                    <w:rPr>
                      <w:rFonts w:hint="eastAsia" w:cs="Times New Roman"/>
                      <w:color w:val="auto"/>
                      <w:sz w:val="18"/>
                      <w:szCs w:val="18"/>
                      <w:lang w:val="en-US" w:eastAsia="zh-CN"/>
                    </w:rPr>
                    <w:t>的</w:t>
                  </w:r>
                  <w:r>
                    <w:rPr>
                      <w:rFonts w:hint="eastAsia" w:ascii="Times New Roman" w:hAnsi="Times New Roman" w:eastAsia="宋体" w:cs="Times New Roman"/>
                      <w:color w:val="auto"/>
                      <w:sz w:val="18"/>
                      <w:szCs w:val="18"/>
                      <w:lang w:val="en-US" w:eastAsia="zh-CN"/>
                    </w:rPr>
                    <w:t>智能设备重点发展关键零部件</w:t>
                  </w:r>
                  <w:r>
                    <w:rPr>
                      <w:rFonts w:hint="eastAsia"/>
                      <w:color w:val="auto"/>
                      <w:sz w:val="18"/>
                      <w:szCs w:val="18"/>
                      <w:lang w:eastAsia="zh-CN"/>
                    </w:rPr>
                    <w:t>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70" w:hRule="atLeast"/>
              </w:trPr>
              <w:tc>
                <w:tcPr>
                  <w:tcW w:w="573"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18"/>
                      <w:szCs w:val="18"/>
                      <w:lang w:eastAsia="zh-CN"/>
                    </w:rPr>
                  </w:pPr>
                  <w:r>
                    <w:rPr>
                      <w:rFonts w:hint="eastAsia"/>
                      <w:color w:val="auto"/>
                      <w:sz w:val="18"/>
                      <w:szCs w:val="18"/>
                      <w:lang w:eastAsia="zh-CN"/>
                    </w:rPr>
                    <w:t>禁止引入类项目</w:t>
                  </w:r>
                </w:p>
              </w:tc>
              <w:tc>
                <w:tcPr>
                  <w:tcW w:w="3011" w:type="pct"/>
                  <w:tcBorders>
                    <w:tl2br w:val="nil"/>
                    <w:tr2bl w:val="nil"/>
                  </w:tcBorders>
                  <w:shd w:val="clear" w:color="auto" w:fill="auto"/>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320" w:lineRule="exact"/>
                    <w:ind w:firstLine="0" w:firstLineChars="0"/>
                    <w:jc w:val="both"/>
                    <w:textAlignment w:val="auto"/>
                    <w:rPr>
                      <w:rFonts w:hint="eastAsia"/>
                      <w:color w:val="auto"/>
                      <w:sz w:val="18"/>
                      <w:szCs w:val="18"/>
                    </w:rPr>
                  </w:pPr>
                  <w:r>
                    <w:rPr>
                      <w:rFonts w:hint="eastAsia" w:ascii="Times New Roman" w:hAnsi="Times New Roman" w:eastAsia="宋体" w:cs="Times New Roman"/>
                      <w:color w:val="auto"/>
                      <w:kern w:val="2"/>
                      <w:sz w:val="18"/>
                      <w:szCs w:val="18"/>
                      <w:lang w:val="en-US" w:eastAsia="zh-CN" w:bidi="ar-SA"/>
                    </w:rPr>
                    <w:t>1、</w:t>
                  </w:r>
                  <w:r>
                    <w:rPr>
                      <w:rFonts w:hint="eastAsia"/>
                      <w:color w:val="auto"/>
                      <w:sz w:val="18"/>
                      <w:szCs w:val="18"/>
                    </w:rPr>
                    <w:t>建设《产业结构调整指导目录</w:t>
                  </w:r>
                  <w:r>
                    <w:rPr>
                      <w:rFonts w:hint="eastAsia"/>
                      <w:color w:val="auto"/>
                      <w:sz w:val="18"/>
                      <w:szCs w:val="18"/>
                      <w:lang w:eastAsia="zh-CN"/>
                    </w:rPr>
                    <w:t>（</w:t>
                  </w:r>
                  <w:r>
                    <w:rPr>
                      <w:rFonts w:hint="eastAsia"/>
                      <w:color w:val="auto"/>
                      <w:sz w:val="18"/>
                      <w:szCs w:val="18"/>
                    </w:rPr>
                    <w:t>2019年本</w:t>
                  </w:r>
                  <w:r>
                    <w:rPr>
                      <w:rFonts w:hint="eastAsia"/>
                      <w:color w:val="auto"/>
                      <w:sz w:val="18"/>
                      <w:szCs w:val="18"/>
                      <w:lang w:eastAsia="zh-CN"/>
                    </w:rPr>
                    <w:t>）</w:t>
                  </w:r>
                  <w:r>
                    <w:rPr>
                      <w:rFonts w:hint="eastAsia"/>
                      <w:color w:val="auto"/>
                      <w:sz w:val="18"/>
                      <w:szCs w:val="18"/>
                    </w:rPr>
                    <w:t>》及《江苏省工业和信息产业结构调整限制淘汰目录和能耗限额》等中淘汰、禁止类项目。</w:t>
                  </w:r>
                </w:p>
                <w:p>
                  <w:pPr>
                    <w:keepNext w:val="0"/>
                    <w:keepLines w:val="0"/>
                    <w:pageBreakBefore w:val="0"/>
                    <w:widowControl/>
                    <w:numPr>
                      <w:ilvl w:val="0"/>
                      <w:numId w:val="0"/>
                    </w:numPr>
                    <w:kinsoku/>
                    <w:wordWrap/>
                    <w:overflowPunct/>
                    <w:topLinePunct w:val="0"/>
                    <w:autoSpaceDE/>
                    <w:autoSpaceDN/>
                    <w:bidi w:val="0"/>
                    <w:adjustRightInd w:val="0"/>
                    <w:snapToGrid w:val="0"/>
                    <w:spacing w:line="320" w:lineRule="exact"/>
                    <w:ind w:firstLine="0" w:firstLineChars="0"/>
                    <w:jc w:val="both"/>
                    <w:textAlignment w:val="auto"/>
                    <w:rPr>
                      <w:rFonts w:hint="eastAsia"/>
                      <w:color w:val="auto"/>
                      <w:sz w:val="18"/>
                      <w:szCs w:val="18"/>
                    </w:rPr>
                  </w:pPr>
                  <w:r>
                    <w:rPr>
                      <w:rFonts w:hint="eastAsia"/>
                      <w:color w:val="auto"/>
                      <w:sz w:val="18"/>
                      <w:szCs w:val="18"/>
                    </w:rPr>
                    <w:t>2、不符合规划产业定位的项目。</w:t>
                  </w:r>
                </w:p>
                <w:p>
                  <w:pPr>
                    <w:keepNext w:val="0"/>
                    <w:keepLines w:val="0"/>
                    <w:pageBreakBefore w:val="0"/>
                    <w:widowControl/>
                    <w:numPr>
                      <w:ilvl w:val="0"/>
                      <w:numId w:val="0"/>
                    </w:numPr>
                    <w:kinsoku/>
                    <w:wordWrap/>
                    <w:overflowPunct/>
                    <w:topLinePunct w:val="0"/>
                    <w:autoSpaceDE/>
                    <w:autoSpaceDN/>
                    <w:bidi w:val="0"/>
                    <w:adjustRightInd w:val="0"/>
                    <w:snapToGrid w:val="0"/>
                    <w:spacing w:line="320" w:lineRule="exact"/>
                    <w:ind w:firstLine="0" w:firstLineChars="0"/>
                    <w:jc w:val="both"/>
                    <w:textAlignment w:val="auto"/>
                    <w:rPr>
                      <w:rFonts w:hint="eastAsia"/>
                      <w:color w:val="auto"/>
                      <w:sz w:val="18"/>
                      <w:szCs w:val="18"/>
                    </w:rPr>
                  </w:pPr>
                  <w:r>
                    <w:rPr>
                      <w:rFonts w:hint="eastAsia"/>
                      <w:color w:val="auto"/>
                      <w:sz w:val="18"/>
                      <w:szCs w:val="18"/>
                    </w:rPr>
                    <w:t>3、新建、扩建技术装备、污染排放、能耗达不到国际先进水平的项目。</w:t>
                  </w:r>
                </w:p>
                <w:p>
                  <w:pPr>
                    <w:keepNext w:val="0"/>
                    <w:keepLines w:val="0"/>
                    <w:pageBreakBefore w:val="0"/>
                    <w:widowControl/>
                    <w:numPr>
                      <w:ilvl w:val="0"/>
                      <w:numId w:val="0"/>
                    </w:numPr>
                    <w:kinsoku/>
                    <w:wordWrap/>
                    <w:overflowPunct/>
                    <w:topLinePunct w:val="0"/>
                    <w:autoSpaceDE/>
                    <w:autoSpaceDN/>
                    <w:bidi w:val="0"/>
                    <w:adjustRightInd w:val="0"/>
                    <w:snapToGrid w:val="0"/>
                    <w:spacing w:line="320" w:lineRule="exact"/>
                    <w:ind w:firstLine="0" w:firstLineChars="0"/>
                    <w:jc w:val="both"/>
                    <w:textAlignment w:val="auto"/>
                    <w:rPr>
                      <w:rFonts w:hint="eastAsia"/>
                      <w:color w:val="auto"/>
                      <w:sz w:val="18"/>
                      <w:szCs w:val="18"/>
                    </w:rPr>
                  </w:pPr>
                  <w:r>
                    <w:rPr>
                      <w:rFonts w:hint="eastAsia"/>
                      <w:color w:val="auto"/>
                      <w:sz w:val="18"/>
                      <w:szCs w:val="18"/>
                    </w:rPr>
                    <w:t>4、禁止引进钢铁、石化、化工、医药、焦化、有色、化学制浆造纸、制革、染料、印染项目。LED光电禁止引入使用液态汞和手动注汞的荧光灯制造项目。禁止引入纯电镀项目，因产业链需求，必须配套涉及电镀</w:t>
                  </w:r>
                  <w:r>
                    <w:rPr>
                      <w:rFonts w:hint="eastAsia"/>
                      <w:color w:val="auto"/>
                      <w:sz w:val="18"/>
                      <w:szCs w:val="18"/>
                      <w:lang w:eastAsia="zh-CN"/>
                    </w:rPr>
                    <w:t>（</w:t>
                  </w:r>
                  <w:r>
                    <w:rPr>
                      <w:rFonts w:hint="eastAsia"/>
                      <w:color w:val="auto"/>
                      <w:sz w:val="18"/>
                      <w:szCs w:val="18"/>
                    </w:rPr>
                    <w:t>含阳极氧化</w:t>
                  </w:r>
                  <w:r>
                    <w:rPr>
                      <w:rFonts w:hint="eastAsia"/>
                      <w:color w:val="auto"/>
                      <w:sz w:val="18"/>
                      <w:szCs w:val="18"/>
                      <w:lang w:eastAsia="zh-CN"/>
                    </w:rPr>
                    <w:t>）</w:t>
                  </w:r>
                  <w:r>
                    <w:rPr>
                      <w:rFonts w:hint="eastAsia"/>
                      <w:color w:val="auto"/>
                      <w:sz w:val="18"/>
                      <w:szCs w:val="18"/>
                    </w:rPr>
                    <w:t>工艺的，不允许对外承接电镀业务。</w:t>
                  </w:r>
                </w:p>
                <w:p>
                  <w:pPr>
                    <w:keepNext w:val="0"/>
                    <w:keepLines w:val="0"/>
                    <w:pageBreakBefore w:val="0"/>
                    <w:widowControl/>
                    <w:numPr>
                      <w:ilvl w:val="0"/>
                      <w:numId w:val="0"/>
                    </w:numPr>
                    <w:kinsoku/>
                    <w:wordWrap/>
                    <w:overflowPunct/>
                    <w:topLinePunct w:val="0"/>
                    <w:autoSpaceDE/>
                    <w:autoSpaceDN/>
                    <w:bidi w:val="0"/>
                    <w:adjustRightInd w:val="0"/>
                    <w:snapToGrid w:val="0"/>
                    <w:spacing w:line="320" w:lineRule="exact"/>
                    <w:ind w:firstLine="0" w:firstLineChars="0"/>
                    <w:jc w:val="both"/>
                    <w:textAlignment w:val="auto"/>
                    <w:rPr>
                      <w:rFonts w:hint="eastAsia"/>
                      <w:color w:val="auto"/>
                      <w:sz w:val="18"/>
                      <w:szCs w:val="18"/>
                    </w:rPr>
                  </w:pPr>
                  <w:r>
                    <w:rPr>
                      <w:rFonts w:hint="eastAsia"/>
                      <w:color w:val="auto"/>
                      <w:sz w:val="18"/>
                      <w:szCs w:val="18"/>
                    </w:rPr>
                    <w:t>5、邻近饮用水源保护区、清水通道维护区、重要渔业水域、特殊物种保护区、生活区的工业用地，禁止引进废气污染物排放量大、难以治理、无组织污染严重的项目，禁止引进废水排放量大、难以治理、环境风险大的项目。</w:t>
                  </w:r>
                </w:p>
                <w:p>
                  <w:pPr>
                    <w:keepNext w:val="0"/>
                    <w:keepLines w:val="0"/>
                    <w:pageBreakBefore w:val="0"/>
                    <w:widowControl/>
                    <w:numPr>
                      <w:ilvl w:val="0"/>
                      <w:numId w:val="0"/>
                    </w:numPr>
                    <w:kinsoku/>
                    <w:wordWrap/>
                    <w:overflowPunct/>
                    <w:topLinePunct w:val="0"/>
                    <w:autoSpaceDE/>
                    <w:autoSpaceDN/>
                    <w:bidi w:val="0"/>
                    <w:adjustRightInd w:val="0"/>
                    <w:snapToGrid w:val="0"/>
                    <w:spacing w:line="320" w:lineRule="exact"/>
                    <w:ind w:firstLine="0" w:firstLineChars="0"/>
                    <w:jc w:val="both"/>
                    <w:textAlignment w:val="auto"/>
                    <w:rPr>
                      <w:rFonts w:hint="eastAsia"/>
                      <w:color w:val="auto"/>
                      <w:sz w:val="18"/>
                      <w:szCs w:val="18"/>
                    </w:rPr>
                  </w:pPr>
                  <w:r>
                    <w:rPr>
                      <w:rFonts w:hint="eastAsia"/>
                      <w:color w:val="auto"/>
                      <w:sz w:val="18"/>
                      <w:szCs w:val="18"/>
                    </w:rPr>
                    <w:t>6、直接向水体排放废水的项目。区域污水处理厂满负荷时，暂缓建设排放废水的工业项目。</w:t>
                  </w:r>
                </w:p>
                <w:p>
                  <w:pPr>
                    <w:keepNext w:val="0"/>
                    <w:keepLines w:val="0"/>
                    <w:pageBreakBefore w:val="0"/>
                    <w:widowControl/>
                    <w:numPr>
                      <w:ilvl w:val="0"/>
                      <w:numId w:val="0"/>
                    </w:numPr>
                    <w:kinsoku/>
                    <w:wordWrap/>
                    <w:overflowPunct/>
                    <w:topLinePunct w:val="0"/>
                    <w:autoSpaceDE/>
                    <w:autoSpaceDN/>
                    <w:bidi w:val="0"/>
                    <w:adjustRightInd w:val="0"/>
                    <w:snapToGrid w:val="0"/>
                    <w:spacing w:line="320" w:lineRule="exact"/>
                    <w:ind w:firstLine="0" w:firstLineChars="0"/>
                    <w:jc w:val="both"/>
                    <w:textAlignment w:val="auto"/>
                    <w:rPr>
                      <w:rFonts w:hint="eastAsia"/>
                      <w:color w:val="auto"/>
                      <w:sz w:val="18"/>
                      <w:szCs w:val="18"/>
                    </w:rPr>
                  </w:pPr>
                  <w:r>
                    <w:rPr>
                      <w:rFonts w:hint="eastAsia"/>
                      <w:color w:val="auto"/>
                      <w:sz w:val="18"/>
                      <w:szCs w:val="18"/>
                    </w:rPr>
                    <w:t>7、新建、扩建落后产能项目和不符合国家产能置换要求的严重过剩产能行业的项目。</w:t>
                  </w:r>
                </w:p>
              </w:tc>
              <w:tc>
                <w:tcPr>
                  <w:tcW w:w="1415"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18"/>
                      <w:szCs w:val="18"/>
                      <w:lang w:eastAsia="zh-CN"/>
                    </w:rPr>
                  </w:pPr>
                  <w:r>
                    <w:rPr>
                      <w:rFonts w:hint="eastAsia"/>
                      <w:color w:val="auto"/>
                      <w:sz w:val="18"/>
                      <w:szCs w:val="18"/>
                      <w:lang w:val="en-US" w:eastAsia="zh-CN"/>
                    </w:rPr>
                    <w:t>1、本项目不属于</w:t>
                  </w:r>
                  <w:r>
                    <w:rPr>
                      <w:rFonts w:hint="eastAsia"/>
                      <w:color w:val="auto"/>
                      <w:sz w:val="18"/>
                      <w:szCs w:val="18"/>
                    </w:rPr>
                    <w:t>《产业结构调整指导目录</w:t>
                  </w:r>
                  <w:r>
                    <w:rPr>
                      <w:rFonts w:hint="eastAsia"/>
                      <w:color w:val="auto"/>
                      <w:sz w:val="18"/>
                      <w:szCs w:val="18"/>
                      <w:lang w:eastAsia="zh-CN"/>
                    </w:rPr>
                    <w:t>（</w:t>
                  </w:r>
                  <w:r>
                    <w:rPr>
                      <w:rFonts w:hint="eastAsia"/>
                      <w:color w:val="auto"/>
                      <w:sz w:val="18"/>
                      <w:szCs w:val="18"/>
                    </w:rPr>
                    <w:t>20</w:t>
                  </w:r>
                  <w:r>
                    <w:rPr>
                      <w:rFonts w:hint="eastAsia"/>
                      <w:color w:val="auto"/>
                      <w:sz w:val="18"/>
                      <w:szCs w:val="18"/>
                      <w:lang w:val="en-US" w:eastAsia="zh-CN"/>
                    </w:rPr>
                    <w:t>24</w:t>
                  </w:r>
                  <w:r>
                    <w:rPr>
                      <w:rFonts w:hint="eastAsia"/>
                      <w:color w:val="auto"/>
                      <w:sz w:val="18"/>
                      <w:szCs w:val="18"/>
                    </w:rPr>
                    <w:t>年本</w:t>
                  </w:r>
                  <w:r>
                    <w:rPr>
                      <w:rFonts w:hint="eastAsia"/>
                      <w:color w:val="auto"/>
                      <w:sz w:val="18"/>
                      <w:szCs w:val="18"/>
                      <w:lang w:eastAsia="zh-CN"/>
                    </w:rPr>
                    <w:t>）</w:t>
                  </w:r>
                  <w:r>
                    <w:rPr>
                      <w:rFonts w:hint="eastAsia"/>
                      <w:color w:val="auto"/>
                      <w:sz w:val="18"/>
                      <w:szCs w:val="18"/>
                    </w:rPr>
                    <w:t>》及《江苏省工业和信息产业结构调整限制淘汰目录和能耗限额》中淘汰、禁止类项目</w:t>
                  </w:r>
                  <w:r>
                    <w:rPr>
                      <w:rFonts w:hint="eastAsia"/>
                      <w:color w:val="auto"/>
                      <w:sz w:val="18"/>
                      <w:szCs w:val="18"/>
                      <w:lang w:eastAsia="zh-CN"/>
                    </w:rPr>
                    <w:t>；</w:t>
                  </w:r>
                </w:p>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eastAsia" w:cs="Times New Roman"/>
                      <w:color w:val="auto"/>
                      <w:sz w:val="18"/>
                      <w:szCs w:val="18"/>
                      <w:lang w:eastAsia="zh-CN"/>
                    </w:rPr>
                  </w:pPr>
                  <w:r>
                    <w:rPr>
                      <w:rFonts w:hint="eastAsia"/>
                      <w:color w:val="auto"/>
                      <w:sz w:val="18"/>
                      <w:szCs w:val="18"/>
                      <w:lang w:val="en-US" w:eastAsia="zh-CN"/>
                    </w:rPr>
                    <w:t>2、</w:t>
                  </w:r>
                  <w:r>
                    <w:rPr>
                      <w:rFonts w:hint="eastAsia"/>
                      <w:color w:val="auto"/>
                      <w:sz w:val="18"/>
                      <w:szCs w:val="18"/>
                    </w:rPr>
                    <w:t>本项目</w:t>
                  </w:r>
                  <w:r>
                    <w:rPr>
                      <w:rFonts w:hint="eastAsia"/>
                      <w:color w:val="auto"/>
                      <w:sz w:val="18"/>
                      <w:szCs w:val="18"/>
                      <w:lang w:eastAsia="zh-CN"/>
                    </w:rPr>
                    <w:t>为</w:t>
                  </w:r>
                  <w:r>
                    <w:rPr>
                      <w:rFonts w:hint="eastAsia" w:ascii="Times New Roman" w:hAnsi="Times New Roman" w:eastAsia="宋体" w:cs="Times New Roman"/>
                      <w:color w:val="auto"/>
                      <w:sz w:val="18"/>
                      <w:szCs w:val="18"/>
                      <w:lang w:val="en-US" w:eastAsia="zh-CN"/>
                    </w:rPr>
                    <w:t>【C3</w:t>
                  </w:r>
                  <w:r>
                    <w:rPr>
                      <w:rFonts w:hint="eastAsia" w:cs="Times New Roman"/>
                      <w:color w:val="auto"/>
                      <w:sz w:val="18"/>
                      <w:szCs w:val="18"/>
                      <w:lang w:val="en-US" w:eastAsia="zh-CN"/>
                    </w:rPr>
                    <w:t>393</w:t>
                  </w:r>
                  <w:r>
                    <w:rPr>
                      <w:rFonts w:hint="eastAsia" w:ascii="Times New Roman" w:hAnsi="Times New Roman" w:eastAsia="宋体" w:cs="Times New Roman"/>
                      <w:color w:val="auto"/>
                      <w:sz w:val="18"/>
                      <w:szCs w:val="18"/>
                      <w:lang w:val="en-US" w:eastAsia="zh-CN"/>
                    </w:rPr>
                    <w:t>】锻件及粉末冶金制品制造</w:t>
                  </w:r>
                  <w:r>
                    <w:rPr>
                      <w:rFonts w:hint="eastAsia" w:cs="Times New Roman"/>
                      <w:color w:val="auto"/>
                      <w:sz w:val="18"/>
                      <w:szCs w:val="18"/>
                      <w:lang w:eastAsia="zh-CN"/>
                    </w:rPr>
                    <w:t>，符合园区产业定位要求；</w:t>
                  </w:r>
                </w:p>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3、本项目技术装备污染排放、能耗可达到同行业国内先进水平；</w:t>
                  </w:r>
                </w:p>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18"/>
                      <w:szCs w:val="18"/>
                      <w:lang w:val="en-US" w:eastAsia="zh-CN"/>
                    </w:rPr>
                  </w:pPr>
                  <w:r>
                    <w:rPr>
                      <w:rFonts w:hint="eastAsia" w:ascii="Times New Roman" w:hAnsi="Times New Roman" w:eastAsia="宋体" w:cs="Times New Roman"/>
                      <w:color w:val="auto"/>
                      <w:sz w:val="18"/>
                      <w:szCs w:val="18"/>
                      <w:lang w:val="en-US" w:eastAsia="zh-CN"/>
                    </w:rPr>
                    <w:t>4、</w:t>
                  </w:r>
                  <w:r>
                    <w:rPr>
                      <w:rFonts w:hint="eastAsia"/>
                      <w:color w:val="auto"/>
                      <w:sz w:val="18"/>
                      <w:szCs w:val="18"/>
                    </w:rPr>
                    <w:t>本项目</w:t>
                  </w:r>
                  <w:r>
                    <w:rPr>
                      <w:rFonts w:hint="eastAsia"/>
                      <w:color w:val="auto"/>
                      <w:sz w:val="18"/>
                      <w:szCs w:val="18"/>
                      <w:lang w:eastAsia="zh-CN"/>
                    </w:rPr>
                    <w:t>为</w:t>
                  </w:r>
                  <w:r>
                    <w:rPr>
                      <w:rFonts w:hint="eastAsia" w:ascii="Times New Roman" w:hAnsi="Times New Roman" w:eastAsia="宋体" w:cs="Times New Roman"/>
                      <w:color w:val="auto"/>
                      <w:sz w:val="18"/>
                      <w:szCs w:val="18"/>
                      <w:lang w:val="en-US" w:eastAsia="zh-CN"/>
                    </w:rPr>
                    <w:t>【C3</w:t>
                  </w:r>
                  <w:r>
                    <w:rPr>
                      <w:rFonts w:hint="eastAsia" w:cs="Times New Roman"/>
                      <w:color w:val="auto"/>
                      <w:sz w:val="18"/>
                      <w:szCs w:val="18"/>
                      <w:lang w:val="en-US" w:eastAsia="zh-CN"/>
                    </w:rPr>
                    <w:t>393</w:t>
                  </w:r>
                  <w:r>
                    <w:rPr>
                      <w:rFonts w:hint="eastAsia" w:ascii="Times New Roman" w:hAnsi="Times New Roman" w:eastAsia="宋体" w:cs="Times New Roman"/>
                      <w:color w:val="auto"/>
                      <w:sz w:val="18"/>
                      <w:szCs w:val="18"/>
                      <w:lang w:val="en-US" w:eastAsia="zh-CN"/>
                    </w:rPr>
                    <w:t>】锻件及粉末冶金制品制造</w:t>
                  </w:r>
                  <w:r>
                    <w:rPr>
                      <w:rFonts w:hint="eastAsia" w:cs="Times New Roman"/>
                      <w:color w:val="auto"/>
                      <w:sz w:val="18"/>
                      <w:szCs w:val="18"/>
                      <w:lang w:eastAsia="zh-CN"/>
                    </w:rPr>
                    <w:t>，不属于</w:t>
                  </w:r>
                  <w:r>
                    <w:rPr>
                      <w:rFonts w:hint="eastAsia"/>
                      <w:color w:val="auto"/>
                      <w:sz w:val="18"/>
                      <w:szCs w:val="18"/>
                    </w:rPr>
                    <w:t>钢铁、石化、化工、医药、焦化、有色、化学制浆造纸、制革、染料、印染项目</w:t>
                  </w:r>
                  <w:r>
                    <w:rPr>
                      <w:rFonts w:hint="eastAsia"/>
                      <w:color w:val="auto"/>
                      <w:sz w:val="18"/>
                      <w:szCs w:val="18"/>
                      <w:lang w:eastAsia="zh-CN"/>
                    </w:rPr>
                    <w:t>，不涉及</w:t>
                  </w:r>
                  <w:r>
                    <w:rPr>
                      <w:rFonts w:hint="eastAsia"/>
                      <w:color w:val="auto"/>
                      <w:sz w:val="18"/>
                      <w:szCs w:val="18"/>
                      <w:lang w:val="en-US" w:eastAsia="zh-CN"/>
                    </w:rPr>
                    <w:t>LFD光电及电镀；</w:t>
                  </w:r>
                </w:p>
                <w:p>
                  <w:pPr>
                    <w:pageBreakBefore w:val="0"/>
                    <w:widowControl w:val="0"/>
                    <w:kinsoku/>
                    <w:wordWrap/>
                    <w:overflowPunct/>
                    <w:topLinePunct w:val="0"/>
                    <w:autoSpaceDE/>
                    <w:autoSpaceDN/>
                    <w:bidi w:val="0"/>
                    <w:adjustRightInd/>
                    <w:snapToGrid/>
                    <w:spacing w:before="0" w:after="0" w:line="320" w:lineRule="exact"/>
                    <w:ind w:firstLine="0" w:firstLineChars="0"/>
                    <w:textAlignment w:val="auto"/>
                    <w:outlineLvl w:val="9"/>
                    <w:rPr>
                      <w:rFonts w:hint="eastAsia"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5、</w:t>
                  </w:r>
                  <w:r>
                    <w:rPr>
                      <w:rFonts w:hint="eastAsia" w:cs="Times New Roman"/>
                      <w:color w:val="auto"/>
                      <w:kern w:val="2"/>
                      <w:sz w:val="18"/>
                      <w:szCs w:val="18"/>
                      <w:lang w:val="en-US" w:eastAsia="zh-CN" w:bidi="ar-SA"/>
                    </w:rPr>
                    <w:t>本项目废气排放量较低，不属于</w:t>
                  </w:r>
                  <w:r>
                    <w:rPr>
                      <w:rFonts w:hint="eastAsia"/>
                      <w:color w:val="auto"/>
                      <w:sz w:val="18"/>
                      <w:szCs w:val="18"/>
                    </w:rPr>
                    <w:t>难以治理、无组织污染严重</w:t>
                  </w:r>
                  <w:r>
                    <w:rPr>
                      <w:rFonts w:hint="eastAsia"/>
                      <w:color w:val="auto"/>
                      <w:sz w:val="18"/>
                      <w:szCs w:val="18"/>
                      <w:lang w:eastAsia="zh-CN"/>
                    </w:rPr>
                    <w:t>的项目，废水主要为生活污水、食堂废水、冷却水，不属于</w:t>
                  </w:r>
                  <w:r>
                    <w:rPr>
                      <w:rFonts w:hint="eastAsia"/>
                      <w:color w:val="auto"/>
                      <w:sz w:val="18"/>
                      <w:szCs w:val="18"/>
                    </w:rPr>
                    <w:t>难以治理、环境风险大</w:t>
                  </w:r>
                  <w:r>
                    <w:rPr>
                      <w:rFonts w:hint="eastAsia"/>
                      <w:color w:val="auto"/>
                      <w:sz w:val="18"/>
                      <w:szCs w:val="18"/>
                      <w:lang w:eastAsia="zh-CN"/>
                    </w:rPr>
                    <w:t>的项目</w:t>
                  </w:r>
                  <w:r>
                    <w:rPr>
                      <w:rFonts w:hint="eastAsia" w:ascii="Times New Roman" w:hAnsi="Times New Roman" w:eastAsia="宋体" w:cs="Times New Roman"/>
                      <w:b w:val="0"/>
                      <w:bCs w:val="0"/>
                      <w:color w:val="auto"/>
                      <w:kern w:val="2"/>
                      <w:sz w:val="18"/>
                      <w:szCs w:val="18"/>
                      <w:lang w:val="en-US" w:eastAsia="zh-CN" w:bidi="ar-SA"/>
                    </w:rPr>
                    <w:t>；</w:t>
                  </w:r>
                </w:p>
                <w:p>
                  <w:pPr>
                    <w:pageBreakBefore w:val="0"/>
                    <w:widowControl w:val="0"/>
                    <w:kinsoku/>
                    <w:wordWrap/>
                    <w:overflowPunct/>
                    <w:topLinePunct w:val="0"/>
                    <w:autoSpaceDE/>
                    <w:autoSpaceDN/>
                    <w:bidi w:val="0"/>
                    <w:adjustRightInd/>
                    <w:snapToGrid/>
                    <w:spacing w:line="320" w:lineRule="exact"/>
                    <w:ind w:firstLine="0" w:firstLineChars="0"/>
                    <w:textAlignment w:val="auto"/>
                    <w:outlineLvl w:val="9"/>
                    <w:rPr>
                      <w:rFonts w:hint="default"/>
                      <w:color w:val="auto"/>
                      <w:sz w:val="18"/>
                      <w:szCs w:val="18"/>
                      <w:lang w:val="en-US" w:eastAsia="zh-CN"/>
                    </w:rPr>
                  </w:pPr>
                  <w:r>
                    <w:rPr>
                      <w:rFonts w:hint="eastAsia" w:ascii="Times New Roman" w:hAnsi="Times New Roman" w:eastAsia="宋体" w:cs="Times New Roman"/>
                      <w:b w:val="0"/>
                      <w:bCs w:val="0"/>
                      <w:color w:val="auto"/>
                      <w:kern w:val="2"/>
                      <w:sz w:val="18"/>
                      <w:szCs w:val="18"/>
                      <w:lang w:val="en-US" w:eastAsia="zh-CN" w:bidi="ar-SA"/>
                    </w:rPr>
                    <w:t>6、本项目不属于落后产能项目和不符合国家产能置换要求的严重过剩产能产业的项目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70" w:hRule="atLeast"/>
              </w:trPr>
              <w:tc>
                <w:tcPr>
                  <w:tcW w:w="573"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18"/>
                      <w:szCs w:val="18"/>
                      <w:lang w:eastAsia="zh-CN"/>
                    </w:rPr>
                  </w:pPr>
                  <w:r>
                    <w:rPr>
                      <w:rFonts w:hint="eastAsia"/>
                      <w:color w:val="auto"/>
                      <w:sz w:val="18"/>
                      <w:szCs w:val="18"/>
                      <w:lang w:eastAsia="zh-CN"/>
                    </w:rPr>
                    <w:t>限制引入类项目</w:t>
                  </w:r>
                </w:p>
              </w:tc>
              <w:tc>
                <w:tcPr>
                  <w:tcW w:w="3011" w:type="pct"/>
                  <w:tcBorders>
                    <w:tl2br w:val="nil"/>
                    <w:tr2bl w:val="nil"/>
                  </w:tcBorders>
                  <w:shd w:val="clear" w:color="auto" w:fill="auto"/>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320" w:lineRule="exact"/>
                    <w:ind w:firstLine="0" w:firstLineChars="0"/>
                    <w:jc w:val="both"/>
                    <w:textAlignment w:val="auto"/>
                    <w:rPr>
                      <w:rFonts w:hint="eastAsia"/>
                      <w:color w:val="auto"/>
                      <w:sz w:val="18"/>
                      <w:szCs w:val="18"/>
                    </w:rPr>
                  </w:pPr>
                  <w:r>
                    <w:rPr>
                      <w:rFonts w:hint="eastAsia" w:ascii="Times New Roman" w:hAnsi="Times New Roman" w:eastAsia="宋体" w:cs="Times New Roman"/>
                      <w:color w:val="auto"/>
                      <w:kern w:val="2"/>
                      <w:sz w:val="18"/>
                      <w:szCs w:val="18"/>
                      <w:lang w:val="en-US" w:eastAsia="zh-CN" w:bidi="ar-SA"/>
                    </w:rPr>
                    <w:t>1、</w:t>
                  </w:r>
                  <w:r>
                    <w:rPr>
                      <w:rFonts w:hint="eastAsia"/>
                      <w:color w:val="auto"/>
                      <w:sz w:val="18"/>
                      <w:szCs w:val="18"/>
                    </w:rPr>
                    <w:t>建设《产业结构调整指导目录</w:t>
                  </w:r>
                  <w:r>
                    <w:rPr>
                      <w:rFonts w:hint="eastAsia"/>
                      <w:color w:val="auto"/>
                      <w:sz w:val="18"/>
                      <w:szCs w:val="18"/>
                      <w:lang w:eastAsia="zh-CN"/>
                    </w:rPr>
                    <w:t>（</w:t>
                  </w:r>
                  <w:r>
                    <w:rPr>
                      <w:rFonts w:hint="eastAsia"/>
                      <w:color w:val="auto"/>
                      <w:sz w:val="18"/>
                      <w:szCs w:val="18"/>
                    </w:rPr>
                    <w:t>2019年本</w:t>
                  </w:r>
                  <w:r>
                    <w:rPr>
                      <w:rFonts w:hint="eastAsia"/>
                      <w:color w:val="auto"/>
                      <w:sz w:val="18"/>
                      <w:szCs w:val="18"/>
                      <w:lang w:eastAsia="zh-CN"/>
                    </w:rPr>
                    <w:t>）</w:t>
                  </w:r>
                  <w:r>
                    <w:rPr>
                      <w:rFonts w:hint="eastAsia"/>
                      <w:color w:val="auto"/>
                      <w:sz w:val="18"/>
                      <w:szCs w:val="18"/>
                    </w:rPr>
                    <w:t>》及《江苏省工业和信息产业结构调整限制淘汰目录和能耗限额》等中限制类项目。</w:t>
                  </w:r>
                </w:p>
                <w:p>
                  <w:pPr>
                    <w:keepNext w:val="0"/>
                    <w:keepLines w:val="0"/>
                    <w:pageBreakBefore w:val="0"/>
                    <w:widowControl/>
                    <w:numPr>
                      <w:ilvl w:val="0"/>
                      <w:numId w:val="0"/>
                    </w:numPr>
                    <w:kinsoku/>
                    <w:wordWrap/>
                    <w:overflowPunct/>
                    <w:topLinePunct w:val="0"/>
                    <w:autoSpaceDE/>
                    <w:autoSpaceDN/>
                    <w:bidi w:val="0"/>
                    <w:adjustRightInd w:val="0"/>
                    <w:snapToGrid w:val="0"/>
                    <w:spacing w:line="320" w:lineRule="exact"/>
                    <w:ind w:firstLine="0" w:firstLineChars="0"/>
                    <w:jc w:val="both"/>
                    <w:textAlignment w:val="auto"/>
                    <w:rPr>
                      <w:rFonts w:hint="eastAsia"/>
                      <w:color w:val="auto"/>
                      <w:sz w:val="18"/>
                      <w:szCs w:val="18"/>
                    </w:rPr>
                  </w:pPr>
                  <w:r>
                    <w:rPr>
                      <w:rFonts w:hint="eastAsia"/>
                      <w:color w:val="auto"/>
                      <w:sz w:val="18"/>
                      <w:szCs w:val="18"/>
                    </w:rPr>
                    <w:t>2、污染治理措施达不到《挥发性有机物</w:t>
                  </w:r>
                  <w:r>
                    <w:rPr>
                      <w:rFonts w:hint="eastAsia"/>
                      <w:color w:val="auto"/>
                      <w:sz w:val="18"/>
                      <w:szCs w:val="18"/>
                      <w:lang w:eastAsia="zh-CN"/>
                    </w:rPr>
                    <w:t>（</w:t>
                  </w:r>
                  <w:r>
                    <w:rPr>
                      <w:rFonts w:hint="eastAsia"/>
                      <w:color w:val="auto"/>
                      <w:sz w:val="18"/>
                      <w:szCs w:val="18"/>
                    </w:rPr>
                    <w:t>VOCs</w:t>
                  </w:r>
                  <w:r>
                    <w:rPr>
                      <w:rFonts w:hint="eastAsia"/>
                      <w:color w:val="auto"/>
                      <w:sz w:val="18"/>
                      <w:szCs w:val="18"/>
                      <w:lang w:eastAsia="zh-CN"/>
                    </w:rPr>
                    <w:t>）</w:t>
                  </w:r>
                  <w:r>
                    <w:rPr>
                      <w:rFonts w:hint="eastAsia"/>
                      <w:color w:val="auto"/>
                      <w:sz w:val="18"/>
                      <w:szCs w:val="18"/>
                    </w:rPr>
                    <w:t>污染防治技术政策》、《江苏省重点行业挥发性有机物污染控制指南》等要求。</w:t>
                  </w:r>
                </w:p>
                <w:p>
                  <w:pPr>
                    <w:keepNext w:val="0"/>
                    <w:keepLines w:val="0"/>
                    <w:pageBreakBefore w:val="0"/>
                    <w:widowControl/>
                    <w:numPr>
                      <w:ilvl w:val="0"/>
                      <w:numId w:val="0"/>
                    </w:numPr>
                    <w:kinsoku/>
                    <w:wordWrap/>
                    <w:overflowPunct/>
                    <w:topLinePunct w:val="0"/>
                    <w:autoSpaceDE/>
                    <w:autoSpaceDN/>
                    <w:bidi w:val="0"/>
                    <w:adjustRightInd w:val="0"/>
                    <w:snapToGrid w:val="0"/>
                    <w:spacing w:line="320" w:lineRule="exact"/>
                    <w:ind w:firstLine="0" w:firstLineChars="0"/>
                    <w:jc w:val="both"/>
                    <w:textAlignment w:val="auto"/>
                    <w:rPr>
                      <w:rFonts w:hint="eastAsia"/>
                      <w:color w:val="auto"/>
                      <w:sz w:val="18"/>
                      <w:szCs w:val="18"/>
                    </w:rPr>
                  </w:pPr>
                  <w:r>
                    <w:rPr>
                      <w:rFonts w:hint="eastAsia"/>
                      <w:color w:val="auto"/>
                      <w:sz w:val="18"/>
                      <w:szCs w:val="18"/>
                    </w:rPr>
                    <w:t>3、控制区域PM</w:t>
                  </w:r>
                  <w:r>
                    <w:rPr>
                      <w:rFonts w:hint="eastAsia"/>
                      <w:color w:val="auto"/>
                      <w:sz w:val="18"/>
                      <w:szCs w:val="18"/>
                      <w:vertAlign w:val="subscript"/>
                    </w:rPr>
                    <w:t>10</w:t>
                  </w:r>
                  <w:r>
                    <w:rPr>
                      <w:rFonts w:hint="eastAsia"/>
                      <w:color w:val="auto"/>
                      <w:sz w:val="18"/>
                      <w:szCs w:val="18"/>
                    </w:rPr>
                    <w:t>、PM</w:t>
                  </w:r>
                  <w:r>
                    <w:rPr>
                      <w:rFonts w:hint="eastAsia"/>
                      <w:color w:val="auto"/>
                      <w:sz w:val="18"/>
                      <w:szCs w:val="18"/>
                      <w:vertAlign w:val="subscript"/>
                    </w:rPr>
                    <w:t>2.5</w:t>
                  </w:r>
                  <w:r>
                    <w:rPr>
                      <w:rFonts w:hint="eastAsia"/>
                      <w:color w:val="auto"/>
                      <w:sz w:val="18"/>
                      <w:szCs w:val="18"/>
                    </w:rPr>
                    <w:t>浓度，园区应严格控制烟粉尘、S</w:t>
                  </w:r>
                  <w:r>
                    <w:rPr>
                      <w:rFonts w:hint="eastAsia"/>
                      <w:color w:val="auto"/>
                      <w:sz w:val="18"/>
                      <w:szCs w:val="18"/>
                      <w:lang w:val="en-US" w:eastAsia="zh-CN"/>
                    </w:rPr>
                    <w:t>O</w:t>
                  </w:r>
                  <w:r>
                    <w:rPr>
                      <w:rFonts w:hint="eastAsia"/>
                      <w:color w:val="auto"/>
                      <w:sz w:val="18"/>
                      <w:szCs w:val="18"/>
                      <w:vertAlign w:val="subscript"/>
                    </w:rPr>
                    <w:t>2</w:t>
                  </w:r>
                  <w:r>
                    <w:rPr>
                      <w:rFonts w:hint="eastAsia"/>
                      <w:color w:val="auto"/>
                      <w:sz w:val="18"/>
                      <w:szCs w:val="18"/>
                    </w:rPr>
                    <w:t>、NOx排放量大的企业入区。</w:t>
                  </w:r>
                </w:p>
                <w:p>
                  <w:pPr>
                    <w:keepNext w:val="0"/>
                    <w:keepLines w:val="0"/>
                    <w:pageBreakBefore w:val="0"/>
                    <w:widowControl/>
                    <w:numPr>
                      <w:ilvl w:val="0"/>
                      <w:numId w:val="0"/>
                    </w:numPr>
                    <w:kinsoku/>
                    <w:wordWrap/>
                    <w:overflowPunct/>
                    <w:topLinePunct w:val="0"/>
                    <w:autoSpaceDE/>
                    <w:autoSpaceDN/>
                    <w:bidi w:val="0"/>
                    <w:adjustRightInd w:val="0"/>
                    <w:snapToGrid w:val="0"/>
                    <w:spacing w:line="320" w:lineRule="exact"/>
                    <w:ind w:firstLine="0" w:firstLineChars="0"/>
                    <w:jc w:val="both"/>
                    <w:textAlignment w:val="auto"/>
                    <w:rPr>
                      <w:rFonts w:hint="eastAsia"/>
                      <w:color w:val="auto"/>
                      <w:sz w:val="18"/>
                      <w:szCs w:val="18"/>
                    </w:rPr>
                  </w:pPr>
                  <w:r>
                    <w:rPr>
                      <w:rFonts w:hint="eastAsia"/>
                      <w:color w:val="auto"/>
                      <w:sz w:val="18"/>
                      <w:szCs w:val="18"/>
                    </w:rPr>
                    <w:t>4、在水环境敏感区域，应控制废水排放量大</w:t>
                  </w:r>
                  <w:r>
                    <w:rPr>
                      <w:rFonts w:hint="eastAsia"/>
                      <w:color w:val="auto"/>
                      <w:sz w:val="18"/>
                      <w:szCs w:val="18"/>
                      <w:lang w:eastAsia="zh-CN"/>
                    </w:rPr>
                    <w:t>且</w:t>
                  </w:r>
                  <w:r>
                    <w:rPr>
                      <w:rFonts w:hint="eastAsia"/>
                      <w:color w:val="auto"/>
                      <w:sz w:val="18"/>
                      <w:szCs w:val="18"/>
                    </w:rPr>
                    <w:t>没有合理可行废水回用或处置途径的项目。</w:t>
                  </w:r>
                </w:p>
              </w:tc>
              <w:tc>
                <w:tcPr>
                  <w:tcW w:w="1415"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18"/>
                      <w:szCs w:val="18"/>
                      <w:lang w:eastAsia="zh-CN"/>
                    </w:rPr>
                  </w:pPr>
                  <w:r>
                    <w:rPr>
                      <w:rFonts w:hint="eastAsia"/>
                      <w:color w:val="auto"/>
                      <w:sz w:val="18"/>
                      <w:szCs w:val="18"/>
                      <w:lang w:val="en-US" w:eastAsia="zh-CN"/>
                    </w:rPr>
                    <w:t>1、本项目不属于</w:t>
                  </w:r>
                  <w:r>
                    <w:rPr>
                      <w:rFonts w:hint="eastAsia"/>
                      <w:color w:val="auto"/>
                      <w:sz w:val="18"/>
                      <w:szCs w:val="18"/>
                    </w:rPr>
                    <w:t>《产业结构调整指导目录</w:t>
                  </w:r>
                  <w:r>
                    <w:rPr>
                      <w:rFonts w:hint="eastAsia"/>
                      <w:color w:val="auto"/>
                      <w:sz w:val="18"/>
                      <w:szCs w:val="18"/>
                      <w:lang w:eastAsia="zh-CN"/>
                    </w:rPr>
                    <w:t>（</w:t>
                  </w:r>
                  <w:r>
                    <w:rPr>
                      <w:rFonts w:hint="eastAsia"/>
                      <w:color w:val="auto"/>
                      <w:sz w:val="18"/>
                      <w:szCs w:val="18"/>
                    </w:rPr>
                    <w:t>20</w:t>
                  </w:r>
                  <w:r>
                    <w:rPr>
                      <w:rFonts w:hint="eastAsia"/>
                      <w:color w:val="auto"/>
                      <w:sz w:val="18"/>
                      <w:szCs w:val="18"/>
                      <w:lang w:val="en-US" w:eastAsia="zh-CN"/>
                    </w:rPr>
                    <w:t>24</w:t>
                  </w:r>
                  <w:r>
                    <w:rPr>
                      <w:rFonts w:hint="eastAsia"/>
                      <w:color w:val="auto"/>
                      <w:sz w:val="18"/>
                      <w:szCs w:val="18"/>
                    </w:rPr>
                    <w:t>年本</w:t>
                  </w:r>
                  <w:r>
                    <w:rPr>
                      <w:rFonts w:hint="eastAsia"/>
                      <w:color w:val="auto"/>
                      <w:sz w:val="18"/>
                      <w:szCs w:val="18"/>
                      <w:lang w:eastAsia="zh-CN"/>
                    </w:rPr>
                    <w:t>）</w:t>
                  </w:r>
                  <w:r>
                    <w:rPr>
                      <w:rFonts w:hint="eastAsia"/>
                      <w:color w:val="auto"/>
                      <w:sz w:val="18"/>
                      <w:szCs w:val="18"/>
                    </w:rPr>
                    <w:t>》及《江苏省工业和信息产业结构调整限制淘汰目录和能耗限额》中淘汰、禁止类项目</w:t>
                  </w:r>
                  <w:r>
                    <w:rPr>
                      <w:rFonts w:hint="eastAsia"/>
                      <w:color w:val="auto"/>
                      <w:sz w:val="18"/>
                      <w:szCs w:val="18"/>
                      <w:lang w:eastAsia="zh-CN"/>
                    </w:rPr>
                    <w:t>；</w:t>
                  </w:r>
                </w:p>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18"/>
                      <w:szCs w:val="18"/>
                      <w:lang w:val="en-US" w:eastAsia="zh-CN"/>
                    </w:rPr>
                  </w:pPr>
                  <w:r>
                    <w:rPr>
                      <w:rFonts w:hint="eastAsia"/>
                      <w:color w:val="auto"/>
                      <w:sz w:val="18"/>
                      <w:szCs w:val="18"/>
                      <w:lang w:val="en-US" w:eastAsia="zh-CN"/>
                    </w:rPr>
                    <w:t>2、本项目燃烧废气经16米排气筒排放；</w:t>
                  </w:r>
                </w:p>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b w:val="0"/>
                      <w:bCs w:val="0"/>
                      <w:color w:val="auto"/>
                      <w:kern w:val="2"/>
                      <w:sz w:val="18"/>
                      <w:szCs w:val="18"/>
                      <w:lang w:val="en-US" w:eastAsia="zh-CN" w:bidi="ar-SA"/>
                    </w:rPr>
                  </w:pPr>
                  <w:r>
                    <w:rPr>
                      <w:rFonts w:hint="eastAsia"/>
                      <w:color w:val="auto"/>
                      <w:sz w:val="18"/>
                      <w:szCs w:val="18"/>
                      <w:lang w:val="en-US" w:eastAsia="zh-CN"/>
                    </w:rPr>
                    <w:t>3、</w:t>
                  </w:r>
                  <w:r>
                    <w:rPr>
                      <w:rFonts w:hint="eastAsia" w:ascii="Times New Roman" w:hAnsi="Times New Roman" w:eastAsia="宋体" w:cs="Times New Roman"/>
                      <w:color w:val="auto"/>
                      <w:kern w:val="2"/>
                      <w:sz w:val="18"/>
                      <w:szCs w:val="18"/>
                      <w:lang w:val="en-US" w:eastAsia="zh-CN" w:bidi="ar-SA"/>
                    </w:rPr>
                    <w:t>根据《固定污染源分类管理名录》（2019版），本项目为登记管理，无需实施总量平衡</w:t>
                  </w:r>
                  <w:r>
                    <w:rPr>
                      <w:rFonts w:hint="eastAsia" w:ascii="Times New Roman" w:hAnsi="Times New Roman" w:eastAsia="宋体" w:cs="Times New Roman"/>
                      <w:b w:val="0"/>
                      <w:bCs w:val="0"/>
                      <w:color w:val="auto"/>
                      <w:kern w:val="2"/>
                      <w:sz w:val="18"/>
                      <w:szCs w:val="18"/>
                      <w:lang w:val="en-US" w:eastAsia="zh-CN" w:bidi="ar-SA"/>
                    </w:rPr>
                    <w:t>；</w:t>
                  </w:r>
                </w:p>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eastAsia="宋体"/>
                      <w:color w:val="auto"/>
                      <w:sz w:val="18"/>
                      <w:szCs w:val="18"/>
                      <w:lang w:val="en-US" w:eastAsia="zh-CN"/>
                    </w:rPr>
                  </w:pPr>
                  <w:r>
                    <w:rPr>
                      <w:rFonts w:hint="eastAsia" w:ascii="Times New Roman" w:hAnsi="Times New Roman" w:eastAsia="宋体" w:cs="Times New Roman"/>
                      <w:b w:val="0"/>
                      <w:bCs w:val="0"/>
                      <w:color w:val="auto"/>
                      <w:kern w:val="2"/>
                      <w:sz w:val="18"/>
                      <w:szCs w:val="18"/>
                      <w:lang w:val="en-US" w:eastAsia="zh-CN" w:bidi="ar-SA"/>
                    </w:rPr>
                    <w:t>4、企业废水主要为生活污水、</w:t>
                  </w:r>
                  <w:r>
                    <w:rPr>
                      <w:rFonts w:hint="eastAsia"/>
                      <w:color w:val="auto"/>
                      <w:sz w:val="18"/>
                      <w:szCs w:val="18"/>
                      <w:lang w:eastAsia="zh-CN"/>
                    </w:rPr>
                    <w:t>食堂废水、冷却水</w:t>
                  </w:r>
                  <w:r>
                    <w:rPr>
                      <w:rFonts w:hint="eastAsia" w:ascii="Times New Roman" w:hAnsi="Times New Roman" w:eastAsia="宋体" w:cs="Times New Roman"/>
                      <w:b w:val="0"/>
                      <w:bCs w:val="0"/>
                      <w:color w:val="auto"/>
                      <w:kern w:val="2"/>
                      <w:sz w:val="18"/>
                      <w:szCs w:val="18"/>
                      <w:lang w:val="en-US" w:eastAsia="zh-CN" w:bidi="ar-SA"/>
                    </w:rPr>
                    <w:t>，经处理后接管；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73"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color w:val="auto"/>
                      <w:sz w:val="18"/>
                      <w:szCs w:val="18"/>
                    </w:rPr>
                  </w:pPr>
                  <w:r>
                    <w:rPr>
                      <w:color w:val="auto"/>
                      <w:sz w:val="18"/>
                      <w:szCs w:val="18"/>
                    </w:rPr>
                    <w:t>空间布局约束</w:t>
                  </w:r>
                </w:p>
              </w:tc>
              <w:tc>
                <w:tcPr>
                  <w:tcW w:w="3011" w:type="pct"/>
                  <w:tcBorders>
                    <w:tl2br w:val="nil"/>
                    <w:tr2bl w:val="nil"/>
                  </w:tcBorders>
                  <w:shd w:val="clear" w:color="auto" w:fill="auto"/>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320" w:lineRule="exact"/>
                    <w:ind w:firstLine="0" w:firstLineChars="0"/>
                    <w:jc w:val="both"/>
                    <w:textAlignment w:val="auto"/>
                    <w:rPr>
                      <w:rFonts w:hint="eastAsia"/>
                      <w:color w:val="auto"/>
                      <w:sz w:val="18"/>
                      <w:szCs w:val="18"/>
                    </w:rPr>
                  </w:pPr>
                  <w:r>
                    <w:rPr>
                      <w:rFonts w:hint="eastAsia" w:ascii="Times New Roman" w:hAnsi="Times New Roman" w:eastAsia="宋体" w:cs="Times New Roman"/>
                      <w:color w:val="auto"/>
                      <w:kern w:val="2"/>
                      <w:sz w:val="18"/>
                      <w:szCs w:val="18"/>
                      <w:lang w:val="en-US" w:eastAsia="zh-CN" w:bidi="ar-SA"/>
                    </w:rPr>
                    <w:t>1、</w:t>
                  </w:r>
                  <w:r>
                    <w:rPr>
                      <w:rFonts w:hint="eastAsia"/>
                      <w:color w:val="auto"/>
                      <w:sz w:val="18"/>
                      <w:szCs w:val="18"/>
                    </w:rPr>
                    <w:t>根据《如皋市长江镇土地利用总体规划》</w:t>
                  </w:r>
                  <w:r>
                    <w:rPr>
                      <w:rFonts w:hint="eastAsia"/>
                      <w:color w:val="auto"/>
                      <w:sz w:val="18"/>
                      <w:szCs w:val="18"/>
                      <w:lang w:eastAsia="zh-CN"/>
                    </w:rPr>
                    <w:t>（</w:t>
                  </w:r>
                  <w:r>
                    <w:rPr>
                      <w:rFonts w:hint="eastAsia"/>
                      <w:color w:val="auto"/>
                      <w:sz w:val="18"/>
                      <w:szCs w:val="18"/>
                    </w:rPr>
                    <w:t>2006-2020年</w:t>
                  </w:r>
                  <w:r>
                    <w:rPr>
                      <w:rFonts w:hint="eastAsia"/>
                      <w:color w:val="auto"/>
                      <w:sz w:val="18"/>
                      <w:szCs w:val="18"/>
                      <w:lang w:eastAsia="zh-CN"/>
                    </w:rPr>
                    <w:t>），</w:t>
                  </w:r>
                  <w:r>
                    <w:rPr>
                      <w:rFonts w:hint="eastAsia"/>
                      <w:color w:val="auto"/>
                      <w:sz w:val="18"/>
                      <w:szCs w:val="18"/>
                    </w:rPr>
                    <w:t>到2020年本区域范围内基本农田面积为2178.87公顷，规划2030年保持这一规模。严格按照《基本农田保护条例》的保护控制要求执行，禁止非法占用。</w:t>
                  </w:r>
                </w:p>
                <w:p>
                  <w:pPr>
                    <w:keepNext w:val="0"/>
                    <w:keepLines w:val="0"/>
                    <w:pageBreakBefore w:val="0"/>
                    <w:widowControl/>
                    <w:numPr>
                      <w:ilvl w:val="0"/>
                      <w:numId w:val="0"/>
                    </w:numPr>
                    <w:kinsoku/>
                    <w:wordWrap/>
                    <w:overflowPunct/>
                    <w:topLinePunct w:val="0"/>
                    <w:autoSpaceDE/>
                    <w:autoSpaceDN/>
                    <w:bidi w:val="0"/>
                    <w:adjustRightInd w:val="0"/>
                    <w:snapToGrid w:val="0"/>
                    <w:spacing w:line="320" w:lineRule="exact"/>
                    <w:ind w:firstLine="0" w:firstLineChars="0"/>
                    <w:jc w:val="both"/>
                    <w:textAlignment w:val="auto"/>
                    <w:rPr>
                      <w:rFonts w:hint="eastAsia"/>
                      <w:color w:val="auto"/>
                      <w:sz w:val="18"/>
                      <w:szCs w:val="18"/>
                    </w:rPr>
                  </w:pPr>
                  <w:r>
                    <w:rPr>
                      <w:rFonts w:hint="eastAsia"/>
                      <w:color w:val="auto"/>
                      <w:sz w:val="18"/>
                      <w:szCs w:val="18"/>
                    </w:rPr>
                    <w:t>2、位于禁建区的重要水域禁止围垦填埋河流，除规划许可的水面和滨水景观设施以外，禁止新建、扩建与防洪、改善水环境无关的建筑物、构筑物。位于限建区的次要水域可结合水体特点进行景观营造和环境整治。</w:t>
                  </w:r>
                </w:p>
                <w:p>
                  <w:pPr>
                    <w:keepNext w:val="0"/>
                    <w:keepLines w:val="0"/>
                    <w:pageBreakBefore w:val="0"/>
                    <w:widowControl/>
                    <w:numPr>
                      <w:ilvl w:val="0"/>
                      <w:numId w:val="0"/>
                    </w:numPr>
                    <w:kinsoku/>
                    <w:wordWrap/>
                    <w:overflowPunct/>
                    <w:topLinePunct w:val="0"/>
                    <w:autoSpaceDE/>
                    <w:autoSpaceDN/>
                    <w:bidi w:val="0"/>
                    <w:adjustRightInd w:val="0"/>
                    <w:snapToGrid w:val="0"/>
                    <w:spacing w:line="320" w:lineRule="exact"/>
                    <w:ind w:firstLine="0" w:firstLineChars="0"/>
                    <w:jc w:val="both"/>
                    <w:textAlignment w:val="auto"/>
                    <w:rPr>
                      <w:rFonts w:hint="eastAsia"/>
                      <w:color w:val="auto"/>
                      <w:sz w:val="18"/>
                      <w:szCs w:val="18"/>
                    </w:rPr>
                  </w:pPr>
                  <w:r>
                    <w:rPr>
                      <w:rFonts w:hint="eastAsia"/>
                      <w:color w:val="auto"/>
                      <w:sz w:val="18"/>
                      <w:szCs w:val="18"/>
                    </w:rPr>
                    <w:t>3、禁止铁路、公路及主要城市道路防护林带、水系防护林带、高压走廊防护绿地、公用设施周围防护绿带、工业区与居住区之间的防护林带内的开发建设。</w:t>
                  </w:r>
                </w:p>
                <w:p>
                  <w:pPr>
                    <w:keepNext w:val="0"/>
                    <w:keepLines w:val="0"/>
                    <w:pageBreakBefore w:val="0"/>
                    <w:widowControl/>
                    <w:numPr>
                      <w:ilvl w:val="0"/>
                      <w:numId w:val="0"/>
                    </w:numPr>
                    <w:kinsoku/>
                    <w:wordWrap/>
                    <w:overflowPunct/>
                    <w:topLinePunct w:val="0"/>
                    <w:autoSpaceDE/>
                    <w:autoSpaceDN/>
                    <w:bidi w:val="0"/>
                    <w:adjustRightInd w:val="0"/>
                    <w:snapToGrid w:val="0"/>
                    <w:spacing w:line="320" w:lineRule="exact"/>
                    <w:ind w:firstLine="0" w:firstLineChars="0"/>
                    <w:jc w:val="both"/>
                    <w:textAlignment w:val="auto"/>
                    <w:rPr>
                      <w:rFonts w:hint="eastAsia"/>
                      <w:color w:val="auto"/>
                      <w:sz w:val="18"/>
                      <w:szCs w:val="18"/>
                    </w:rPr>
                  </w:pPr>
                  <w:r>
                    <w:rPr>
                      <w:rFonts w:hint="eastAsia"/>
                      <w:color w:val="auto"/>
                      <w:sz w:val="18"/>
                      <w:szCs w:val="18"/>
                    </w:rPr>
                    <w:t>4、严禁在长江干流及主要支流1公里范围内新建危化品码头。</w:t>
                  </w:r>
                </w:p>
                <w:p>
                  <w:pPr>
                    <w:keepNext w:val="0"/>
                    <w:keepLines w:val="0"/>
                    <w:pageBreakBefore w:val="0"/>
                    <w:widowControl/>
                    <w:numPr>
                      <w:ilvl w:val="0"/>
                      <w:numId w:val="0"/>
                    </w:numPr>
                    <w:kinsoku/>
                    <w:wordWrap/>
                    <w:overflowPunct/>
                    <w:topLinePunct w:val="0"/>
                    <w:autoSpaceDE/>
                    <w:autoSpaceDN/>
                    <w:bidi w:val="0"/>
                    <w:adjustRightInd w:val="0"/>
                    <w:snapToGrid w:val="0"/>
                    <w:spacing w:line="320" w:lineRule="exact"/>
                    <w:ind w:firstLine="0" w:firstLineChars="0"/>
                    <w:jc w:val="both"/>
                    <w:textAlignment w:val="auto"/>
                    <w:rPr>
                      <w:color w:val="auto"/>
                      <w:sz w:val="18"/>
                      <w:szCs w:val="18"/>
                    </w:rPr>
                  </w:pPr>
                  <w:r>
                    <w:rPr>
                      <w:rFonts w:hint="eastAsia"/>
                      <w:color w:val="auto"/>
                      <w:sz w:val="18"/>
                      <w:szCs w:val="18"/>
                    </w:rPr>
                    <w:t>5、严格按照《江苏省沿江沿海港口布局规划</w:t>
                  </w:r>
                  <w:r>
                    <w:rPr>
                      <w:rFonts w:hint="eastAsia"/>
                      <w:color w:val="auto"/>
                      <w:sz w:val="18"/>
                      <w:szCs w:val="18"/>
                      <w:lang w:eastAsia="zh-CN"/>
                    </w:rPr>
                    <w:t>（</w:t>
                  </w:r>
                  <w:r>
                    <w:rPr>
                      <w:rFonts w:hint="eastAsia"/>
                      <w:color w:val="auto"/>
                      <w:sz w:val="18"/>
                      <w:szCs w:val="18"/>
                    </w:rPr>
                    <w:t>2015</w:t>
                  </w:r>
                  <w:r>
                    <w:rPr>
                      <w:rFonts w:hint="eastAsia"/>
                      <w:color w:val="auto"/>
                      <w:sz w:val="18"/>
                      <w:szCs w:val="18"/>
                      <w:lang w:eastAsia="zh-CN"/>
                    </w:rPr>
                    <w:t>—</w:t>
                  </w:r>
                  <w:r>
                    <w:rPr>
                      <w:rFonts w:hint="eastAsia"/>
                      <w:color w:val="auto"/>
                      <w:sz w:val="18"/>
                      <w:szCs w:val="18"/>
                    </w:rPr>
                    <w:t>2030年</w:t>
                  </w:r>
                  <w:r>
                    <w:rPr>
                      <w:rFonts w:hint="eastAsia"/>
                      <w:color w:val="auto"/>
                      <w:sz w:val="18"/>
                      <w:szCs w:val="18"/>
                      <w:lang w:eastAsia="zh-CN"/>
                    </w:rPr>
                    <w:t>）</w:t>
                  </w:r>
                  <w:r>
                    <w:rPr>
                      <w:rFonts w:hint="eastAsia"/>
                      <w:color w:val="auto"/>
                      <w:sz w:val="18"/>
                      <w:szCs w:val="18"/>
                    </w:rPr>
                    <w:t>》及《南通港总体规划》中的布局进行岸线利用。涉及的生态空间管控区，应严守生态保护红线，不同生态红线区域的分类管控要求，确保</w:t>
                  </w:r>
                  <w:r>
                    <w:rPr>
                      <w:rFonts w:hint="eastAsia"/>
                      <w:color w:val="auto"/>
                      <w:sz w:val="18"/>
                      <w:szCs w:val="18"/>
                      <w:lang w:eastAsia="zh-CN"/>
                    </w:rPr>
                    <w:t>“</w:t>
                  </w:r>
                  <w:r>
                    <w:rPr>
                      <w:rFonts w:hint="eastAsia"/>
                      <w:color w:val="auto"/>
                      <w:sz w:val="18"/>
                      <w:szCs w:val="18"/>
                    </w:rPr>
                    <w:t>功能不降低面积不减少、性质不改变</w:t>
                  </w:r>
                  <w:r>
                    <w:rPr>
                      <w:rFonts w:hint="eastAsia"/>
                      <w:color w:val="auto"/>
                      <w:sz w:val="18"/>
                      <w:szCs w:val="18"/>
                      <w:lang w:eastAsia="zh-CN"/>
                    </w:rPr>
                    <w:t>”</w:t>
                  </w:r>
                  <w:r>
                    <w:rPr>
                      <w:rFonts w:hint="eastAsia"/>
                      <w:color w:val="auto"/>
                      <w:sz w:val="18"/>
                      <w:szCs w:val="18"/>
                    </w:rPr>
                    <w:t>。</w:t>
                  </w:r>
                </w:p>
              </w:tc>
              <w:tc>
                <w:tcPr>
                  <w:tcW w:w="1415"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18"/>
                      <w:szCs w:val="18"/>
                      <w:lang w:val="en-US" w:eastAsia="zh-CN"/>
                    </w:rPr>
                  </w:pPr>
                  <w:r>
                    <w:rPr>
                      <w:rFonts w:hint="eastAsia"/>
                      <w:color w:val="auto"/>
                      <w:sz w:val="18"/>
                      <w:szCs w:val="18"/>
                      <w:lang w:val="en-US" w:eastAsia="zh-CN"/>
                    </w:rPr>
                    <w:t>1、本项目占地不属于基本农田；</w:t>
                  </w:r>
                </w:p>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18"/>
                      <w:szCs w:val="18"/>
                      <w:lang w:val="en-US" w:eastAsia="zh-CN"/>
                    </w:rPr>
                  </w:pPr>
                  <w:r>
                    <w:rPr>
                      <w:rFonts w:hint="eastAsia"/>
                      <w:color w:val="auto"/>
                      <w:sz w:val="18"/>
                      <w:szCs w:val="18"/>
                      <w:lang w:val="en-US" w:eastAsia="zh-CN"/>
                    </w:rPr>
                    <w:t>2、本项目不涉及围垦填埋河流行为；</w:t>
                  </w:r>
                </w:p>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18"/>
                      <w:szCs w:val="18"/>
                      <w:lang w:eastAsia="zh-CN"/>
                    </w:rPr>
                  </w:pPr>
                  <w:r>
                    <w:rPr>
                      <w:rFonts w:hint="eastAsia"/>
                      <w:color w:val="auto"/>
                      <w:sz w:val="18"/>
                      <w:szCs w:val="18"/>
                      <w:lang w:val="en-US" w:eastAsia="zh-CN"/>
                    </w:rPr>
                    <w:t>3、本项目不在</w:t>
                  </w:r>
                  <w:r>
                    <w:rPr>
                      <w:rFonts w:hint="eastAsia"/>
                      <w:color w:val="auto"/>
                      <w:sz w:val="18"/>
                      <w:szCs w:val="18"/>
                    </w:rPr>
                    <w:t>铁路、公路及主要城市道路防护林带、水系防护林带、高压走廊防护绿地、公用设施周围防护绿带、工业区与居住区之间的防护林</w:t>
                  </w:r>
                  <w:r>
                    <w:rPr>
                      <w:rFonts w:hint="eastAsia"/>
                      <w:color w:val="auto"/>
                      <w:sz w:val="18"/>
                      <w:szCs w:val="18"/>
                      <w:lang w:eastAsia="zh-CN"/>
                    </w:rPr>
                    <w:t>内；</w:t>
                  </w:r>
                </w:p>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eastAsia" w:cs="Times New Roman"/>
                      <w:color w:val="auto"/>
                      <w:sz w:val="18"/>
                      <w:szCs w:val="18"/>
                      <w:lang w:eastAsia="zh-CN"/>
                    </w:rPr>
                  </w:pPr>
                  <w:r>
                    <w:rPr>
                      <w:rFonts w:hint="eastAsia"/>
                      <w:color w:val="auto"/>
                      <w:sz w:val="18"/>
                      <w:szCs w:val="18"/>
                      <w:lang w:val="en-US" w:eastAsia="zh-CN"/>
                    </w:rPr>
                    <w:t>4、本项目</w:t>
                  </w:r>
                  <w:r>
                    <w:rPr>
                      <w:rFonts w:hint="eastAsia"/>
                      <w:color w:val="auto"/>
                      <w:sz w:val="18"/>
                      <w:szCs w:val="18"/>
                      <w:lang w:eastAsia="zh-CN"/>
                    </w:rPr>
                    <w:t>为</w:t>
                  </w:r>
                  <w:r>
                    <w:rPr>
                      <w:rFonts w:hint="eastAsia" w:ascii="Times New Roman" w:hAnsi="Times New Roman" w:eastAsia="宋体" w:cs="Times New Roman"/>
                      <w:color w:val="auto"/>
                      <w:sz w:val="18"/>
                      <w:szCs w:val="18"/>
                      <w:lang w:val="en-US" w:eastAsia="zh-CN"/>
                    </w:rPr>
                    <w:t>【C3</w:t>
                  </w:r>
                  <w:r>
                    <w:rPr>
                      <w:rFonts w:hint="eastAsia" w:cs="Times New Roman"/>
                      <w:color w:val="auto"/>
                      <w:sz w:val="18"/>
                      <w:szCs w:val="18"/>
                      <w:lang w:val="en-US" w:eastAsia="zh-CN"/>
                    </w:rPr>
                    <w:t>393</w:t>
                  </w:r>
                  <w:r>
                    <w:rPr>
                      <w:rFonts w:hint="eastAsia" w:ascii="Times New Roman" w:hAnsi="Times New Roman" w:eastAsia="宋体" w:cs="Times New Roman"/>
                      <w:color w:val="auto"/>
                      <w:sz w:val="18"/>
                      <w:szCs w:val="18"/>
                      <w:lang w:val="en-US" w:eastAsia="zh-CN"/>
                    </w:rPr>
                    <w:t>】锻件及粉末冶金制品制造</w:t>
                  </w:r>
                  <w:r>
                    <w:rPr>
                      <w:rFonts w:hint="eastAsia" w:cs="Times New Roman"/>
                      <w:color w:val="auto"/>
                      <w:sz w:val="18"/>
                      <w:szCs w:val="18"/>
                      <w:lang w:eastAsia="zh-CN"/>
                    </w:rPr>
                    <w:t>，非危化品码头；</w:t>
                  </w:r>
                </w:p>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eastAsia="宋体"/>
                      <w:color w:val="auto"/>
                      <w:sz w:val="18"/>
                      <w:szCs w:val="18"/>
                      <w:lang w:val="en-US" w:eastAsia="zh-CN"/>
                    </w:rPr>
                  </w:pPr>
                  <w:r>
                    <w:rPr>
                      <w:rFonts w:hint="eastAsia" w:cs="Times New Roman"/>
                      <w:color w:val="auto"/>
                      <w:sz w:val="18"/>
                      <w:szCs w:val="18"/>
                      <w:lang w:val="en-US" w:eastAsia="zh-CN"/>
                    </w:rPr>
                    <w:t>5、本项目不涉及岸线利用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73"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color w:val="auto"/>
                      <w:sz w:val="18"/>
                      <w:szCs w:val="18"/>
                    </w:rPr>
                  </w:pPr>
                  <w:r>
                    <w:rPr>
                      <w:color w:val="auto"/>
                      <w:sz w:val="18"/>
                      <w:szCs w:val="18"/>
                    </w:rPr>
                    <w:t>污染物排放管控</w:t>
                  </w:r>
                </w:p>
              </w:tc>
              <w:tc>
                <w:tcPr>
                  <w:tcW w:w="3011" w:type="pct"/>
                  <w:tcBorders>
                    <w:tl2br w:val="nil"/>
                    <w:tr2bl w:val="nil"/>
                  </w:tcBorders>
                  <w:shd w:val="clear" w:color="auto" w:fill="auto"/>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18"/>
                      <w:szCs w:val="18"/>
                    </w:rPr>
                  </w:pPr>
                  <w:r>
                    <w:rPr>
                      <w:rFonts w:hint="eastAsia" w:ascii="Times New Roman" w:hAnsi="Times New Roman" w:eastAsia="宋体" w:cs="Times New Roman"/>
                      <w:color w:val="auto"/>
                      <w:kern w:val="2"/>
                      <w:sz w:val="18"/>
                      <w:szCs w:val="18"/>
                      <w:lang w:val="en-US" w:eastAsia="zh-CN" w:bidi="ar-SA"/>
                    </w:rPr>
                    <w:t>1、</w:t>
                  </w:r>
                  <w:r>
                    <w:rPr>
                      <w:rFonts w:hint="eastAsia"/>
                      <w:color w:val="auto"/>
                      <w:sz w:val="18"/>
                      <w:szCs w:val="18"/>
                    </w:rPr>
                    <w:t>园区主要污染物外排量COD774.42吨/年、NH</w:t>
                  </w:r>
                  <w:r>
                    <w:rPr>
                      <w:rFonts w:hint="eastAsia"/>
                      <w:color w:val="auto"/>
                      <w:sz w:val="18"/>
                      <w:szCs w:val="18"/>
                      <w:vertAlign w:val="subscript"/>
                    </w:rPr>
                    <w:t>3</w:t>
                  </w:r>
                  <w:r>
                    <w:rPr>
                      <w:rFonts w:hint="eastAsia"/>
                      <w:color w:val="auto"/>
                      <w:sz w:val="18"/>
                      <w:szCs w:val="18"/>
                    </w:rPr>
                    <w:t>-N123.91吨/年、总氮232.33吨/年、总磷7.74吨/年。</w:t>
                  </w:r>
                </w:p>
                <w:p>
                  <w:pPr>
                    <w:keepNext w:val="0"/>
                    <w:keepLines w:val="0"/>
                    <w:pageBreakBefore w:val="0"/>
                    <w:widowControl/>
                    <w:numPr>
                      <w:ilvl w:val="0"/>
                      <w:numId w:val="0"/>
                    </w:numPr>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18"/>
                      <w:szCs w:val="18"/>
                    </w:rPr>
                  </w:pPr>
                  <w:r>
                    <w:rPr>
                      <w:rFonts w:hint="eastAsia"/>
                      <w:color w:val="auto"/>
                      <w:sz w:val="18"/>
                      <w:szCs w:val="18"/>
                    </w:rPr>
                    <w:t>2、园区主要污染物外排量S</w:t>
                  </w:r>
                  <w:r>
                    <w:rPr>
                      <w:rFonts w:hint="eastAsia"/>
                      <w:color w:val="auto"/>
                      <w:sz w:val="18"/>
                      <w:szCs w:val="18"/>
                      <w:lang w:val="en-US" w:eastAsia="zh-CN"/>
                    </w:rPr>
                    <w:t>O</w:t>
                  </w:r>
                  <w:r>
                    <w:rPr>
                      <w:rFonts w:hint="eastAsia"/>
                      <w:color w:val="auto"/>
                      <w:sz w:val="18"/>
                      <w:szCs w:val="18"/>
                      <w:vertAlign w:val="subscript"/>
                    </w:rPr>
                    <w:t>2</w:t>
                  </w:r>
                  <w:r>
                    <w:rPr>
                      <w:rFonts w:hint="eastAsia"/>
                      <w:color w:val="auto"/>
                      <w:sz w:val="18"/>
                      <w:szCs w:val="18"/>
                    </w:rPr>
                    <w:t>193.90吨/年、NOx329.36吨/年、烟粉尘269.98吨/年、VOCs269.29吨/年。</w:t>
                  </w:r>
                </w:p>
                <w:p>
                  <w:pPr>
                    <w:keepNext w:val="0"/>
                    <w:keepLines w:val="0"/>
                    <w:pageBreakBefore w:val="0"/>
                    <w:widowControl/>
                    <w:numPr>
                      <w:ilvl w:val="0"/>
                      <w:numId w:val="0"/>
                    </w:numPr>
                    <w:kinsoku/>
                    <w:wordWrap/>
                    <w:overflowPunct/>
                    <w:topLinePunct w:val="0"/>
                    <w:autoSpaceDE/>
                    <w:autoSpaceDN/>
                    <w:bidi w:val="0"/>
                    <w:adjustRightInd w:val="0"/>
                    <w:snapToGrid w:val="0"/>
                    <w:spacing w:line="320" w:lineRule="exact"/>
                    <w:ind w:firstLine="0" w:firstLineChars="0"/>
                    <w:jc w:val="center"/>
                    <w:textAlignment w:val="auto"/>
                    <w:rPr>
                      <w:color w:val="auto"/>
                      <w:sz w:val="18"/>
                      <w:szCs w:val="18"/>
                    </w:rPr>
                  </w:pPr>
                  <w:r>
                    <w:rPr>
                      <w:rFonts w:hint="eastAsia"/>
                      <w:color w:val="auto"/>
                      <w:sz w:val="18"/>
                      <w:szCs w:val="18"/>
                    </w:rPr>
                    <w:t>3、区内废水一类污染物不得外排。</w:t>
                  </w:r>
                </w:p>
              </w:tc>
              <w:tc>
                <w:tcPr>
                  <w:tcW w:w="1415"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color w:val="auto"/>
                      <w:sz w:val="18"/>
                      <w:szCs w:val="18"/>
                    </w:rPr>
                  </w:pPr>
                  <w:r>
                    <w:rPr>
                      <w:rFonts w:hint="eastAsia"/>
                      <w:color w:val="auto"/>
                      <w:sz w:val="18"/>
                      <w:szCs w:val="18"/>
                    </w:rPr>
                    <w:t>本项目废气、废水外排量未超过管控指标。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73"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color w:val="auto"/>
                      <w:sz w:val="18"/>
                      <w:szCs w:val="18"/>
                    </w:rPr>
                  </w:pPr>
                  <w:r>
                    <w:rPr>
                      <w:color w:val="auto"/>
                      <w:sz w:val="18"/>
                      <w:szCs w:val="18"/>
                    </w:rPr>
                    <w:t>环境风险防控</w:t>
                  </w:r>
                </w:p>
              </w:tc>
              <w:tc>
                <w:tcPr>
                  <w:tcW w:w="3011"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color w:val="auto"/>
                      <w:sz w:val="18"/>
                      <w:szCs w:val="18"/>
                    </w:rPr>
                  </w:pPr>
                  <w:r>
                    <w:rPr>
                      <w:rFonts w:hint="eastAsia"/>
                      <w:color w:val="auto"/>
                      <w:sz w:val="18"/>
                      <w:szCs w:val="18"/>
                    </w:rPr>
                    <w:t>邻近国家级生态保护红线、江苏省生态空间管控区的工业用地，加强入区企业跑、冒、滴、漏管理，设置符合规范的事故应急池，确保企业废水不排入上述敏感区域。</w:t>
                  </w:r>
                </w:p>
              </w:tc>
              <w:tc>
                <w:tcPr>
                  <w:tcW w:w="1415"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eastAsia" w:eastAsia="宋体"/>
                      <w:color w:val="auto"/>
                      <w:sz w:val="18"/>
                      <w:szCs w:val="18"/>
                      <w:lang w:eastAsia="zh-CN"/>
                    </w:rPr>
                  </w:pPr>
                  <w:r>
                    <w:rPr>
                      <w:rFonts w:ascii="Times New Roman" w:eastAsia="宋体"/>
                      <w:color w:val="auto"/>
                      <w:sz w:val="18"/>
                      <w:szCs w:val="18"/>
                    </w:rPr>
                    <w:t>本项目</w:t>
                  </w:r>
                  <w:r>
                    <w:rPr>
                      <w:rFonts w:hint="eastAsia"/>
                      <w:color w:val="auto"/>
                      <w:sz w:val="18"/>
                      <w:szCs w:val="18"/>
                      <w:lang w:eastAsia="zh-CN"/>
                    </w:rPr>
                    <w:t>加强跑、冒、滴、漏管理，依托宏茂铸钢</w:t>
                  </w:r>
                  <w:r>
                    <w:rPr>
                      <w:rFonts w:hint="eastAsia"/>
                      <w:color w:val="auto"/>
                      <w:sz w:val="18"/>
                      <w:szCs w:val="18"/>
                    </w:rPr>
                    <w:t>的事故应急池，确保企业废水不排入上述敏感区域</w:t>
                  </w:r>
                  <w:r>
                    <w:rPr>
                      <w:rFonts w:hint="eastAsia" w:ascii="Times New Roman" w:eastAsia="宋体"/>
                      <w:color w:val="auto"/>
                      <w:sz w:val="18"/>
                      <w:szCs w:val="18"/>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73"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color w:val="auto"/>
                      <w:sz w:val="18"/>
                      <w:szCs w:val="18"/>
                    </w:rPr>
                  </w:pPr>
                  <w:r>
                    <w:rPr>
                      <w:color w:val="auto"/>
                      <w:sz w:val="18"/>
                      <w:szCs w:val="18"/>
                    </w:rPr>
                    <w:t>资源开发效率要求</w:t>
                  </w:r>
                </w:p>
              </w:tc>
              <w:tc>
                <w:tcPr>
                  <w:tcW w:w="3011"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18"/>
                      <w:szCs w:val="18"/>
                    </w:rPr>
                  </w:pPr>
                  <w:r>
                    <w:rPr>
                      <w:rFonts w:hint="eastAsia"/>
                      <w:color w:val="auto"/>
                      <w:sz w:val="18"/>
                      <w:szCs w:val="18"/>
                    </w:rPr>
                    <w:t>1、2030年用水总量不得超过5万吨/日、城市建设用地不得超过47.78平方公里。</w:t>
                  </w:r>
                </w:p>
                <w:p>
                  <w:pPr>
                    <w:keepNext w:val="0"/>
                    <w:keepLines w:val="0"/>
                    <w:pageBreakBefore w:val="0"/>
                    <w:widowControl/>
                    <w:numPr>
                      <w:ilvl w:val="0"/>
                      <w:numId w:val="0"/>
                    </w:numPr>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18"/>
                      <w:szCs w:val="18"/>
                    </w:rPr>
                  </w:pPr>
                  <w:r>
                    <w:rPr>
                      <w:rFonts w:hint="eastAsia" w:ascii="Times New Roman" w:hAnsi="Times New Roman" w:eastAsia="宋体" w:cs="Times New Roman"/>
                      <w:color w:val="auto"/>
                      <w:kern w:val="2"/>
                      <w:sz w:val="18"/>
                      <w:szCs w:val="18"/>
                      <w:lang w:val="en-US" w:eastAsia="zh-CN" w:bidi="ar-SA"/>
                    </w:rPr>
                    <w:t>2、</w:t>
                  </w:r>
                  <w:r>
                    <w:rPr>
                      <w:rFonts w:hint="eastAsia"/>
                      <w:color w:val="auto"/>
                      <w:sz w:val="18"/>
                      <w:szCs w:val="18"/>
                    </w:rPr>
                    <w:t>园区实行集中供热，入区企业确因工艺要求需新增工业炉窑的，应以电、天然气等清洁燃料为能源。</w:t>
                  </w:r>
                </w:p>
                <w:p>
                  <w:pPr>
                    <w:keepNext w:val="0"/>
                    <w:keepLines w:val="0"/>
                    <w:pageBreakBefore w:val="0"/>
                    <w:widowControl/>
                    <w:numPr>
                      <w:ilvl w:val="0"/>
                      <w:numId w:val="0"/>
                    </w:numPr>
                    <w:kinsoku/>
                    <w:wordWrap/>
                    <w:overflowPunct/>
                    <w:topLinePunct w:val="0"/>
                    <w:autoSpaceDE/>
                    <w:autoSpaceDN/>
                    <w:bidi w:val="0"/>
                    <w:adjustRightInd w:val="0"/>
                    <w:snapToGrid w:val="0"/>
                    <w:spacing w:line="320" w:lineRule="exact"/>
                    <w:ind w:firstLine="0" w:firstLineChars="0"/>
                    <w:jc w:val="center"/>
                    <w:textAlignment w:val="auto"/>
                    <w:rPr>
                      <w:color w:val="auto"/>
                      <w:sz w:val="18"/>
                      <w:szCs w:val="18"/>
                    </w:rPr>
                  </w:pPr>
                  <w:r>
                    <w:rPr>
                      <w:rFonts w:hint="eastAsia"/>
                      <w:color w:val="auto"/>
                      <w:sz w:val="18"/>
                      <w:szCs w:val="18"/>
                    </w:rPr>
                    <w:t>3、建设项目须满足单位GDP综合能耗≤0.5吨标煤/万元，单位GDP新鲜水耗&lt;8立方米/万元。</w:t>
                  </w:r>
                </w:p>
              </w:tc>
              <w:tc>
                <w:tcPr>
                  <w:tcW w:w="1415"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color w:val="auto"/>
                      <w:sz w:val="18"/>
                      <w:szCs w:val="18"/>
                    </w:rPr>
                  </w:pPr>
                  <w:r>
                    <w:rPr>
                      <w:rFonts w:hint="eastAsia"/>
                      <w:color w:val="auto"/>
                      <w:sz w:val="18"/>
                      <w:szCs w:val="18"/>
                    </w:rPr>
                    <w:t>本项目</w:t>
                  </w:r>
                  <w:r>
                    <w:rPr>
                      <w:rFonts w:hint="eastAsia"/>
                      <w:color w:val="auto"/>
                      <w:sz w:val="18"/>
                      <w:szCs w:val="18"/>
                      <w:lang w:eastAsia="zh-CN"/>
                    </w:rPr>
                    <w:t>用水总量、天然气、电综合能耗均在园区指标范围内</w:t>
                  </w:r>
                  <w:r>
                    <w:rPr>
                      <w:rFonts w:hint="eastAsia"/>
                      <w:color w:val="auto"/>
                      <w:sz w:val="18"/>
                      <w:szCs w:val="18"/>
                    </w:rPr>
                    <w:t>。</w:t>
                  </w:r>
                </w:p>
              </w:tc>
            </w:tr>
          </w:tbl>
          <w:p>
            <w:pPr>
              <w:adjustRightInd w:val="0"/>
              <w:snapToGrid w:val="0"/>
              <w:spacing w:line="500" w:lineRule="exact"/>
              <w:ind w:firstLine="420" w:firstLineChars="200"/>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5</w:t>
            </w:r>
            <w:r>
              <w:rPr>
                <w:rFonts w:hint="eastAsia" w:ascii="Times New Roman" w:hAnsi="Times New Roman" w:eastAsia="宋体" w:cs="Times New Roman"/>
                <w:bCs/>
                <w:color w:val="auto"/>
                <w:szCs w:val="21"/>
                <w:lang w:val="en-US" w:eastAsia="zh-CN"/>
              </w:rPr>
              <w:t>、</w:t>
            </w:r>
            <w:r>
              <w:rPr>
                <w:rFonts w:hint="eastAsia"/>
                <w:color w:val="auto"/>
                <w:kern w:val="0"/>
                <w:szCs w:val="21"/>
              </w:rPr>
              <w:t>与“三区三线”划定成果</w:t>
            </w:r>
            <w:r>
              <w:rPr>
                <w:rFonts w:hint="default" w:ascii="Times New Roman" w:hAnsi="Times New Roman" w:eastAsia="宋体" w:cs="Times New Roman"/>
                <w:bCs/>
                <w:color w:val="auto"/>
                <w:szCs w:val="21"/>
                <w:lang w:val="en-US" w:eastAsia="zh-CN"/>
              </w:rPr>
              <w:t>与</w:t>
            </w:r>
            <w:r>
              <w:rPr>
                <w:rFonts w:hint="eastAsia" w:ascii="Times New Roman" w:hAnsi="Times New Roman" w:cs="Times New Roman"/>
                <w:bCs/>
                <w:color w:val="auto"/>
                <w:szCs w:val="21"/>
              </w:rPr>
              <w:t>《如皋市国土空间总体规划（2021－2035年）》</w:t>
            </w:r>
            <w:r>
              <w:rPr>
                <w:rFonts w:hint="default" w:ascii="Times New Roman" w:hAnsi="Times New Roman" w:eastAsia="宋体" w:cs="Times New Roman"/>
                <w:bCs/>
                <w:color w:val="auto"/>
                <w:szCs w:val="21"/>
                <w:lang w:val="en-US" w:eastAsia="zh-CN"/>
              </w:rPr>
              <w:t>相符性分析</w:t>
            </w:r>
          </w:p>
          <w:p>
            <w:pPr>
              <w:adjustRightInd w:val="0"/>
              <w:snapToGrid w:val="0"/>
              <w:spacing w:line="500" w:lineRule="exact"/>
              <w:ind w:firstLine="420" w:firstLineChars="200"/>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如皋市国土空间总体规划（2021-2035年）》中第三节“三区三线”划定，“第23条耕地和永久基本农田。落实国家粮食安全总体要求，优先划定耕地和永久基本农田。至2035年，上级规划下达如皋市耕地保有量任务数707.6682平方千米（106.1502万亩），全市实际划定707.6682平方千米（106.1502万亩）；上级规划下达永久基本农田保护任务657.4669平方千米（98.6200万亩），全市实际划定面积657.4669平方千米（98.6200万亩）。第24条生态保护红线。优化生态保护红线划定方案，保持面积不减少、功能不降低。划定生态保护红线面积9.9015平方千米。第25条城镇开发边界。充分尊重自然地理格局，避让资源环境底线要素，落实扩展倍数控制要求。划定城镇开发边界面积186.8917平方千米，城镇开发边界扩展倍数控制在基于2020年城镇建设用地规模的1.3370倍”。</w:t>
            </w:r>
          </w:p>
          <w:p>
            <w:pPr>
              <w:adjustRightInd w:val="0"/>
              <w:snapToGrid w:val="0"/>
              <w:spacing w:line="500" w:lineRule="exact"/>
              <w:ind w:firstLine="420" w:firstLineChars="200"/>
              <w:rPr>
                <w:rFonts w:hint="default" w:ascii="Times New Roman" w:hAnsi="Times New Roman" w:eastAsia="宋体" w:cs="Times New Roman"/>
                <w:bCs/>
                <w:color w:val="auto"/>
                <w:szCs w:val="21"/>
                <w:lang w:eastAsia="zh-CN"/>
              </w:rPr>
            </w:pPr>
            <w:r>
              <w:rPr>
                <w:rFonts w:hint="eastAsia" w:ascii="Times New Roman" w:hAnsi="Times New Roman" w:cs="Times New Roman"/>
                <w:bCs/>
                <w:color w:val="auto"/>
                <w:szCs w:val="21"/>
                <w:lang w:eastAsia="zh-CN"/>
              </w:rPr>
              <w:t>对照</w:t>
            </w:r>
            <w:r>
              <w:rPr>
                <w:rFonts w:hint="eastAsia" w:ascii="Times New Roman" w:hAnsi="Times New Roman" w:cs="Times New Roman"/>
                <w:bCs/>
                <w:color w:val="auto"/>
                <w:szCs w:val="21"/>
              </w:rPr>
              <w:t>《如皋市国土空间总体规划（2021－2035年）》</w:t>
            </w:r>
            <w:r>
              <w:rPr>
                <w:rFonts w:hint="eastAsia" w:ascii="Times New Roman" w:hAnsi="Times New Roman" w:cs="Times New Roman"/>
                <w:bCs/>
                <w:color w:val="auto"/>
                <w:szCs w:val="21"/>
                <w:lang w:eastAsia="zh-CN"/>
              </w:rPr>
              <w:t>，</w:t>
            </w:r>
            <w:r>
              <w:rPr>
                <w:rFonts w:hint="default" w:ascii="Times New Roman" w:hAnsi="Times New Roman" w:eastAsia="宋体" w:cs="Times New Roman"/>
                <w:bCs/>
                <w:color w:val="auto"/>
                <w:szCs w:val="21"/>
                <w:lang w:val="en-US" w:eastAsia="zh-CN"/>
              </w:rPr>
              <w:t>本项目位于江苏省</w:t>
            </w:r>
            <w:r>
              <w:rPr>
                <w:rFonts w:hint="eastAsia" w:ascii="Times New Roman" w:hAnsi="Times New Roman" w:eastAsia="宋体" w:cs="Times New Roman"/>
                <w:bCs/>
                <w:color w:val="auto"/>
                <w:szCs w:val="21"/>
                <w:lang w:val="en-US" w:eastAsia="zh-CN"/>
              </w:rPr>
              <w:t>如皋市长江镇创业路8号</w:t>
            </w:r>
            <w:r>
              <w:rPr>
                <w:rFonts w:hint="default" w:ascii="Times New Roman" w:hAnsi="Times New Roman" w:eastAsia="宋体" w:cs="Times New Roman"/>
                <w:bCs/>
                <w:color w:val="auto"/>
                <w:szCs w:val="21"/>
                <w:lang w:val="en-US" w:eastAsia="zh-CN"/>
              </w:rPr>
              <w:t>，项目厂址范围内无永久基本农田，不涉及生态红线等限制开发区域，在城镇开发边界内，因此与</w:t>
            </w:r>
            <w:r>
              <w:rPr>
                <w:rFonts w:hint="eastAsia"/>
                <w:color w:val="auto"/>
                <w:kern w:val="0"/>
                <w:szCs w:val="21"/>
              </w:rPr>
              <w:t>如皋市“三区三线”划定成果</w:t>
            </w:r>
            <w:r>
              <w:rPr>
                <w:rFonts w:hint="eastAsia"/>
                <w:color w:val="auto"/>
                <w:kern w:val="0"/>
                <w:szCs w:val="21"/>
                <w:lang w:eastAsia="zh-CN"/>
              </w:rPr>
              <w:t>、</w:t>
            </w:r>
            <w:r>
              <w:rPr>
                <w:rFonts w:hint="eastAsia" w:ascii="Times New Roman" w:hAnsi="Times New Roman" w:cs="Times New Roman"/>
                <w:bCs/>
                <w:color w:val="auto"/>
                <w:szCs w:val="21"/>
              </w:rPr>
              <w:t>《如皋市国土空间总体规划（2021－2035年）》</w:t>
            </w:r>
            <w:r>
              <w:rPr>
                <w:rFonts w:hint="default" w:ascii="Times New Roman" w:hAnsi="Times New Roman" w:eastAsia="宋体" w:cs="Times New Roman"/>
                <w:bCs/>
                <w:color w:val="auto"/>
                <w:szCs w:val="21"/>
                <w:lang w:val="en-US" w:eastAsia="zh-CN"/>
              </w:rPr>
              <w:t>相符。</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0" w:firstLineChars="0"/>
              <w:jc w:val="center"/>
              <w:textAlignment w:val="auto"/>
              <w:rPr>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0" w:firstLineChars="0"/>
              <w:jc w:val="both"/>
              <w:textAlignment w:val="auto"/>
              <w:rPr>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903" w:hRule="atLeast"/>
          <w:jc w:val="center"/>
        </w:trPr>
        <w:tc>
          <w:tcPr>
            <w:tcW w:w="1623" w:type="dxa"/>
            <w:vAlign w:val="center"/>
          </w:tcPr>
          <w:p>
            <w:pPr>
              <w:autoSpaceDE w:val="0"/>
              <w:autoSpaceDN w:val="0"/>
              <w:adjustRightInd w:val="0"/>
              <w:snapToGrid w:val="0"/>
              <w:jc w:val="center"/>
              <w:rPr>
                <w:kern w:val="0"/>
                <w:szCs w:val="21"/>
              </w:rPr>
            </w:pPr>
            <w:r>
              <w:rPr>
                <w:kern w:val="0"/>
                <w:szCs w:val="21"/>
              </w:rPr>
              <w:t>其他符合性分析</w:t>
            </w:r>
          </w:p>
        </w:tc>
        <w:tc>
          <w:tcPr>
            <w:tcW w:w="7247" w:type="dxa"/>
            <w:gridSpan w:val="4"/>
            <w:vAlign w:val="center"/>
          </w:tcPr>
          <w:p>
            <w:pPr>
              <w:spacing w:line="500" w:lineRule="exact"/>
              <w:rPr>
                <w:b/>
                <w:bCs/>
              </w:rPr>
            </w:pPr>
            <w:r>
              <w:rPr>
                <w:b/>
                <w:bCs/>
              </w:rPr>
              <w:t>1、项目产业政策符合性分析</w:t>
            </w:r>
          </w:p>
          <w:p>
            <w:pPr>
              <w:spacing w:line="500" w:lineRule="exact"/>
              <w:ind w:firstLine="420" w:firstLineChars="200"/>
            </w:pPr>
            <w:r>
              <w:t>（1）产品产业政策符合性</w:t>
            </w:r>
          </w:p>
          <w:p>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rPr>
                <w:rFonts w:hint="default" w:ascii="Times New Roman" w:hAnsi="Times New Roman" w:eastAsia="宋体" w:cs="Times New Roman"/>
                <w:bCs/>
                <w:color w:val="auto"/>
                <w:szCs w:val="21"/>
                <w:lang w:val="en-US" w:eastAsia="zh-CN"/>
              </w:rPr>
            </w:pPr>
            <w:r>
              <w:t>项目为国民经济的行业类别中</w:t>
            </w:r>
            <w:r>
              <w:rPr>
                <w:rFonts w:hint="default" w:ascii="Times New Roman" w:hAnsi="Times New Roman" w:eastAsia="宋体" w:cs="Times New Roman"/>
                <w:bCs/>
                <w:color w:val="auto"/>
                <w:szCs w:val="21"/>
                <w:lang w:val="en-US" w:eastAsia="zh-CN"/>
              </w:rPr>
              <w:t>的</w:t>
            </w:r>
            <w:r>
              <w:rPr>
                <w:rFonts w:hint="eastAsia" w:ascii="Times New Roman" w:hAnsi="Times New Roman" w:eastAsia="宋体" w:cs="Times New Roman"/>
                <w:bCs/>
                <w:color w:val="auto"/>
                <w:szCs w:val="21"/>
                <w:lang w:val="en-US" w:eastAsia="zh-CN"/>
              </w:rPr>
              <w:t>【C3393】锻件及粉末冶金制品制造</w:t>
            </w:r>
            <w:r>
              <w:rPr>
                <w:rFonts w:hint="default" w:ascii="Times New Roman" w:hAnsi="Times New Roman" w:eastAsia="宋体" w:cs="Times New Roman"/>
                <w:bCs/>
                <w:color w:val="auto"/>
                <w:szCs w:val="21"/>
                <w:lang w:val="en-US" w:eastAsia="zh-CN"/>
              </w:rPr>
              <w:t>，</w:t>
            </w:r>
            <w:r>
              <w:rPr>
                <w:rFonts w:hint="default" w:ascii="Times New Roman" w:hAnsi="Times New Roman" w:cs="Times New Roman"/>
                <w:bCs/>
                <w:color w:val="auto"/>
                <w:szCs w:val="21"/>
                <w:lang w:val="en-US" w:eastAsia="zh-CN"/>
              </w:rPr>
              <w:t>属于《产业结构调整指导目录（2024年本）》中的：</w:t>
            </w:r>
            <w:r>
              <w:rPr>
                <w:rFonts w:hint="eastAsia"/>
                <w:szCs w:val="21"/>
                <w:lang w:eastAsia="zh-CN"/>
              </w:rPr>
              <w:t>“</w:t>
            </w:r>
            <w:r>
              <w:rPr>
                <w:szCs w:val="21"/>
              </w:rPr>
              <w:t>第一类、鼓励类20、汽车、能源装备、轨道交通装备、航空航天、军工、海洋工程装备关键铸件、锻件</w:t>
            </w:r>
            <w:r>
              <w:rPr>
                <w:rFonts w:hint="eastAsia"/>
                <w:szCs w:val="21"/>
                <w:lang w:eastAsia="zh-CN"/>
              </w:rPr>
              <w:t>”</w:t>
            </w:r>
            <w:r>
              <w:rPr>
                <w:rFonts w:hint="default" w:ascii="Times New Roman" w:hAnsi="Times New Roman" w:cs="Times New Roman"/>
                <w:bCs/>
                <w:color w:val="auto"/>
                <w:szCs w:val="21"/>
                <w:lang w:val="en-US" w:eastAsia="zh-CN"/>
              </w:rPr>
              <w:t>，不属于《江苏省产业结构调整限制、淘汰和禁止目录（2018）》中的淘汰和限制类项目，亦不属于其他相关法律法规要求淘汰和限制的产业。</w:t>
            </w:r>
          </w:p>
          <w:p>
            <w:pPr>
              <w:adjustRightInd w:val="0"/>
              <w:snapToGrid w:val="0"/>
              <w:spacing w:line="500" w:lineRule="exact"/>
              <w:ind w:firstLine="420" w:firstLineChars="200"/>
            </w:pPr>
            <w:r>
              <w:rPr>
                <w:rFonts w:hint="default" w:ascii="Times New Roman" w:hAnsi="Times New Roman" w:cs="Times New Roman"/>
                <w:bCs/>
                <w:color w:val="auto"/>
                <w:szCs w:val="21"/>
              </w:rPr>
              <w:t>综上所述，项目符合国家及地方法律法规及相关产业政策要求。</w:t>
            </w:r>
          </w:p>
          <w:p>
            <w:pPr>
              <w:spacing w:line="500" w:lineRule="exact"/>
              <w:ind w:firstLine="420" w:firstLineChars="200"/>
            </w:pPr>
            <w:r>
              <w:t>（2）土地政策符合性</w:t>
            </w:r>
          </w:p>
          <w:p>
            <w:pPr>
              <w:spacing w:line="500" w:lineRule="exact"/>
              <w:ind w:firstLine="420" w:firstLineChars="200"/>
            </w:pPr>
            <w:r>
              <w:t>对</w:t>
            </w:r>
            <w:r>
              <w:rPr>
                <w:color w:val="auto"/>
              </w:rPr>
              <w:t>照</w:t>
            </w:r>
            <w:r>
              <w:rPr>
                <w:rFonts w:hint="default" w:ascii="Times New Roman" w:hAnsi="Times New Roman" w:cs="Times New Roman"/>
                <w:bCs/>
                <w:color w:val="auto"/>
                <w:szCs w:val="21"/>
                <w:lang w:val="en-US" w:eastAsia="zh-CN"/>
              </w:rPr>
              <w:t>不属于《江苏省限制用地项目目录（2013年本）》</w:t>
            </w:r>
            <w:r>
              <w:rPr>
                <w:rFonts w:hint="eastAsia" w:cs="Times New Roman"/>
                <w:bCs/>
                <w:color w:val="auto"/>
                <w:szCs w:val="21"/>
                <w:lang w:val="en-US" w:eastAsia="zh-CN"/>
              </w:rPr>
              <w:t>、</w:t>
            </w:r>
            <w:r>
              <w:rPr>
                <w:rFonts w:hint="default" w:ascii="Times New Roman" w:hAnsi="Times New Roman" w:cs="Times New Roman"/>
                <w:bCs/>
                <w:color w:val="auto"/>
                <w:szCs w:val="21"/>
                <w:lang w:val="en-US" w:eastAsia="zh-CN"/>
              </w:rPr>
              <w:t>《江苏省禁止用地项目目录（2013年本）》</w:t>
            </w:r>
            <w:r>
              <w:rPr>
                <w:rFonts w:hint="eastAsia" w:cs="Times New Roman"/>
                <w:bCs/>
                <w:color w:val="auto"/>
                <w:szCs w:val="21"/>
                <w:lang w:val="en-US" w:eastAsia="zh-CN"/>
              </w:rPr>
              <w:t>、</w:t>
            </w:r>
            <w:r>
              <w:rPr>
                <w:rFonts w:hint="eastAsia"/>
                <w:color w:val="auto"/>
                <w:vertAlign w:val="baseline"/>
                <w:lang w:eastAsia="zh-CN"/>
              </w:rPr>
              <w:t>《自然资源要素支撑产业高质量发展指导目录（2024年本）》</w:t>
            </w:r>
            <w:r>
              <w:rPr>
                <w:rFonts w:hint="eastAsia" w:ascii="Times New Roman" w:hAnsi="Times New Roman" w:cs="Times New Roman"/>
                <w:bCs/>
                <w:color w:val="auto"/>
                <w:szCs w:val="21"/>
                <w:lang w:val="en-US" w:eastAsia="zh-CN"/>
              </w:rPr>
              <w:t>限制和禁止</w:t>
            </w:r>
            <w:r>
              <w:rPr>
                <w:rFonts w:hint="default" w:ascii="Times New Roman" w:hAnsi="Times New Roman" w:cs="Times New Roman"/>
                <w:bCs/>
                <w:color w:val="auto"/>
                <w:szCs w:val="21"/>
                <w:lang w:val="en-US" w:eastAsia="zh-CN"/>
              </w:rPr>
              <w:t>中的建设项目</w:t>
            </w:r>
            <w:r>
              <w:t>，本项目不属于其规定的限制用地和禁止用地项目范畴，可视为允许类项目。</w:t>
            </w:r>
          </w:p>
          <w:p>
            <w:pPr>
              <w:adjustRightInd w:val="0"/>
              <w:snapToGrid w:val="0"/>
              <w:spacing w:line="500" w:lineRule="exact"/>
              <w:rPr>
                <w:b/>
                <w:bCs/>
              </w:rPr>
            </w:pPr>
            <w:r>
              <w:rPr>
                <w:b/>
                <w:bCs/>
              </w:rPr>
              <w:t>2、与“三线一单”相符性分析</w:t>
            </w:r>
          </w:p>
          <w:p>
            <w:pPr>
              <w:adjustRightInd w:val="0"/>
              <w:snapToGrid w:val="0"/>
              <w:spacing w:line="500" w:lineRule="exact"/>
              <w:ind w:firstLine="420" w:firstLineChars="200"/>
              <w:rPr>
                <w:rFonts w:hint="default" w:ascii="Times New Roman" w:hAnsi="Times New Roman" w:cs="Times New Roman"/>
                <w:bCs/>
                <w:color w:val="auto"/>
                <w:szCs w:val="21"/>
              </w:rPr>
            </w:pPr>
            <w:r>
              <w:rPr>
                <w:rFonts w:hint="default" w:ascii="Times New Roman" w:hAnsi="Times New Roman" w:cs="Times New Roman"/>
                <w:bCs/>
                <w:color w:val="auto"/>
                <w:szCs w:val="21"/>
              </w:rPr>
              <w:t>1）与生态保护红线的相符性</w:t>
            </w:r>
          </w:p>
          <w:p>
            <w:pPr>
              <w:adjustRightInd w:val="0"/>
              <w:snapToGrid w:val="0"/>
              <w:spacing w:line="500" w:lineRule="exact"/>
              <w:ind w:firstLine="420" w:firstLineChars="200"/>
              <w:rPr>
                <w:rFonts w:hint="default" w:ascii="Times New Roman" w:hAnsi="Times New Roman" w:cs="Times New Roman"/>
                <w:bCs/>
                <w:color w:val="auto"/>
                <w:szCs w:val="21"/>
              </w:rPr>
            </w:pPr>
            <w:r>
              <w:rPr>
                <w:rFonts w:hint="default" w:ascii="Times New Roman" w:hAnsi="Times New Roman" w:cs="Times New Roman"/>
                <w:bCs/>
                <w:color w:val="auto"/>
                <w:szCs w:val="21"/>
              </w:rPr>
              <w:t>① 与国家级生态保护红线管理的相符性分析</w:t>
            </w:r>
          </w:p>
          <w:p>
            <w:pPr>
              <w:adjustRightInd w:val="0"/>
              <w:snapToGrid w:val="0"/>
              <w:spacing w:line="500" w:lineRule="exact"/>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根据《江苏省国家级生态保护红线规划》（苏政发〔2018〕74号）及《省政府关于调整取消部分集中式饮用水水源地保护区的通知》（苏政发〔2020〕82号），与本项目距离最近的国家级生态保护红线为长江如皋段刀鲚国家级水产种质资源保护区，</w:t>
            </w:r>
            <w:r>
              <w:rPr>
                <w:rFonts w:hint="eastAsia"/>
                <w:color w:val="000000" w:themeColor="text1"/>
                <w:szCs w:val="21"/>
                <w14:textFill>
                  <w14:solidFill>
                    <w14:schemeClr w14:val="tx1"/>
                  </w14:solidFill>
                </w14:textFill>
              </w:rPr>
              <w:t>本项目</w:t>
            </w:r>
            <w:r>
              <w:rPr>
                <w:color w:val="000000" w:themeColor="text1"/>
                <w:szCs w:val="21"/>
                <w14:textFill>
                  <w14:solidFill>
                    <w14:schemeClr w14:val="tx1"/>
                  </w14:solidFill>
                </w14:textFill>
              </w:rPr>
              <w:t>位于其北侧，距离约</w:t>
            </w:r>
            <w:r>
              <w:rPr>
                <w:rFonts w:hint="eastAsia"/>
                <w:color w:val="000000" w:themeColor="text1"/>
                <w:szCs w:val="21"/>
                <w:lang w:val="en-US" w:eastAsia="zh-CN"/>
                <w14:textFill>
                  <w14:solidFill>
                    <w14:schemeClr w14:val="tx1"/>
                  </w14:solidFill>
                </w14:textFill>
              </w:rPr>
              <w:t>4.85</w:t>
            </w:r>
            <w:r>
              <w:rPr>
                <w:color w:val="000000" w:themeColor="text1"/>
                <w:szCs w:val="21"/>
                <w14:textFill>
                  <w14:solidFill>
                    <w14:schemeClr w14:val="tx1"/>
                  </w14:solidFill>
                </w14:textFill>
              </w:rPr>
              <w:t>km，不在生态红线管控区范围内，符合《江苏省国家级生态保护红线规划》要求。</w:t>
            </w:r>
          </w:p>
          <w:p>
            <w:pPr>
              <w:adjustRightInd w:val="0"/>
              <w:snapToGrid w:val="0"/>
              <w:spacing w:line="500" w:lineRule="exact"/>
              <w:ind w:firstLine="420" w:firstLineChars="200"/>
              <w:rPr>
                <w:rFonts w:hint="default" w:ascii="Times New Roman" w:hAnsi="Times New Roman" w:cs="Times New Roman"/>
                <w:bCs/>
                <w:color w:val="auto"/>
                <w:szCs w:val="21"/>
              </w:rPr>
            </w:pPr>
            <w:r>
              <w:rPr>
                <w:rFonts w:hint="default" w:ascii="Times New Roman" w:hAnsi="Times New Roman" w:cs="Times New Roman"/>
                <w:bCs/>
                <w:color w:val="auto"/>
                <w:szCs w:val="21"/>
              </w:rPr>
              <w:t>② 与地方生态保护红线管理的相符性分析</w:t>
            </w:r>
          </w:p>
          <w:p>
            <w:pPr>
              <w:adjustRightInd w:val="0"/>
              <w:snapToGrid w:val="0"/>
              <w:spacing w:line="500" w:lineRule="exact"/>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根据《省政府关于印发江苏省生态空间管控区域规划的通知》（苏政发〔2020〕1号）及《如皋市生态空间管控区域调整方案》，如皋市境内距离本项目最近的生态管控区域为</w:t>
            </w:r>
            <w:r>
              <w:rPr>
                <w:rFonts w:hint="eastAsia"/>
                <w:color w:val="000000" w:themeColor="text1"/>
                <w:szCs w:val="21"/>
                <w:lang w:eastAsia="zh-CN"/>
                <w14:textFill>
                  <w14:solidFill>
                    <w14:schemeClr w14:val="tx1"/>
                  </w14:solidFill>
                </w14:textFill>
              </w:rPr>
              <w:t>焦港河（如皋市）</w:t>
            </w:r>
            <w:r>
              <w:rPr>
                <w:color w:val="000000" w:themeColor="text1"/>
                <w:szCs w:val="21"/>
                <w14:textFill>
                  <w14:solidFill>
                    <w14:schemeClr w14:val="tx1"/>
                  </w14:solidFill>
                </w14:textFill>
              </w:rPr>
              <w:t>清水</w:t>
            </w:r>
            <w:r>
              <w:rPr>
                <w:rFonts w:hint="eastAsia"/>
                <w:color w:val="000000" w:themeColor="text1"/>
                <w:szCs w:val="21"/>
                <w14:textFill>
                  <w14:solidFill>
                    <w14:schemeClr w14:val="tx1"/>
                  </w14:solidFill>
                </w14:textFill>
              </w:rPr>
              <w:t>维护通道</w:t>
            </w:r>
            <w:r>
              <w:rPr>
                <w:color w:val="000000" w:themeColor="text1"/>
                <w:szCs w:val="21"/>
                <w14:textFill>
                  <w14:solidFill>
                    <w14:schemeClr w14:val="tx1"/>
                  </w14:solidFill>
                </w14:textFill>
              </w:rPr>
              <w:t>区</w:t>
            </w:r>
            <w:r>
              <w:rPr>
                <w:rFonts w:hint="eastAsia"/>
                <w:color w:val="000000" w:themeColor="text1"/>
                <w:szCs w:val="21"/>
                <w14:textFill>
                  <w14:solidFill>
                    <w14:schemeClr w14:val="tx1"/>
                  </w14:solidFill>
                </w14:textFill>
              </w:rPr>
              <w:t>，本项目</w:t>
            </w:r>
            <w:r>
              <w:rPr>
                <w:color w:val="000000" w:themeColor="text1"/>
                <w:szCs w:val="21"/>
                <w14:textFill>
                  <w14:solidFill>
                    <w14:schemeClr w14:val="tx1"/>
                  </w14:solidFill>
                </w14:textFill>
              </w:rPr>
              <w:t>位于其</w:t>
            </w:r>
            <w:r>
              <w:rPr>
                <w:rFonts w:hint="eastAsia"/>
                <w:color w:val="000000" w:themeColor="text1"/>
                <w:szCs w:val="21"/>
                <w:lang w:eastAsia="zh-CN"/>
                <w14:textFill>
                  <w14:solidFill>
                    <w14:schemeClr w14:val="tx1"/>
                  </w14:solidFill>
                </w14:textFill>
              </w:rPr>
              <w:t>北</w:t>
            </w:r>
            <w:r>
              <w:rPr>
                <w:color w:val="000000" w:themeColor="text1"/>
                <w:szCs w:val="21"/>
                <w14:textFill>
                  <w14:solidFill>
                    <w14:schemeClr w14:val="tx1"/>
                  </w14:solidFill>
                </w14:textFill>
              </w:rPr>
              <w:t>侧</w:t>
            </w:r>
            <w:r>
              <w:rPr>
                <w:rFonts w:hint="eastAsia"/>
                <w:color w:val="000000" w:themeColor="text1"/>
                <w:szCs w:val="21"/>
                <w14:textFill>
                  <w14:solidFill>
                    <w14:schemeClr w14:val="tx1"/>
                  </w14:solidFill>
                </w14:textFill>
              </w:rPr>
              <w:t>，距离约为</w:t>
            </w:r>
            <w:r>
              <w:rPr>
                <w:rFonts w:hint="eastAsia"/>
                <w:color w:val="000000" w:themeColor="text1"/>
                <w:szCs w:val="21"/>
                <w:lang w:val="en-US" w:eastAsia="zh-CN"/>
                <w14:textFill>
                  <w14:solidFill>
                    <w14:schemeClr w14:val="tx1"/>
                  </w14:solidFill>
                </w14:textFill>
              </w:rPr>
              <w:t>6.5k</w:t>
            </w:r>
            <w:r>
              <w:rPr>
                <w:rFonts w:hint="eastAsia"/>
                <w:color w:val="000000" w:themeColor="text1"/>
                <w:szCs w:val="21"/>
                <w14:textFill>
                  <w14:solidFill>
                    <w14:schemeClr w14:val="tx1"/>
                  </w14:solidFill>
                </w14:textFill>
              </w:rPr>
              <w:t>m，不在生态管控区范围内</w:t>
            </w:r>
            <w:r>
              <w:rPr>
                <w:color w:val="000000" w:themeColor="text1"/>
                <w:szCs w:val="21"/>
                <w14:textFill>
                  <w14:solidFill>
                    <w14:schemeClr w14:val="tx1"/>
                  </w14:solidFill>
                </w14:textFill>
              </w:rPr>
              <w:t>。</w:t>
            </w:r>
          </w:p>
          <w:p>
            <w:pPr>
              <w:adjustRightInd w:val="0"/>
              <w:snapToGrid w:val="0"/>
              <w:spacing w:line="500" w:lineRule="exact"/>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因此，本项目评价范围不涉及</w:t>
            </w:r>
            <w:r>
              <w:rPr>
                <w:rFonts w:hint="eastAsia"/>
                <w:color w:val="000000" w:themeColor="text1"/>
                <w:szCs w:val="21"/>
                <w:lang w:eastAsia="zh-CN"/>
                <w14:textFill>
                  <w14:solidFill>
                    <w14:schemeClr w14:val="tx1"/>
                  </w14:solidFill>
                </w14:textFill>
              </w:rPr>
              <w:t>生态保护红线</w:t>
            </w:r>
            <w:r>
              <w:rPr>
                <w:color w:val="000000" w:themeColor="text1"/>
                <w:szCs w:val="21"/>
                <w14:textFill>
                  <w14:solidFill>
                    <w14:schemeClr w14:val="tx1"/>
                  </w14:solidFill>
                </w14:textFill>
              </w:rPr>
              <w:t>区域</w:t>
            </w:r>
            <w:r>
              <w:rPr>
                <w:rFonts w:hint="eastAsia"/>
                <w:color w:val="000000" w:themeColor="text1"/>
                <w:szCs w:val="21"/>
                <w:lang w:val="en-US" w:eastAsia="zh-CN"/>
                <w14:textFill>
                  <w14:solidFill>
                    <w14:schemeClr w14:val="tx1"/>
                  </w14:solidFill>
                </w14:textFill>
              </w:rPr>
              <w:t>和生态空间管控区</w:t>
            </w:r>
            <w:r>
              <w:rPr>
                <w:color w:val="000000" w:themeColor="text1"/>
                <w:szCs w:val="21"/>
                <w14:textFill>
                  <w14:solidFill>
                    <w14:schemeClr w14:val="tx1"/>
                  </w14:solidFill>
                </w14:textFill>
              </w:rPr>
              <w:t>，不会导致生态红线区域生态服务功能下降。本项目符合江苏省生态红线区域保护规划。</w:t>
            </w:r>
          </w:p>
          <w:p>
            <w:pPr>
              <w:adjustRightInd w:val="0"/>
              <w:snapToGrid w:val="0"/>
              <w:spacing w:line="500" w:lineRule="exact"/>
              <w:ind w:firstLine="420" w:firstLineChars="200"/>
            </w:pPr>
            <w:r>
              <w:t>③ 与“三线一单”生</w:t>
            </w:r>
            <w:bookmarkStart w:id="2" w:name="OLE_LINK2"/>
            <w:r>
              <w:t>态环境分区管控实施方案</w:t>
            </w:r>
            <w:bookmarkEnd w:id="2"/>
            <w:r>
              <w:t>的相符性分析</w:t>
            </w:r>
          </w:p>
          <w:p>
            <w:pPr>
              <w:adjustRightInd w:val="0"/>
              <w:snapToGrid w:val="0"/>
              <w:spacing w:line="500" w:lineRule="exact"/>
              <w:ind w:firstLine="420"/>
              <w:rPr>
                <w:b/>
                <w:bCs/>
              </w:rPr>
            </w:pPr>
            <w:r>
              <w:rPr>
                <w:rFonts w:hint="eastAsia" w:ascii="Times New Roman" w:hAnsi="Times New Roman" w:eastAsia="宋体" w:cs="Times New Roman"/>
                <w:bCs/>
                <w:color w:val="auto"/>
                <w:szCs w:val="21"/>
                <w:lang w:eastAsia="zh-CN"/>
              </w:rPr>
              <w:t>对照</w:t>
            </w:r>
            <w:r>
              <w:rPr>
                <w:rFonts w:hint="eastAsia" w:ascii="Times New Roman" w:hAnsi="Times New Roman" w:eastAsia="宋体" w:cs="Times New Roman"/>
                <w:bCs/>
                <w:color w:val="auto"/>
                <w:szCs w:val="21"/>
              </w:rPr>
              <w:t>《江苏省2023年度生态环境分区管控动态更新成果》（2024年6月13日）</w:t>
            </w:r>
            <w:r>
              <w:rPr>
                <w:rFonts w:hint="eastAsia" w:ascii="Times New Roman" w:hAnsi="Times New Roman" w:eastAsia="宋体" w:cs="Times New Roman"/>
                <w:bCs/>
                <w:color w:val="auto"/>
                <w:szCs w:val="21"/>
                <w:lang w:eastAsia="zh-CN"/>
              </w:rPr>
              <w:t>，</w:t>
            </w:r>
            <w:r>
              <w:rPr>
                <w:rFonts w:hint="eastAsia" w:ascii="Times New Roman" w:hAnsi="Times New Roman" w:eastAsia="宋体" w:cs="Times New Roman"/>
                <w:bCs/>
                <w:color w:val="auto"/>
                <w:szCs w:val="21"/>
              </w:rPr>
              <w:t>本项目位于</w:t>
            </w:r>
            <w:r>
              <w:rPr>
                <w:rFonts w:hint="eastAsia" w:ascii="Times New Roman" w:hAnsi="Times New Roman" w:eastAsia="宋体" w:cs="Times New Roman"/>
                <w:bCs/>
                <w:color w:val="auto"/>
                <w:szCs w:val="21"/>
                <w:lang w:val="en-US" w:eastAsia="zh-CN"/>
              </w:rPr>
              <w:t>如皋市长江镇创业路8号</w:t>
            </w:r>
            <w:r>
              <w:rPr>
                <w:rFonts w:hint="eastAsia" w:ascii="Times New Roman" w:hAnsi="Times New Roman" w:eastAsia="宋体" w:cs="Times New Roman"/>
                <w:bCs/>
                <w:color w:val="auto"/>
                <w:szCs w:val="21"/>
              </w:rPr>
              <w:t>，</w:t>
            </w:r>
            <w:r>
              <w:rPr>
                <w:rFonts w:hint="eastAsia" w:ascii="Times New Roman" w:hAnsi="Times New Roman" w:eastAsia="宋体" w:cs="Times New Roman"/>
                <w:bCs/>
                <w:color w:val="auto"/>
                <w:szCs w:val="21"/>
                <w:lang w:val="en-US" w:eastAsia="zh-CN"/>
              </w:rPr>
              <w:t>属于</w:t>
            </w:r>
            <w:r>
              <w:rPr>
                <w:rFonts w:hint="default" w:ascii="Times New Roman" w:hAnsi="Times New Roman" w:cs="Times New Roman"/>
                <w:color w:val="auto"/>
                <w:kern w:val="0"/>
                <w:szCs w:val="21"/>
                <w:lang w:eastAsia="zh-CN" w:bidi="ar"/>
              </w:rPr>
              <w:t>如皋港工业园区</w:t>
            </w:r>
            <w:r>
              <w:rPr>
                <w:rFonts w:hint="eastAsia" w:ascii="Times New Roman" w:hAnsi="Times New Roman" w:eastAsia="宋体" w:cs="Times New Roman"/>
                <w:bCs/>
                <w:color w:val="auto"/>
                <w:szCs w:val="21"/>
                <w:lang w:val="en-US" w:eastAsia="zh-CN"/>
              </w:rPr>
              <w:t>，</w:t>
            </w:r>
            <w:r>
              <w:rPr>
                <w:rFonts w:hint="eastAsia" w:ascii="Times New Roman" w:hAnsi="Times New Roman" w:eastAsia="宋体" w:cs="Times New Roman"/>
                <w:bCs/>
                <w:color w:val="auto"/>
                <w:szCs w:val="21"/>
              </w:rPr>
              <w:t>属于重点管控区域</w:t>
            </w:r>
            <w:r>
              <w:rPr>
                <w:rFonts w:hint="eastAsia" w:ascii="Times New Roman" w:hAnsi="Times New Roman" w:eastAsia="宋体" w:cs="Times New Roman"/>
                <w:bCs/>
                <w:color w:val="auto"/>
                <w:szCs w:val="21"/>
                <w:lang w:eastAsia="zh-CN"/>
              </w:rPr>
              <w:t>，</w:t>
            </w:r>
            <w:r>
              <w:rPr>
                <w:rFonts w:hint="eastAsia" w:ascii="Times New Roman" w:hAnsi="Times New Roman" w:eastAsia="宋体" w:cs="Times New Roman"/>
                <w:bCs/>
                <w:color w:val="auto"/>
                <w:szCs w:val="21"/>
                <w:lang w:val="en-US" w:eastAsia="zh-CN"/>
              </w:rPr>
              <w:t>本项目</w:t>
            </w:r>
            <w:r>
              <w:rPr>
                <w:rFonts w:hint="eastAsia" w:ascii="Times New Roman" w:hAnsi="Times New Roman" w:eastAsia="宋体" w:cs="Times New Roman"/>
                <w:bCs/>
                <w:color w:val="auto"/>
                <w:szCs w:val="21"/>
              </w:rPr>
              <w:t>与其相符性分析</w:t>
            </w:r>
            <w:r>
              <w:rPr>
                <w:rFonts w:hint="default" w:ascii="Times New Roman" w:hAnsi="Times New Roman" w:cs="Times New Roman"/>
                <w:bCs/>
                <w:color w:val="auto"/>
                <w:szCs w:val="21"/>
              </w:rPr>
              <w:t>具体</w:t>
            </w:r>
            <w:r>
              <w:rPr>
                <w:rFonts w:hint="eastAsia" w:ascii="Times New Roman" w:hAnsi="Times New Roman" w:cs="Times New Roman"/>
                <w:bCs/>
                <w:color w:val="auto"/>
                <w:szCs w:val="21"/>
                <w:lang w:eastAsia="zh-CN"/>
              </w:rPr>
              <w:t>见</w:t>
            </w:r>
            <w:r>
              <w:rPr>
                <w:rFonts w:hint="default" w:ascii="Times New Roman" w:hAnsi="Times New Roman" w:cs="Times New Roman"/>
                <w:bCs/>
                <w:color w:val="auto"/>
                <w:szCs w:val="21"/>
              </w:rPr>
              <w:t>下表。</w:t>
            </w:r>
          </w:p>
          <w:p>
            <w:pPr>
              <w:pStyle w:val="31"/>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b/>
                <w:bCs w:val="0"/>
                <w:color w:val="auto"/>
                <w:spacing w:val="0"/>
                <w:kern w:val="2"/>
                <w:sz w:val="21"/>
                <w:szCs w:val="21"/>
                <w:lang w:val="en-US" w:eastAsia="zh-CN" w:bidi="ar-SA"/>
              </w:rPr>
            </w:pPr>
            <w:r>
              <w:rPr>
                <w:rFonts w:hint="default" w:ascii="Times New Roman" w:hAnsi="Times New Roman" w:eastAsia="宋体" w:cs="Times New Roman"/>
                <w:b/>
                <w:bCs w:val="0"/>
                <w:color w:val="auto"/>
                <w:spacing w:val="0"/>
                <w:kern w:val="2"/>
                <w:sz w:val="21"/>
                <w:szCs w:val="21"/>
                <w:lang w:val="en-US" w:eastAsia="zh-CN" w:bidi="ar-SA"/>
              </w:rPr>
              <w:t>表1-</w:t>
            </w:r>
            <w:r>
              <w:rPr>
                <w:rFonts w:hint="eastAsia" w:ascii="Times New Roman" w:hAnsi="Times New Roman" w:eastAsia="宋体" w:cs="Times New Roman"/>
                <w:b/>
                <w:bCs w:val="0"/>
                <w:color w:val="auto"/>
                <w:spacing w:val="0"/>
                <w:kern w:val="2"/>
                <w:sz w:val="21"/>
                <w:szCs w:val="21"/>
                <w:lang w:val="en-US" w:eastAsia="zh-CN" w:bidi="ar-SA"/>
              </w:rPr>
              <w:t>5</w:t>
            </w:r>
            <w:r>
              <w:rPr>
                <w:rFonts w:hint="default" w:ascii="Times New Roman" w:hAnsi="Times New Roman" w:eastAsia="宋体" w:cs="Times New Roman"/>
                <w:b/>
                <w:bCs w:val="0"/>
                <w:color w:val="auto"/>
                <w:spacing w:val="0"/>
                <w:kern w:val="2"/>
                <w:sz w:val="21"/>
                <w:szCs w:val="21"/>
                <w:lang w:val="en-US" w:eastAsia="zh-CN" w:bidi="ar-SA"/>
              </w:rPr>
              <w:t xml:space="preserve">  与江苏省2023年度生态环境分区管控动态更新成果</w:t>
            </w:r>
          </w:p>
          <w:tbl>
            <w:tblPr>
              <w:tblStyle w:val="21"/>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28"/>
              <w:gridCol w:w="3961"/>
              <w:gridCol w:w="1920"/>
              <w:gridCol w:w="5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1" w:hRule="atLeast"/>
                <w:tblHeader/>
                <w:jc w:val="center"/>
              </w:trPr>
              <w:tc>
                <w:tcPr>
                  <w:tcW w:w="447"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both"/>
                    <w:textAlignment w:val="auto"/>
                    <w:rPr>
                      <w:rFonts w:hint="default" w:ascii="Times New Roman" w:hAnsi="Times New Roman" w:eastAsia="宋体" w:cs="Times New Roman"/>
                      <w:b/>
                      <w:bCs/>
                      <w:color w:val="auto"/>
                      <w:sz w:val="18"/>
                      <w:szCs w:val="18"/>
                      <w:lang w:val="en-US" w:eastAsia="zh-CN"/>
                    </w:rPr>
                  </w:pPr>
                  <w:r>
                    <w:rPr>
                      <w:rFonts w:hint="eastAsia" w:ascii="Times New Roman" w:hAnsi="Times New Roman" w:eastAsia="宋体" w:cs="Times New Roman"/>
                      <w:b/>
                      <w:bCs/>
                      <w:color w:val="auto"/>
                      <w:sz w:val="18"/>
                      <w:szCs w:val="18"/>
                      <w:lang w:val="en-US" w:eastAsia="zh-CN"/>
                    </w:rPr>
                    <w:t>管控类别</w:t>
                  </w:r>
                </w:p>
              </w:tc>
              <w:tc>
                <w:tcPr>
                  <w:tcW w:w="2818"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cs="Times New Roman"/>
                      <w:b/>
                      <w:bCs/>
                      <w:color w:val="auto"/>
                      <w:sz w:val="18"/>
                      <w:szCs w:val="18"/>
                    </w:rPr>
                  </w:pPr>
                  <w:r>
                    <w:rPr>
                      <w:rFonts w:hint="eastAsia" w:ascii="Times New Roman" w:hAnsi="Times New Roman" w:cs="Times New Roman"/>
                      <w:b/>
                      <w:bCs/>
                      <w:color w:val="auto"/>
                      <w:sz w:val="18"/>
                      <w:szCs w:val="18"/>
                      <w:lang w:eastAsia="zh-CN"/>
                    </w:rPr>
                    <w:t>重点管控</w:t>
                  </w:r>
                  <w:r>
                    <w:rPr>
                      <w:rFonts w:hint="default" w:ascii="Times New Roman" w:hAnsi="Times New Roman" w:cs="Times New Roman"/>
                      <w:b/>
                      <w:bCs/>
                      <w:color w:val="auto"/>
                      <w:sz w:val="18"/>
                      <w:szCs w:val="18"/>
                    </w:rPr>
                    <w:t>要求</w:t>
                  </w:r>
                </w:p>
              </w:tc>
              <w:tc>
                <w:tcPr>
                  <w:tcW w:w="1366"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本项目情况</w:t>
                  </w:r>
                </w:p>
              </w:tc>
              <w:tc>
                <w:tcPr>
                  <w:tcW w:w="367"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37" w:hRule="atLeast"/>
                <w:jc w:val="center"/>
              </w:trPr>
              <w:tc>
                <w:tcPr>
                  <w:tcW w:w="447"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空间</w:t>
                  </w:r>
                </w:p>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布局</w:t>
                  </w:r>
                </w:p>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约束</w:t>
                  </w:r>
                </w:p>
              </w:tc>
              <w:tc>
                <w:tcPr>
                  <w:tcW w:w="2818" w:type="pct"/>
                  <w:noWrap w:val="0"/>
                  <w:vAlign w:val="center"/>
                </w:tcPr>
                <w:p>
                  <w:pPr>
                    <w:keepNext w:val="0"/>
                    <w:keepLines w:val="0"/>
                    <w:pageBreakBefore w:val="0"/>
                    <w:widowControl w:val="0"/>
                    <w:numPr>
                      <w:ilvl w:val="0"/>
                      <w:numId w:val="6"/>
                    </w:numPr>
                    <w:kinsoku/>
                    <w:wordWrap/>
                    <w:overflowPunct/>
                    <w:topLinePunct w:val="0"/>
                    <w:autoSpaceDE/>
                    <w:autoSpaceDN/>
                    <w:bidi w:val="0"/>
                    <w:adjustRightInd w:val="0"/>
                    <w:snapToGrid w:val="0"/>
                    <w:spacing w:beforeAutospacing="0" w:afterAutospacing="0" w:line="240" w:lineRule="auto"/>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重点发展高端新材料、智能装备制造和现代物流“2+1”产业发展体系，其中高端新材料重点发展前沿新材料，智能装备制造业大力发展智能设备、汽车零部件和电子信息三大领域。同时结合产业发展需求和城市副中心定位，配套发展科技服务、电子商务等生产性服务业与商贸服务、全域旅游等生活性服务业。</w:t>
                  </w:r>
                </w:p>
                <w:p>
                  <w:pPr>
                    <w:keepNext w:val="0"/>
                    <w:keepLines w:val="0"/>
                    <w:pageBreakBefore w:val="0"/>
                    <w:widowControl w:val="0"/>
                    <w:numPr>
                      <w:ilvl w:val="0"/>
                      <w:numId w:val="6"/>
                    </w:numPr>
                    <w:kinsoku/>
                    <w:wordWrap/>
                    <w:overflowPunct/>
                    <w:topLinePunct w:val="0"/>
                    <w:autoSpaceDE/>
                    <w:autoSpaceDN/>
                    <w:bidi w:val="0"/>
                    <w:adjustRightInd w:val="0"/>
                    <w:snapToGrid w:val="0"/>
                    <w:spacing w:beforeAutospacing="0" w:afterAutospacing="0" w:line="240" w:lineRule="auto"/>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禁止引进钢铁、石化、化工、医药、焦化、有色、化学制浆造纸、制革、染料、印染项目。LED光电禁止引入使用液态汞和手动注汞的荧光灯制造项目。禁止引入纯电镀项目，因产业链需求，必须配套涉及电镀（含阳极氧化）工艺的，不允许对外承接电镀业务</w:t>
                  </w:r>
                  <w:r>
                    <w:rPr>
                      <w:rFonts w:hint="eastAsia" w:ascii="Times New Roman" w:hAnsi="Times New Roman" w:cs="Times New Roman"/>
                      <w:color w:val="auto"/>
                      <w:sz w:val="18"/>
                      <w:szCs w:val="18"/>
                      <w:lang w:eastAsia="zh-CN"/>
                    </w:rPr>
                    <w:t>。</w:t>
                  </w:r>
                </w:p>
                <w:p>
                  <w:pPr>
                    <w:keepNext w:val="0"/>
                    <w:keepLines w:val="0"/>
                    <w:pageBreakBefore w:val="0"/>
                    <w:widowControl w:val="0"/>
                    <w:numPr>
                      <w:ilvl w:val="0"/>
                      <w:numId w:val="6"/>
                    </w:numPr>
                    <w:kinsoku/>
                    <w:wordWrap/>
                    <w:overflowPunct/>
                    <w:topLinePunct w:val="0"/>
                    <w:autoSpaceDE/>
                    <w:autoSpaceDN/>
                    <w:bidi w:val="0"/>
                    <w:adjustRightInd w:val="0"/>
                    <w:snapToGrid w:val="0"/>
                    <w:spacing w:beforeAutospacing="0" w:afterAutospacing="0" w:line="240" w:lineRule="auto"/>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限制引入：烟粉尘、二氧化硫、氮氧化物排放量大的企业；废水排放量大、且没有合理可行废水回用或处置途径的项目。</w:t>
                  </w:r>
                </w:p>
              </w:tc>
              <w:tc>
                <w:tcPr>
                  <w:tcW w:w="1366"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黑体" w:cs="Times New Roman"/>
                      <w:color w:val="auto"/>
                      <w:lang w:val="en-US" w:eastAsia="zh-CN"/>
                    </w:rPr>
                  </w:pPr>
                  <w:r>
                    <w:rPr>
                      <w:rFonts w:hint="default" w:ascii="Times New Roman" w:hAnsi="Times New Roman" w:eastAsia="宋体" w:cs="Times New Roman"/>
                      <w:color w:val="auto"/>
                      <w:sz w:val="18"/>
                      <w:szCs w:val="18"/>
                      <w:lang w:val="en-US" w:eastAsia="zh-CN"/>
                    </w:rPr>
                    <w:t>本项目属于</w:t>
                  </w:r>
                  <w:r>
                    <w:rPr>
                      <w:rFonts w:hint="eastAsia" w:ascii="Times New Roman" w:hAnsi="Times New Roman" w:eastAsia="宋体" w:cs="Times New Roman"/>
                      <w:color w:val="auto"/>
                      <w:sz w:val="18"/>
                      <w:szCs w:val="18"/>
                      <w:lang w:val="en-US" w:eastAsia="zh-CN"/>
                    </w:rPr>
                    <w:t>【C3393】锻件及粉末冶金制品制造</w:t>
                  </w:r>
                  <w:r>
                    <w:rPr>
                      <w:rFonts w:hint="default" w:ascii="Times New Roman" w:hAnsi="Times New Roman" w:eastAsia="宋体" w:cs="Times New Roman"/>
                      <w:color w:val="auto"/>
                      <w:sz w:val="18"/>
                      <w:szCs w:val="18"/>
                      <w:lang w:val="en-US" w:eastAsia="zh-CN"/>
                    </w:rPr>
                    <w:t>，</w:t>
                  </w:r>
                  <w:r>
                    <w:rPr>
                      <w:rFonts w:hint="eastAsia" w:ascii="Times New Roman" w:hAnsi="Times New Roman" w:eastAsia="宋体" w:cs="Times New Roman"/>
                      <w:color w:val="auto"/>
                      <w:sz w:val="18"/>
                      <w:szCs w:val="18"/>
                      <w:lang w:val="en-US" w:eastAsia="zh-CN"/>
                    </w:rPr>
                    <w:t>使用的清洁能源，不属于</w:t>
                  </w:r>
                  <w:r>
                    <w:rPr>
                      <w:rFonts w:hint="default" w:ascii="Times New Roman" w:hAnsi="Times New Roman" w:eastAsia="宋体" w:cs="Times New Roman"/>
                      <w:color w:val="auto"/>
                      <w:sz w:val="18"/>
                      <w:szCs w:val="18"/>
                      <w:lang w:eastAsia="zh-CN"/>
                    </w:rPr>
                    <w:t>钢铁、石化、化工、</w:t>
                  </w:r>
                  <w:r>
                    <w:rPr>
                      <w:rFonts w:hint="default" w:ascii="Times New Roman" w:hAnsi="Times New Roman" w:cs="Times New Roman"/>
                      <w:color w:val="auto"/>
                      <w:sz w:val="18"/>
                      <w:szCs w:val="18"/>
                    </w:rPr>
                    <w:t>医药、焦化、有色、化学制浆造纸、制革、染料、印染</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纯电镀项目</w:t>
                  </w:r>
                  <w:r>
                    <w:rPr>
                      <w:rFonts w:hint="eastAsia" w:ascii="Times New Roman" w:hAnsi="Times New Roman" w:cs="Times New Roman"/>
                      <w:color w:val="auto"/>
                      <w:sz w:val="18"/>
                      <w:szCs w:val="18"/>
                      <w:lang w:eastAsia="zh-CN"/>
                    </w:rPr>
                    <w:t>，废气、废水可实现达标排放和安全处置</w:t>
                  </w:r>
                  <w:r>
                    <w:rPr>
                      <w:rFonts w:hint="default" w:ascii="Times New Roman" w:hAnsi="Times New Roman" w:eastAsia="宋体" w:cs="Times New Roman"/>
                      <w:color w:val="auto"/>
                      <w:sz w:val="18"/>
                      <w:szCs w:val="18"/>
                      <w:lang w:val="en-US" w:eastAsia="zh-CN"/>
                    </w:rPr>
                    <w:t>。</w:t>
                  </w:r>
                </w:p>
              </w:tc>
              <w:tc>
                <w:tcPr>
                  <w:tcW w:w="367"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7"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w:t>
                  </w:r>
                </w:p>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物排</w:t>
                  </w:r>
                </w:p>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放管</w:t>
                  </w:r>
                </w:p>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控</w:t>
                  </w:r>
                </w:p>
              </w:tc>
              <w:tc>
                <w:tcPr>
                  <w:tcW w:w="2818" w:type="pct"/>
                  <w:noWrap w:val="0"/>
                  <w:vAlign w:val="center"/>
                </w:tcPr>
                <w:p>
                  <w:pPr>
                    <w:keepNext w:val="0"/>
                    <w:keepLines w:val="0"/>
                    <w:pageBreakBefore w:val="0"/>
                    <w:widowControl w:val="0"/>
                    <w:numPr>
                      <w:ilvl w:val="0"/>
                      <w:numId w:val="7"/>
                    </w:numPr>
                    <w:kinsoku/>
                    <w:wordWrap/>
                    <w:overflowPunct/>
                    <w:topLinePunct w:val="0"/>
                    <w:autoSpaceDE/>
                    <w:autoSpaceDN/>
                    <w:bidi w:val="0"/>
                    <w:adjustRightInd w:val="0"/>
                    <w:snapToGrid w:val="0"/>
                    <w:spacing w:beforeAutospacing="0" w:afterAutospacing="0" w:line="240" w:lineRule="auto"/>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水环境污染物排放量：化学需氧量、氨氮、总氮、总磷分别不得超过：774.42吨/年、123.9吨/年、232.33吨/年、7.74吨/年。</w:t>
                  </w:r>
                </w:p>
                <w:p>
                  <w:pPr>
                    <w:keepNext w:val="0"/>
                    <w:keepLines w:val="0"/>
                    <w:pageBreakBefore w:val="0"/>
                    <w:widowControl w:val="0"/>
                    <w:numPr>
                      <w:ilvl w:val="0"/>
                      <w:numId w:val="7"/>
                    </w:numPr>
                    <w:kinsoku/>
                    <w:wordWrap/>
                    <w:overflowPunct/>
                    <w:topLinePunct w:val="0"/>
                    <w:autoSpaceDE/>
                    <w:autoSpaceDN/>
                    <w:bidi w:val="0"/>
                    <w:adjustRightInd w:val="0"/>
                    <w:snapToGrid w:val="0"/>
                    <w:spacing w:beforeAutospacing="0" w:afterAutospacing="0" w:line="240" w:lineRule="auto"/>
                    <w:ind w:left="0" w:leftChars="0" w:firstLine="0" w:firstLineChars="0"/>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大气污染物排放量：二氧化硫、氮氧化物、颗粒物、挥发性有机物排放量分别不得超过193.90吨/年、329.36吨/年、269.98吨/年、269.29吨/年。</w:t>
                  </w:r>
                </w:p>
                <w:p>
                  <w:pPr>
                    <w:keepNext w:val="0"/>
                    <w:keepLines w:val="0"/>
                    <w:pageBreakBefore w:val="0"/>
                    <w:widowControl w:val="0"/>
                    <w:numPr>
                      <w:ilvl w:val="0"/>
                      <w:numId w:val="7"/>
                    </w:numPr>
                    <w:kinsoku/>
                    <w:wordWrap/>
                    <w:overflowPunct/>
                    <w:topLinePunct w:val="0"/>
                    <w:autoSpaceDE/>
                    <w:autoSpaceDN/>
                    <w:bidi w:val="0"/>
                    <w:adjustRightInd w:val="0"/>
                    <w:snapToGrid w:val="0"/>
                    <w:spacing w:beforeAutospacing="0" w:afterAutospacing="0" w:line="240" w:lineRule="auto"/>
                    <w:ind w:left="0" w:leftChars="0" w:firstLine="0" w:firstLineChars="0"/>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区内废水一类污染物不得外排。</w:t>
                  </w:r>
                </w:p>
              </w:tc>
              <w:tc>
                <w:tcPr>
                  <w:tcW w:w="1366" w:type="pct"/>
                  <w:noWrap w:val="0"/>
                  <w:vAlign w:val="center"/>
                </w:tcPr>
                <w:p>
                  <w:pPr>
                    <w:pStyle w:val="3"/>
                    <w:keepNext w:val="0"/>
                    <w:keepLines w:val="0"/>
                    <w:pageBreakBefore w:val="0"/>
                    <w:widowControl w:val="0"/>
                    <w:kinsoku/>
                    <w:wordWrap/>
                    <w:overflowPunct/>
                    <w:topLinePunct w:val="0"/>
                    <w:autoSpaceDE/>
                    <w:autoSpaceDN/>
                    <w:bidi w:val="0"/>
                    <w:spacing w:before="0" w:beforeAutospacing="0" w:after="0" w:afterAutospacing="0" w:line="240" w:lineRule="auto"/>
                    <w:jc w:val="center"/>
                    <w:textAlignment w:val="auto"/>
                    <w:rPr>
                      <w:rFonts w:hint="default" w:ascii="Times New Roman" w:hAnsi="Times New Roman" w:eastAsia="宋体" w:cs="Times New Roman"/>
                      <w:b w:val="0"/>
                      <w:bCs w:val="0"/>
                      <w:snapToGrid w:val="0"/>
                      <w:color w:val="auto"/>
                      <w:kern w:val="0"/>
                      <w:sz w:val="18"/>
                      <w:szCs w:val="18"/>
                      <w:lang w:val="en-US" w:eastAsia="zh-CN" w:bidi="ar-SA"/>
                    </w:rPr>
                  </w:pPr>
                  <w:r>
                    <w:rPr>
                      <w:rFonts w:hint="default" w:ascii="Times New Roman" w:hAnsi="Times New Roman" w:eastAsia="宋体" w:cs="Times New Roman"/>
                      <w:b w:val="0"/>
                      <w:bCs w:val="0"/>
                      <w:color w:val="auto"/>
                      <w:kern w:val="2"/>
                      <w:sz w:val="18"/>
                      <w:szCs w:val="18"/>
                      <w:lang w:val="en-US" w:eastAsia="zh-CN" w:bidi="ar-SA"/>
                    </w:rPr>
                    <w:t>本项目废气及废水污染物均实行总量控制，本项目建设不突破生态环境承载力。</w:t>
                  </w:r>
                </w:p>
              </w:tc>
              <w:tc>
                <w:tcPr>
                  <w:tcW w:w="367"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22" w:hRule="atLeast"/>
                <w:jc w:val="center"/>
              </w:trPr>
              <w:tc>
                <w:tcPr>
                  <w:tcW w:w="447"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环境</w:t>
                  </w:r>
                </w:p>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风险</w:t>
                  </w:r>
                </w:p>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防控</w:t>
                  </w:r>
                </w:p>
              </w:tc>
              <w:tc>
                <w:tcPr>
                  <w:tcW w:w="2818" w:type="pct"/>
                  <w:noWrap w:val="0"/>
                  <w:vAlign w:val="center"/>
                </w:tcPr>
                <w:p>
                  <w:pPr>
                    <w:keepNext w:val="0"/>
                    <w:keepLines w:val="0"/>
                    <w:pageBreakBefore w:val="0"/>
                    <w:widowControl w:val="0"/>
                    <w:numPr>
                      <w:ilvl w:val="0"/>
                      <w:numId w:val="8"/>
                    </w:numPr>
                    <w:kinsoku/>
                    <w:wordWrap/>
                    <w:overflowPunct/>
                    <w:topLinePunct w:val="0"/>
                    <w:autoSpaceDE/>
                    <w:autoSpaceDN/>
                    <w:bidi w:val="0"/>
                    <w:adjustRightInd w:val="0"/>
                    <w:snapToGrid w:val="0"/>
                    <w:spacing w:beforeAutospacing="0" w:afterAutospacing="0" w:line="240" w:lineRule="auto"/>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建立健全区域风险防范体系和生态安全保障系统，园区和企业按要求制定并落实突发环境事件应急预案。</w:t>
                  </w:r>
                </w:p>
                <w:p>
                  <w:pPr>
                    <w:keepNext w:val="0"/>
                    <w:keepLines w:val="0"/>
                    <w:pageBreakBefore w:val="0"/>
                    <w:widowControl w:val="0"/>
                    <w:numPr>
                      <w:ilvl w:val="0"/>
                      <w:numId w:val="8"/>
                    </w:numPr>
                    <w:kinsoku/>
                    <w:wordWrap/>
                    <w:overflowPunct/>
                    <w:topLinePunct w:val="0"/>
                    <w:autoSpaceDE/>
                    <w:autoSpaceDN/>
                    <w:bidi w:val="0"/>
                    <w:adjustRightInd w:val="0"/>
                    <w:snapToGrid w:val="0"/>
                    <w:spacing w:beforeAutospacing="0" w:afterAutospacing="0" w:line="240" w:lineRule="auto"/>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近国家级生态保护红线、江苏省生态空间管控区的工业用地，加强入区企业跑、冒、 滴、漏管理，设置符合规范的事故应急池， 确保企业废水不排入上述敏感区域。</w:t>
                  </w:r>
                </w:p>
              </w:tc>
              <w:tc>
                <w:tcPr>
                  <w:tcW w:w="1366" w:type="pct"/>
                  <w:noWrap w:val="0"/>
                  <w:vAlign w:val="center"/>
                </w:tcPr>
                <w:p>
                  <w:pPr>
                    <w:pStyle w:val="3"/>
                    <w:keepNext w:val="0"/>
                    <w:keepLines w:val="0"/>
                    <w:pageBreakBefore w:val="0"/>
                    <w:widowControl w:val="0"/>
                    <w:kinsoku/>
                    <w:wordWrap/>
                    <w:overflowPunct/>
                    <w:topLinePunct w:val="0"/>
                    <w:autoSpaceDE/>
                    <w:autoSpaceDN/>
                    <w:bidi w:val="0"/>
                    <w:spacing w:before="0" w:beforeAutospacing="0" w:after="0" w:afterAutospacing="0" w:line="240" w:lineRule="auto"/>
                    <w:jc w:val="center"/>
                    <w:textAlignment w:val="auto"/>
                    <w:rPr>
                      <w:rFonts w:hint="default" w:ascii="Times New Roman" w:hAnsi="Times New Roman" w:eastAsia="宋体" w:cs="Times New Roman"/>
                      <w:b w:val="0"/>
                      <w:bCs w:val="0"/>
                      <w:snapToGrid w:val="0"/>
                      <w:color w:val="auto"/>
                      <w:kern w:val="0"/>
                      <w:sz w:val="18"/>
                      <w:szCs w:val="18"/>
                      <w:lang w:val="en-US" w:eastAsia="zh-CN" w:bidi="ar-SA"/>
                    </w:rPr>
                  </w:pPr>
                  <w:r>
                    <w:rPr>
                      <w:rFonts w:hint="default" w:ascii="Times New Roman" w:hAnsi="Times New Roman" w:eastAsia="宋体" w:cs="Times New Roman"/>
                      <w:b w:val="0"/>
                      <w:bCs w:val="0"/>
                      <w:color w:val="auto"/>
                      <w:kern w:val="2"/>
                      <w:sz w:val="18"/>
                      <w:szCs w:val="18"/>
                      <w:lang w:val="en-US" w:eastAsia="zh-CN" w:bidi="ar-SA"/>
                    </w:rPr>
                    <w:t>项目建成后编制详细的风险防范措施，并根据有关规定制定企业突发环境事件应急预案</w:t>
                  </w:r>
                  <w:r>
                    <w:rPr>
                      <w:rFonts w:hint="eastAsia" w:ascii="Times New Roman" w:hAnsi="Times New Roman" w:eastAsia="宋体" w:cs="Times New Roman"/>
                      <w:b w:val="0"/>
                      <w:bCs w:val="0"/>
                      <w:color w:val="auto"/>
                      <w:kern w:val="2"/>
                      <w:sz w:val="18"/>
                      <w:szCs w:val="18"/>
                      <w:lang w:val="en-US" w:eastAsia="zh-CN" w:bidi="ar-SA"/>
                    </w:rPr>
                    <w:t>。</w:t>
                  </w:r>
                </w:p>
              </w:tc>
              <w:tc>
                <w:tcPr>
                  <w:tcW w:w="367"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02" w:hRule="atLeast"/>
                <w:jc w:val="center"/>
              </w:trPr>
              <w:tc>
                <w:tcPr>
                  <w:tcW w:w="447"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资源</w:t>
                  </w:r>
                </w:p>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利用</w:t>
                  </w:r>
                </w:p>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效率</w:t>
                  </w:r>
                </w:p>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要求</w:t>
                  </w:r>
                </w:p>
              </w:tc>
              <w:tc>
                <w:tcPr>
                  <w:tcW w:w="2818" w:type="pct"/>
                  <w:noWrap w:val="0"/>
                  <w:vAlign w:val="center"/>
                </w:tcPr>
                <w:p>
                  <w:pPr>
                    <w:keepNext w:val="0"/>
                    <w:keepLines w:val="0"/>
                    <w:pageBreakBefore w:val="0"/>
                    <w:widowControl w:val="0"/>
                    <w:numPr>
                      <w:ilvl w:val="0"/>
                      <w:numId w:val="9"/>
                    </w:numPr>
                    <w:kinsoku/>
                    <w:wordWrap/>
                    <w:overflowPunct/>
                    <w:topLinePunct w:val="0"/>
                    <w:autoSpaceDE/>
                    <w:autoSpaceDN/>
                    <w:bidi w:val="0"/>
                    <w:adjustRightInd w:val="0"/>
                    <w:snapToGrid w:val="0"/>
                    <w:spacing w:beforeAutospacing="0" w:afterAutospacing="0" w:line="240" w:lineRule="auto"/>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入区企业按照《涂装行业清洁生产评价指标体系》、《机械制造清洁生产评价指标体系（试行）》等清洁生产标准中资源和能源消耗指标来进行控制，建设项目须满足单位GDP综合能耗≤0.5吨标煤/万元，单位GDP新鲜水耗≤8立方米/万元。</w:t>
                  </w:r>
                </w:p>
                <w:p>
                  <w:pPr>
                    <w:keepNext w:val="0"/>
                    <w:keepLines w:val="0"/>
                    <w:pageBreakBefore w:val="0"/>
                    <w:widowControl w:val="0"/>
                    <w:numPr>
                      <w:ilvl w:val="0"/>
                      <w:numId w:val="9"/>
                    </w:numPr>
                    <w:kinsoku/>
                    <w:wordWrap/>
                    <w:overflowPunct/>
                    <w:topLinePunct w:val="0"/>
                    <w:autoSpaceDE/>
                    <w:autoSpaceDN/>
                    <w:bidi w:val="0"/>
                    <w:adjustRightInd w:val="0"/>
                    <w:snapToGrid w:val="0"/>
                    <w:spacing w:beforeAutospacing="0" w:afterAutospacing="0" w:line="240" w:lineRule="auto"/>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园区实行集中供热，入区企业确因工艺要求需新增工业炉窑的，应以电、天然气等清洁燃料为能源。</w:t>
                  </w:r>
                </w:p>
                <w:p>
                  <w:pPr>
                    <w:keepNext w:val="0"/>
                    <w:keepLines w:val="0"/>
                    <w:pageBreakBefore w:val="0"/>
                    <w:widowControl w:val="0"/>
                    <w:numPr>
                      <w:ilvl w:val="0"/>
                      <w:numId w:val="9"/>
                    </w:numPr>
                    <w:kinsoku/>
                    <w:wordWrap/>
                    <w:overflowPunct/>
                    <w:topLinePunct w:val="0"/>
                    <w:autoSpaceDE/>
                    <w:autoSpaceDN/>
                    <w:bidi w:val="0"/>
                    <w:adjustRightInd w:val="0"/>
                    <w:snapToGrid w:val="0"/>
                    <w:spacing w:beforeAutospacing="0" w:afterAutospacing="0" w:line="240" w:lineRule="auto"/>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2030年企业用水总量不得超过5万吨/日、城市建设用地不得超过47.78平方公里。</w:t>
                  </w:r>
                </w:p>
                <w:p>
                  <w:pPr>
                    <w:keepNext w:val="0"/>
                    <w:keepLines w:val="0"/>
                    <w:pageBreakBefore w:val="0"/>
                    <w:widowControl w:val="0"/>
                    <w:numPr>
                      <w:ilvl w:val="0"/>
                      <w:numId w:val="9"/>
                    </w:numPr>
                    <w:kinsoku/>
                    <w:wordWrap/>
                    <w:overflowPunct/>
                    <w:topLinePunct w:val="0"/>
                    <w:autoSpaceDE/>
                    <w:autoSpaceDN/>
                    <w:bidi w:val="0"/>
                    <w:adjustRightInd w:val="0"/>
                    <w:snapToGrid w:val="0"/>
                    <w:spacing w:beforeAutospacing="0" w:afterAutospacing="0" w:line="240" w:lineRule="auto"/>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严格执行《关于划定高污染燃料禁燃区的通知》（皋政发〔2013〕162号）的相关要求，落实相应的禁燃区管控要求。禁止销售使用燃料为“Ⅱ类”（较严），具体包括：除单台出力大于等于20蒸吨/小时锅炉以外燃用的煤炭及其制品；石油焦、油页岩、原油、重油、渣油、煤焦油。 </w:t>
                  </w:r>
                </w:p>
              </w:tc>
              <w:tc>
                <w:tcPr>
                  <w:tcW w:w="1366" w:type="pct"/>
                  <w:noWrap w:val="0"/>
                  <w:vAlign w:val="center"/>
                </w:tcPr>
                <w:p>
                  <w:pPr>
                    <w:pStyle w:val="3"/>
                    <w:keepNext w:val="0"/>
                    <w:keepLines w:val="0"/>
                    <w:pageBreakBefore w:val="0"/>
                    <w:widowControl w:val="0"/>
                    <w:kinsoku/>
                    <w:wordWrap/>
                    <w:overflowPunct/>
                    <w:topLinePunct w:val="0"/>
                    <w:autoSpaceDE/>
                    <w:autoSpaceDN/>
                    <w:bidi w:val="0"/>
                    <w:spacing w:before="0" w:beforeAutospacing="0" w:after="0" w:afterAutospacing="0" w:line="240" w:lineRule="auto"/>
                    <w:jc w:val="center"/>
                    <w:textAlignment w:val="auto"/>
                    <w:rPr>
                      <w:rFonts w:hint="default" w:ascii="Times New Roman" w:hAnsi="Times New Roman" w:eastAsia="宋体" w:cs="Times New Roman"/>
                      <w:b w:val="0"/>
                      <w:bCs w:val="0"/>
                      <w:snapToGrid w:val="0"/>
                      <w:color w:val="auto"/>
                      <w:kern w:val="0"/>
                      <w:sz w:val="18"/>
                      <w:szCs w:val="18"/>
                      <w:lang w:val="en-US" w:eastAsia="zh-CN" w:bidi="ar-SA"/>
                    </w:rPr>
                  </w:pPr>
                  <w:r>
                    <w:rPr>
                      <w:rFonts w:hint="default" w:ascii="Times New Roman" w:hAnsi="Times New Roman" w:eastAsia="宋体" w:cs="Times New Roman"/>
                      <w:b w:val="0"/>
                      <w:bCs w:val="0"/>
                      <w:snapToGrid w:val="0"/>
                      <w:color w:val="auto"/>
                      <w:kern w:val="0"/>
                      <w:sz w:val="18"/>
                      <w:szCs w:val="18"/>
                      <w:lang w:val="en-US" w:eastAsia="zh-CN" w:bidi="ar-SA"/>
                    </w:rPr>
                    <w:t>本项目将严格按照国家和省能耗及水耗限额标准执行，同时本项目不涉及高污染燃料。</w:t>
                  </w:r>
                </w:p>
              </w:tc>
              <w:tc>
                <w:tcPr>
                  <w:tcW w:w="367"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bl>
          <w:p>
            <w:pPr>
              <w:spacing w:line="500" w:lineRule="exact"/>
              <w:ind w:firstLine="420" w:firstLineChars="200"/>
            </w:pPr>
            <w:r>
              <w:t>因此，本项目的建设符合《区政府办公室关于印发〈如皋市“三线一单”生态环境分区管控实施方案〉的通知》（皋政办发〔2021〕166号）中相关要求。</w:t>
            </w:r>
          </w:p>
          <w:p>
            <w:pPr>
              <w:spacing w:line="500" w:lineRule="exact"/>
              <w:ind w:firstLine="420" w:firstLineChars="200"/>
            </w:pPr>
            <w:r>
              <w:t>2）与环境质量底线相符性</w:t>
            </w:r>
          </w:p>
          <w:p>
            <w:pPr>
              <w:keepNext w:val="0"/>
              <w:keepLines w:val="0"/>
              <w:pageBreakBefore w:val="0"/>
              <w:widowControl w:val="0"/>
              <w:kinsoku/>
              <w:wordWrap w:val="0"/>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auto"/>
                <w:kern w:val="0"/>
                <w:szCs w:val="21"/>
              </w:rPr>
            </w:pPr>
            <w:r>
              <w:rPr>
                <w:rFonts w:hint="default" w:ascii="Times New Roman" w:hAnsi="Times New Roman" w:cs="Times New Roman"/>
                <w:color w:val="auto"/>
                <w:szCs w:val="21"/>
              </w:rPr>
              <w:t>环境空气：根据</w:t>
            </w:r>
            <w:r>
              <w:rPr>
                <w:rFonts w:hint="default" w:ascii="Times New Roman" w:hAnsi="Times New Roman" w:cs="Times New Roman"/>
                <w:color w:val="auto"/>
                <w:kern w:val="0"/>
                <w:szCs w:val="21"/>
              </w:rPr>
              <w:t>《南通市生态环境状况公报（202</w:t>
            </w:r>
            <w:r>
              <w:rPr>
                <w:rFonts w:hint="default" w:ascii="Times New Roman" w:hAnsi="Times New Roman" w:cs="Times New Roman"/>
                <w:color w:val="auto"/>
                <w:kern w:val="0"/>
                <w:szCs w:val="21"/>
                <w:lang w:val="en-US" w:eastAsia="zh-CN"/>
              </w:rPr>
              <w:t>3</w:t>
            </w:r>
            <w:r>
              <w:rPr>
                <w:rFonts w:hint="default" w:ascii="Times New Roman" w:hAnsi="Times New Roman" w:cs="Times New Roman"/>
                <w:color w:val="auto"/>
                <w:kern w:val="0"/>
                <w:szCs w:val="21"/>
              </w:rPr>
              <w:t>年）》</w:t>
            </w:r>
            <w:r>
              <w:rPr>
                <w:rFonts w:hint="default" w:ascii="Times New Roman" w:hAnsi="Times New Roman" w:cs="Times New Roman"/>
                <w:color w:val="auto"/>
                <w:szCs w:val="21"/>
              </w:rPr>
              <w:t>，</w:t>
            </w:r>
            <w:r>
              <w:rPr>
                <w:rFonts w:hint="default" w:ascii="Times New Roman" w:hAnsi="Times New Roman" w:cs="Times New Roman"/>
                <w:color w:val="auto"/>
                <w:kern w:val="0"/>
                <w:szCs w:val="21"/>
                <w:lang w:val="en-US" w:eastAsia="zh-CN"/>
              </w:rPr>
              <w:t>除臭氧外，其余各污染物基本因子均可</w:t>
            </w:r>
            <w:r>
              <w:rPr>
                <w:rFonts w:hint="default" w:ascii="Times New Roman" w:hAnsi="Times New Roman" w:cs="Times New Roman"/>
                <w:color w:val="auto"/>
                <w:kern w:val="0"/>
                <w:szCs w:val="21"/>
              </w:rPr>
              <w:t>满足《环境空气质量标准》（GB3095-2012）中二级标准</w:t>
            </w:r>
            <w:r>
              <w:rPr>
                <w:rFonts w:hint="default" w:ascii="Times New Roman" w:hAnsi="Times New Roman" w:cs="Times New Roman"/>
                <w:color w:val="auto"/>
                <w:kern w:val="0"/>
                <w:szCs w:val="21"/>
                <w:lang w:eastAsia="zh-CN"/>
              </w:rPr>
              <w:t>，</w:t>
            </w:r>
            <w:r>
              <w:rPr>
                <w:rFonts w:hint="default" w:ascii="Times New Roman" w:hAnsi="Times New Roman" w:cs="Times New Roman"/>
                <w:color w:val="auto"/>
                <w:kern w:val="0"/>
                <w:szCs w:val="21"/>
                <w:lang w:val="en-US" w:eastAsia="zh-CN"/>
              </w:rPr>
              <w:t>臭氧现状浓度超过</w:t>
            </w:r>
            <w:r>
              <w:rPr>
                <w:rFonts w:hint="default" w:ascii="Times New Roman" w:hAnsi="Times New Roman" w:cs="Times New Roman"/>
                <w:color w:val="auto"/>
                <w:kern w:val="0"/>
                <w:szCs w:val="21"/>
              </w:rPr>
              <w:t>《环境空气质量标准》（GB3095-2012）中二级标准。因此判定项目所在区域属于</w:t>
            </w:r>
            <w:r>
              <w:rPr>
                <w:rFonts w:hint="default" w:ascii="Times New Roman" w:hAnsi="Times New Roman" w:cs="Times New Roman"/>
                <w:color w:val="auto"/>
                <w:kern w:val="0"/>
                <w:szCs w:val="21"/>
                <w:lang w:val="en-US" w:eastAsia="zh-CN"/>
              </w:rPr>
              <w:t>不</w:t>
            </w:r>
            <w:r>
              <w:rPr>
                <w:rFonts w:hint="default" w:ascii="Times New Roman" w:hAnsi="Times New Roman" w:cs="Times New Roman"/>
                <w:color w:val="auto"/>
                <w:kern w:val="0"/>
                <w:szCs w:val="21"/>
              </w:rPr>
              <w:t>达标区。挥发性有机物（VOCs）是形成臭氧的重要前体物。</w:t>
            </w:r>
          </w:p>
          <w:p>
            <w:pPr>
              <w:spacing w:line="500" w:lineRule="exact"/>
              <w:ind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VOCs来源广泛，既有石化、化工、家具、印刷等行业和工业企业的排放，也有机动车、加油站的油气挥发，还有汽车修补漆、油烟、干洗店等有机物质的挥发。根据《市政府关于印发南通市空气质量持续改善行动计划实施方案的通知》（通政发〔2024〕24号），为贯彻落实《国务院关于印发〈空气质量持续改善行动计划&gt;的通知》</w:t>
            </w:r>
            <w:r>
              <w:rPr>
                <w:rFonts w:hint="eastAsia" w:ascii="Times New Roman" w:hAnsi="Times New Roman" w:cs="Times New Roman"/>
                <w:color w:val="auto"/>
                <w:kern w:val="0"/>
                <w:szCs w:val="21"/>
                <w:lang w:eastAsia="zh-CN"/>
              </w:rPr>
              <w:t>、</w:t>
            </w:r>
            <w:r>
              <w:rPr>
                <w:rFonts w:hint="default" w:ascii="Times New Roman" w:hAnsi="Times New Roman" w:cs="Times New Roman"/>
                <w:color w:val="auto"/>
                <w:kern w:val="0"/>
                <w:szCs w:val="21"/>
              </w:rPr>
              <w:t>《江苏省空气质量持续改善行动计划实施方案》要求，持续深入打好蓝天保卫战，以空气质量持续改善推动经济高质量发展，制定《南通市空气质量持续改善行动计划实施方案》。方案主要内容为：坚决遏制“两高一低”项目盲目上马；加快退出重点行业落后产能；推进园区、产业集群绿色低碳化改造与综合整治；优化含VOCs原辅材料和产品结构；严格合理控制煤炭消费总量；推进燃煤锅炉关停整合和工业炉窑清洁能源替代；持续优化调整货物运输结构；加快提升机动车清洁化水平；强化非道路移动源综合治理；加强扬尘精细化管控；加强秸秆综合利用和禁烧；强化VOCs全流程、全环节综合治理；推进重点行业超低排放与提标改造；开展餐饮油烟、恶臭异味专项；治理；稳步推进大气氨污染防控；健全区域大气污染防治协作机制；完善重污染天气应对机制</w:t>
            </w:r>
            <w:r>
              <w:rPr>
                <w:rFonts w:hint="eastAsia" w:cs="Times New Roman"/>
                <w:color w:val="auto"/>
                <w:kern w:val="0"/>
                <w:szCs w:val="21"/>
                <w:lang w:eastAsia="zh-CN"/>
              </w:rPr>
              <w:t>；持</w:t>
            </w:r>
            <w:r>
              <w:rPr>
                <w:rFonts w:hint="default" w:ascii="Times New Roman" w:hAnsi="Times New Roman" w:cs="Times New Roman"/>
                <w:color w:val="auto"/>
                <w:kern w:val="0"/>
                <w:szCs w:val="21"/>
              </w:rPr>
              <w:t>续加强监测能力建设和执法监管能力建设；加强决策科技支撑；强化标准引领；积极发挥财政金融引导作用；加强组织领导；严格监督考核；推进信息公开。</w:t>
            </w:r>
          </w:p>
          <w:p>
            <w:pPr>
              <w:spacing w:line="500" w:lineRule="exact"/>
              <w:ind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szCs w:val="21"/>
              </w:rPr>
              <w:t>地表水环境：</w:t>
            </w:r>
            <w:r>
              <w:rPr>
                <w:rFonts w:hint="default" w:ascii="Times New Roman" w:hAnsi="Times New Roman" w:cs="Times New Roman"/>
                <w:color w:val="auto"/>
                <w:kern w:val="0"/>
                <w:szCs w:val="21"/>
              </w:rPr>
              <w:t>根据</w:t>
            </w:r>
            <w:r>
              <w:rPr>
                <w:rFonts w:hint="default" w:ascii="Times New Roman" w:hAnsi="Times New Roman" w:cs="Times New Roman"/>
                <w:color w:val="auto"/>
                <w:kern w:val="0"/>
                <w:szCs w:val="21"/>
                <w:lang w:eastAsia="zh-CN"/>
              </w:rPr>
              <w:t>《南通市生态环境状况公报（2023年）》</w:t>
            </w:r>
            <w:r>
              <w:rPr>
                <w:rFonts w:hint="default" w:ascii="Times New Roman" w:hAnsi="Times New Roman" w:cs="Times New Roman"/>
                <w:color w:val="auto"/>
                <w:kern w:val="0"/>
                <w:szCs w:val="21"/>
              </w:rPr>
              <w:t>，</w:t>
            </w:r>
            <w:r>
              <w:rPr>
                <w:rFonts w:hint="eastAsia"/>
                <w:color w:val="auto"/>
                <w:kern w:val="0"/>
                <w:szCs w:val="21"/>
              </w:rPr>
              <w:t>南通市共有16个国家考核断面，均达到或优于《地表水环境质量标准》（GB3838-2002）Ⅲ类标准。55个省考以上断面中，碾砣港闸、聚南大桥、营船港闸、通吕二号桥等1</w:t>
            </w:r>
            <w:r>
              <w:rPr>
                <w:rFonts w:hint="eastAsia"/>
                <w:color w:val="auto"/>
                <w:kern w:val="0"/>
                <w:szCs w:val="21"/>
                <w:lang w:val="en-US" w:eastAsia="zh-CN"/>
              </w:rPr>
              <w:t>9</w:t>
            </w:r>
            <w:r>
              <w:rPr>
                <w:rFonts w:hint="eastAsia"/>
                <w:color w:val="auto"/>
                <w:kern w:val="0"/>
                <w:szCs w:val="21"/>
              </w:rPr>
              <w:t>个断面水质符合Ⅱ类标准，孙窑大桥、嫩江路桥、新江海河桥、团结新大桥等3</w:t>
            </w:r>
            <w:r>
              <w:rPr>
                <w:rFonts w:hint="eastAsia"/>
                <w:color w:val="auto"/>
                <w:kern w:val="0"/>
                <w:szCs w:val="21"/>
                <w:lang w:val="en-US" w:eastAsia="zh-CN"/>
              </w:rPr>
              <w:t>6</w:t>
            </w:r>
            <w:r>
              <w:rPr>
                <w:rFonts w:hint="eastAsia"/>
                <w:color w:val="auto"/>
                <w:kern w:val="0"/>
                <w:szCs w:val="21"/>
              </w:rPr>
              <w:t>个断面水质符合Ⅲ类标准，优Ⅲ类比例100%，高于省定</w:t>
            </w:r>
            <w:r>
              <w:rPr>
                <w:rFonts w:hint="eastAsia"/>
                <w:color w:val="auto"/>
                <w:kern w:val="0"/>
                <w:szCs w:val="21"/>
                <w:lang w:val="en-US" w:eastAsia="zh-CN"/>
              </w:rPr>
              <w:t>98.2</w:t>
            </w:r>
            <w:r>
              <w:rPr>
                <w:rFonts w:hint="eastAsia"/>
                <w:color w:val="auto"/>
                <w:kern w:val="0"/>
                <w:szCs w:val="21"/>
              </w:rPr>
              <w:t>%的考核标准；无Ⅴ类和劣Ⅴ类断面。</w:t>
            </w:r>
          </w:p>
          <w:p>
            <w:pPr>
              <w:spacing w:line="500" w:lineRule="exact"/>
              <w:ind w:firstLine="420" w:firstLineChars="200"/>
              <w:rPr>
                <w:rFonts w:hint="eastAsia"/>
                <w:color w:val="auto"/>
                <w:szCs w:val="21"/>
              </w:rPr>
            </w:pPr>
            <w:r>
              <w:rPr>
                <w:rFonts w:hint="default" w:ascii="Times New Roman" w:hAnsi="Times New Roman" w:cs="Times New Roman"/>
                <w:color w:val="auto"/>
                <w:szCs w:val="21"/>
              </w:rPr>
              <w:t>声环境：根据《南通市生态环境状况公报（202</w:t>
            </w:r>
            <w:r>
              <w:rPr>
                <w:rFonts w:hint="eastAsia" w:ascii="Times New Roman" w:hAnsi="Times New Roman" w:cs="Times New Roman"/>
                <w:color w:val="auto"/>
                <w:szCs w:val="21"/>
                <w:lang w:val="en-US" w:eastAsia="zh-CN"/>
              </w:rPr>
              <w:t>3年</w:t>
            </w:r>
            <w:r>
              <w:rPr>
                <w:rFonts w:hint="default" w:ascii="Times New Roman" w:hAnsi="Times New Roman" w:cs="Times New Roman"/>
                <w:color w:val="auto"/>
                <w:szCs w:val="21"/>
              </w:rPr>
              <w:t>）》，</w:t>
            </w:r>
            <w:r>
              <w:rPr>
                <w:rFonts w:hint="eastAsia" w:ascii="Times New Roman" w:hAnsi="Times New Roman" w:cs="Times New Roman"/>
                <w:color w:val="auto"/>
                <w:szCs w:val="21"/>
                <w:lang w:eastAsia="zh-CN"/>
              </w:rPr>
              <w:t>如皋市声环境质量总体较好，声环境质量基本稳定，</w:t>
            </w:r>
            <w:r>
              <w:rPr>
                <w:rFonts w:hint="default" w:ascii="Times New Roman" w:hAnsi="Times New Roman" w:cs="Times New Roman"/>
                <w:color w:val="auto"/>
                <w:szCs w:val="21"/>
              </w:rPr>
              <w:t>3类区昼间噪声等效声级值为</w:t>
            </w:r>
            <w:r>
              <w:rPr>
                <w:rFonts w:hint="eastAsia" w:ascii="Times New Roman" w:hAnsi="Times New Roman" w:cs="Times New Roman"/>
                <w:color w:val="auto"/>
                <w:szCs w:val="21"/>
                <w:lang w:val="en-US" w:eastAsia="zh-CN"/>
              </w:rPr>
              <w:t>54.4</w:t>
            </w:r>
            <w:r>
              <w:rPr>
                <w:rFonts w:hint="default" w:ascii="Times New Roman" w:hAnsi="Times New Roman" w:cs="Times New Roman"/>
                <w:color w:val="auto"/>
                <w:szCs w:val="21"/>
              </w:rPr>
              <w:t>dB（A），夜间昼间噪声等效声级值为5</w:t>
            </w:r>
            <w:r>
              <w:rPr>
                <w:rFonts w:hint="eastAsia" w:ascii="Times New Roman" w:hAnsi="Times New Roman" w:cs="Times New Roman"/>
                <w:color w:val="auto"/>
                <w:szCs w:val="21"/>
                <w:lang w:val="en-US" w:eastAsia="zh-CN"/>
              </w:rPr>
              <w:t>0.0</w:t>
            </w:r>
            <w:r>
              <w:rPr>
                <w:rFonts w:hint="default" w:ascii="Times New Roman" w:hAnsi="Times New Roman" w:cs="Times New Roman"/>
                <w:color w:val="auto"/>
                <w:szCs w:val="21"/>
              </w:rPr>
              <w:t>dB（A），声环境质量现状达到《声环境质量标准》（GB3096-2008）中3类标准。</w:t>
            </w:r>
          </w:p>
          <w:p>
            <w:pPr>
              <w:spacing w:line="500" w:lineRule="exact"/>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项目产生各股废气均可达标排放，对周围空气质量影响较小。</w:t>
            </w:r>
            <w:r>
              <w:rPr>
                <w:rFonts w:hint="default" w:ascii="Times New Roman" w:hAnsi="Times New Roman" w:cs="Times New Roman"/>
                <w:color w:val="auto"/>
                <w:szCs w:val="21"/>
                <w:highlight w:val="none"/>
              </w:rPr>
              <w:t>项目产生的</w:t>
            </w:r>
            <w:r>
              <w:rPr>
                <w:rFonts w:hint="eastAsia"/>
                <w:bCs/>
                <w:color w:val="auto"/>
                <w:szCs w:val="21"/>
                <w:lang w:val="en-US" w:eastAsia="zh-CN"/>
              </w:rPr>
              <w:t>生活污水、食堂废水</w:t>
            </w:r>
            <w:r>
              <w:rPr>
                <w:rFonts w:hint="eastAsia"/>
                <w:bCs/>
                <w:color w:val="auto"/>
                <w:szCs w:val="21"/>
              </w:rPr>
              <w:t>经化粪池</w:t>
            </w:r>
            <w:r>
              <w:rPr>
                <w:rFonts w:hint="eastAsia"/>
                <w:bCs/>
                <w:color w:val="auto"/>
                <w:szCs w:val="21"/>
                <w:lang w:eastAsia="zh-CN"/>
              </w:rPr>
              <w:t>、隔油池</w:t>
            </w:r>
            <w:r>
              <w:rPr>
                <w:rFonts w:hint="eastAsia"/>
                <w:bCs/>
                <w:color w:val="auto"/>
                <w:szCs w:val="21"/>
              </w:rPr>
              <w:t>处理后</w:t>
            </w:r>
            <w:r>
              <w:rPr>
                <w:rFonts w:hint="eastAsia"/>
                <w:bCs/>
                <w:color w:val="auto"/>
                <w:szCs w:val="21"/>
                <w:lang w:val="en-US" w:eastAsia="zh-CN"/>
              </w:rPr>
              <w:t>，与经冷却水池沉淀后的冷却水</w:t>
            </w:r>
            <w:r>
              <w:rPr>
                <w:rFonts w:hint="eastAsia" w:ascii="Times New Roman" w:hAnsi="Times New Roman" w:cs="Times New Roman"/>
                <w:color w:val="auto"/>
                <w:szCs w:val="21"/>
                <w:highlight w:val="none"/>
                <w:lang w:eastAsia="zh-CN"/>
              </w:rPr>
              <w:t>一起</w:t>
            </w:r>
            <w:r>
              <w:rPr>
                <w:rFonts w:hint="eastAsia" w:ascii="Times New Roman" w:hAnsi="Times New Roman" w:cs="Times New Roman"/>
                <w:color w:val="auto"/>
                <w:szCs w:val="21"/>
                <w:highlight w:val="none"/>
                <w:lang w:val="en-US" w:eastAsia="zh-CN"/>
              </w:rPr>
              <w:t>接管</w:t>
            </w:r>
            <w:r>
              <w:rPr>
                <w:rFonts w:hint="default" w:ascii="Times New Roman" w:hAnsi="Times New Roman" w:cs="Times New Roman"/>
                <w:color w:val="auto"/>
                <w:szCs w:val="21"/>
                <w:highlight w:val="none"/>
              </w:rPr>
              <w:t>至</w:t>
            </w:r>
            <w:r>
              <w:rPr>
                <w:rFonts w:hint="eastAsia" w:ascii="Times New Roman" w:hAnsi="Times New Roman" w:cs="Times New Roman"/>
                <w:color w:val="auto"/>
                <w:highlight w:val="none"/>
                <w:lang w:eastAsia="zh-CN"/>
              </w:rPr>
              <w:t>如皋市富港水处理有限公司</w:t>
            </w:r>
            <w:r>
              <w:rPr>
                <w:rFonts w:hint="default" w:ascii="Times New Roman" w:hAnsi="Times New Roman" w:cs="Times New Roman"/>
                <w:color w:val="auto"/>
                <w:szCs w:val="21"/>
                <w:highlight w:val="none"/>
              </w:rPr>
              <w:t>集中处理</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减</w:t>
            </w:r>
            <w:r>
              <w:rPr>
                <w:rFonts w:hint="default" w:ascii="Times New Roman" w:hAnsi="Times New Roman" w:cs="Times New Roman"/>
                <w:color w:val="auto"/>
                <w:szCs w:val="21"/>
              </w:rPr>
              <w:t>轻项目废水排放对水环境的影响；各类高噪声设备经隔声、减振等措施后，经预测厂界噪声达标；项目产生的固废分类收集、妥善处置，零排放。因此，本项目符合项目所在地环境质量底线。</w:t>
            </w:r>
          </w:p>
          <w:p>
            <w:pPr>
              <w:spacing w:line="500" w:lineRule="exact"/>
              <w:ind w:firstLine="420" w:firstLineChars="200"/>
            </w:pPr>
            <w:r>
              <w:t>（3）资源利用上线相符性</w:t>
            </w:r>
          </w:p>
          <w:p>
            <w:pPr>
              <w:adjustRightInd w:val="0"/>
              <w:snapToGrid w:val="0"/>
              <w:spacing w:line="500" w:lineRule="exact"/>
              <w:ind w:firstLine="420" w:firstLineChars="200"/>
            </w:pPr>
            <w:r>
              <w:t>项目位于</w:t>
            </w:r>
            <w:r>
              <w:rPr>
                <w:rFonts w:hint="eastAsia" w:ascii="Times New Roman" w:hAnsi="Times New Roman" w:eastAsia="宋体" w:cs="Times New Roman"/>
                <w:bCs/>
                <w:color w:val="auto"/>
                <w:szCs w:val="21"/>
                <w:lang w:val="en-US" w:eastAsia="zh-CN"/>
              </w:rPr>
              <w:t>如皋市长江镇创业路8号</w:t>
            </w:r>
            <w:r>
              <w:rPr>
                <w:rFonts w:eastAsia="宋体"/>
              </w:rPr>
              <w:t>，从事</w:t>
            </w:r>
            <w:r>
              <w:rPr>
                <w:rFonts w:hint="eastAsia" w:eastAsia="宋体"/>
                <w:lang w:val="en-US" w:eastAsia="zh-CN"/>
              </w:rPr>
              <w:t>锻件及粉末冶金制品制造</w:t>
            </w:r>
            <w:r>
              <w:rPr>
                <w:rFonts w:eastAsia="宋体"/>
              </w:rPr>
              <w:t>，</w:t>
            </w:r>
            <w:r>
              <w:t>所使用的能源主要为水、电能</w:t>
            </w:r>
            <w:r>
              <w:rPr>
                <w:rFonts w:hint="eastAsia"/>
                <w:lang w:eastAsia="zh-CN"/>
              </w:rPr>
              <w:t>、天然气</w:t>
            </w:r>
            <w:r>
              <w:t>，物耗及能耗水平均较低，不会超过资源利用</w:t>
            </w:r>
            <w:r>
              <w:rPr>
                <w:rFonts w:hint="eastAsia"/>
                <w:lang w:eastAsia="zh-CN"/>
              </w:rPr>
              <w:t>上限</w:t>
            </w:r>
            <w:r>
              <w:t>。本项目用水水源来自市政管网，能满足本项目的供水需求。本项目用电由市政供电系统供电，能满足本项目的供电需求。</w:t>
            </w:r>
          </w:p>
          <w:p>
            <w:pPr>
              <w:adjustRightInd w:val="0"/>
              <w:snapToGrid w:val="0"/>
              <w:spacing w:line="500" w:lineRule="exact"/>
              <w:ind w:firstLine="420" w:firstLineChars="200"/>
            </w:pPr>
            <w:r>
              <w:t>（4）与环境准入负面清单相符性</w:t>
            </w:r>
          </w:p>
          <w:p>
            <w:pPr>
              <w:autoSpaceDE w:val="0"/>
              <w:autoSpaceDN w:val="0"/>
              <w:adjustRightInd w:val="0"/>
              <w:snapToGrid w:val="0"/>
              <w:spacing w:line="500" w:lineRule="exact"/>
              <w:ind w:firstLine="420" w:firstLineChars="200"/>
            </w:pPr>
            <w:r>
              <w:t>本项目位于</w:t>
            </w:r>
            <w:r>
              <w:rPr>
                <w:rFonts w:hint="eastAsia" w:ascii="Times New Roman" w:hAnsi="Times New Roman" w:eastAsia="宋体" w:cs="Times New Roman"/>
                <w:bCs/>
                <w:color w:val="auto"/>
                <w:szCs w:val="21"/>
                <w:lang w:val="en-US" w:eastAsia="zh-CN"/>
              </w:rPr>
              <w:t>如皋市长江镇创业路8号</w:t>
            </w:r>
            <w:r>
              <w:t>，</w:t>
            </w:r>
            <w:r>
              <w:rPr>
                <w:rFonts w:hint="default" w:ascii="Times New Roman" w:hAnsi="Times New Roman" w:cs="Times New Roman"/>
                <w:color w:val="auto"/>
                <w:sz w:val="21"/>
                <w:szCs w:val="21"/>
              </w:rPr>
              <w:t>本次环评对照环境负面准入清单、国家及地方产业政策和《市场准入负面清单（202</w:t>
            </w:r>
            <w:r>
              <w:rPr>
                <w:rFonts w:hint="eastAsia" w:cs="Times New Roman"/>
                <w:color w:val="auto"/>
                <w:sz w:val="21"/>
                <w:szCs w:val="21"/>
                <w:lang w:val="en-US" w:eastAsia="zh-CN"/>
              </w:rPr>
              <w:t>5</w:t>
            </w:r>
            <w:r>
              <w:rPr>
                <w:rFonts w:hint="default" w:ascii="Times New Roman" w:hAnsi="Times New Roman" w:cs="Times New Roman"/>
                <w:color w:val="auto"/>
                <w:sz w:val="21"/>
                <w:szCs w:val="21"/>
              </w:rPr>
              <w:t>年版）》进行说明，环境准入负面清单见</w:t>
            </w:r>
            <w:r>
              <w:rPr>
                <w:rFonts w:hint="default" w:ascii="Times New Roman" w:hAnsi="Times New Roman" w:cs="Times New Roman"/>
                <w:color w:val="auto"/>
                <w:sz w:val="21"/>
                <w:szCs w:val="21"/>
                <w:lang w:val="en-US" w:eastAsia="zh-CN"/>
              </w:rPr>
              <w:t>下表</w:t>
            </w:r>
            <w:r>
              <w:t>。</w:t>
            </w:r>
          </w:p>
          <w:p>
            <w:pPr>
              <w:pStyle w:val="7"/>
              <w:keepNext w:val="0"/>
              <w:keepLines w:val="0"/>
              <w:pageBreakBefore w:val="0"/>
              <w:widowControl/>
              <w:kinsoku/>
              <w:wordWrap/>
              <w:overflowPunct/>
              <w:topLinePunct w:val="0"/>
              <w:autoSpaceDE/>
              <w:autoSpaceDN/>
              <w:bidi w:val="0"/>
              <w:adjustRightInd/>
              <w:snapToGrid/>
              <w:spacing w:before="0" w:after="0" w:line="500" w:lineRule="exact"/>
              <w:ind w:right="0"/>
              <w:jc w:val="center"/>
              <w:textAlignment w:val="auto"/>
              <w:rPr>
                <w:rFonts w:hint="default" w:ascii="Times New Roman" w:hAnsi="Times New Roman" w:cs="Times New Roman"/>
                <w:b/>
                <w:bCs/>
                <w:color w:val="auto"/>
                <w:sz w:val="21"/>
                <w:szCs w:val="22"/>
              </w:rPr>
            </w:pPr>
            <w:r>
              <w:rPr>
                <w:rFonts w:hint="default" w:ascii="Times New Roman" w:hAnsi="Times New Roman" w:cs="Times New Roman"/>
                <w:b/>
                <w:bCs/>
                <w:color w:val="auto"/>
                <w:sz w:val="21"/>
                <w:szCs w:val="22"/>
              </w:rPr>
              <w:t>表1-</w:t>
            </w:r>
            <w:r>
              <w:rPr>
                <w:rFonts w:hint="eastAsia" w:ascii="Times New Roman" w:hAnsi="Times New Roman" w:cs="Times New Roman"/>
                <w:b/>
                <w:bCs/>
                <w:color w:val="auto"/>
                <w:sz w:val="21"/>
                <w:szCs w:val="22"/>
                <w:lang w:val="en-US" w:eastAsia="zh-CN"/>
              </w:rPr>
              <w:t xml:space="preserve">6 </w:t>
            </w:r>
            <w:r>
              <w:rPr>
                <w:rFonts w:hint="default" w:ascii="Times New Roman" w:hAnsi="Times New Roman" w:cs="Times New Roman"/>
                <w:b/>
                <w:bCs/>
                <w:color w:val="auto"/>
                <w:sz w:val="21"/>
                <w:szCs w:val="22"/>
              </w:rPr>
              <w:t xml:space="preserve"> 环境准入负面清单</w:t>
            </w:r>
          </w:p>
          <w:tbl>
            <w:tblPr>
              <w:tblStyle w:val="21"/>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3"/>
              <w:gridCol w:w="2574"/>
              <w:gridCol w:w="380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4" w:type="pct"/>
                  <w:noWrap w:val="0"/>
                  <w:vAlign w:val="center"/>
                </w:tcPr>
                <w:p>
                  <w:pPr>
                    <w:tabs>
                      <w:tab w:val="left" w:pos="6379"/>
                    </w:tabs>
                    <w:overflowPunct w:val="0"/>
                    <w:adjustRightInd w:val="0"/>
                    <w:snapToGrid w:val="0"/>
                    <w:spacing w:line="36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1830" w:type="pct"/>
                  <w:noWrap w:val="0"/>
                  <w:vAlign w:val="center"/>
                </w:tcPr>
                <w:p>
                  <w:pPr>
                    <w:keepNext w:val="0"/>
                    <w:keepLines w:val="0"/>
                    <w:pageBreakBefore w:val="0"/>
                    <w:widowControl w:val="0"/>
                    <w:tabs>
                      <w:tab w:val="left" w:pos="6379"/>
                    </w:tabs>
                    <w:kinsoku/>
                    <w:wordWrap/>
                    <w:overflowPunct w:val="0"/>
                    <w:topLinePunct w:val="0"/>
                    <w:autoSpaceDE/>
                    <w:autoSpaceDN/>
                    <w:bidi w:val="0"/>
                    <w:adjustRightInd w:val="0"/>
                    <w:snapToGrid w:val="0"/>
                    <w:spacing w:line="260" w:lineRule="exact"/>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内容</w:t>
                  </w:r>
                </w:p>
              </w:tc>
              <w:tc>
                <w:tcPr>
                  <w:tcW w:w="2704" w:type="pct"/>
                  <w:noWrap w:val="0"/>
                  <w:vAlign w:val="center"/>
                </w:tcPr>
                <w:p>
                  <w:pPr>
                    <w:keepNext w:val="0"/>
                    <w:keepLines w:val="0"/>
                    <w:pageBreakBefore w:val="0"/>
                    <w:widowControl w:val="0"/>
                    <w:tabs>
                      <w:tab w:val="left" w:pos="6379"/>
                    </w:tabs>
                    <w:kinsoku/>
                    <w:wordWrap/>
                    <w:overflowPunct w:val="0"/>
                    <w:topLinePunct w:val="0"/>
                    <w:autoSpaceDE/>
                    <w:autoSpaceDN/>
                    <w:bidi w:val="0"/>
                    <w:adjustRightInd w:val="0"/>
                    <w:snapToGrid w:val="0"/>
                    <w:spacing w:line="260" w:lineRule="exact"/>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相符性分析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4" w:type="pct"/>
                  <w:noWrap w:val="0"/>
                  <w:vAlign w:val="center"/>
                </w:tcPr>
                <w:p>
                  <w:pPr>
                    <w:tabs>
                      <w:tab w:val="left" w:pos="6379"/>
                    </w:tabs>
                    <w:overflowPunct w:val="0"/>
                    <w:adjustRightInd w:val="0"/>
                    <w:snapToGrid w:val="0"/>
                    <w:spacing w:line="36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1830" w:type="pct"/>
                  <w:noWrap w:val="0"/>
                  <w:vAlign w:val="center"/>
                </w:tcPr>
                <w:p>
                  <w:pPr>
                    <w:keepNext w:val="0"/>
                    <w:keepLines w:val="0"/>
                    <w:pageBreakBefore w:val="0"/>
                    <w:widowControl w:val="0"/>
                    <w:tabs>
                      <w:tab w:val="left" w:pos="6379"/>
                    </w:tabs>
                    <w:kinsoku/>
                    <w:wordWrap/>
                    <w:overflowPunct w:val="0"/>
                    <w:topLinePunct w:val="0"/>
                    <w:autoSpaceDE/>
                    <w:autoSpaceDN/>
                    <w:bidi w:val="0"/>
                    <w:adjustRightInd w:val="0"/>
                    <w:snapToGrid w:val="0"/>
                    <w:spacing w:line="300" w:lineRule="exact"/>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eastAsia="zh-CN"/>
                    </w:rPr>
                    <w:t>《产业结构调整指导目录（2024年本）》</w:t>
                  </w:r>
                </w:p>
              </w:tc>
              <w:tc>
                <w:tcPr>
                  <w:tcW w:w="2704" w:type="pct"/>
                  <w:noWrap w:val="0"/>
                  <w:vAlign w:val="center"/>
                </w:tcPr>
                <w:p>
                  <w:pPr>
                    <w:keepNext w:val="0"/>
                    <w:keepLines w:val="0"/>
                    <w:pageBreakBefore w:val="0"/>
                    <w:widowControl w:val="0"/>
                    <w:tabs>
                      <w:tab w:val="left" w:pos="6379"/>
                    </w:tabs>
                    <w:kinsoku/>
                    <w:wordWrap/>
                    <w:overflowPunct w:val="0"/>
                    <w:topLinePunct w:val="0"/>
                    <w:autoSpaceDE/>
                    <w:autoSpaceDN/>
                    <w:bidi w:val="0"/>
                    <w:adjustRightInd w:val="0"/>
                    <w:snapToGrid w:val="0"/>
                    <w:spacing w:line="30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经查</w:t>
                  </w:r>
                  <w:r>
                    <w:rPr>
                      <w:rFonts w:hint="default" w:ascii="Times New Roman" w:hAnsi="Times New Roman" w:cs="Times New Roman"/>
                      <w:color w:val="auto"/>
                      <w:sz w:val="18"/>
                      <w:szCs w:val="18"/>
                      <w:lang w:eastAsia="zh-CN"/>
                    </w:rPr>
                    <w:t>《产业结构调整指导目录（2024年本）》</w:t>
                  </w:r>
                  <w:r>
                    <w:rPr>
                      <w:rFonts w:hint="default" w:ascii="Times New Roman" w:hAnsi="Times New Roman" w:cs="Times New Roman"/>
                      <w:color w:val="auto"/>
                      <w:sz w:val="18"/>
                      <w:szCs w:val="18"/>
                    </w:rPr>
                    <w:t>，项目属于</w:t>
                  </w:r>
                  <w:r>
                    <w:rPr>
                      <w:rFonts w:hint="default" w:ascii="Times New Roman" w:hAnsi="Times New Roman" w:cs="Times New Roman"/>
                      <w:color w:val="auto"/>
                      <w:sz w:val="18"/>
                      <w:szCs w:val="18"/>
                      <w:lang w:val="en-US" w:eastAsia="zh-CN"/>
                    </w:rPr>
                    <w:t>鼓励类</w:t>
                  </w:r>
                  <w:r>
                    <w:rPr>
                      <w:rFonts w:hint="default" w:ascii="Times New Roman" w:hAnsi="Times New Roman" w:cs="Times New Roman"/>
                      <w:color w:val="auto"/>
                      <w:sz w:val="18"/>
                      <w:szCs w:val="18"/>
                    </w:rPr>
                    <w:t>，符合该文件的要求。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4" w:type="pct"/>
                  <w:noWrap w:val="0"/>
                  <w:vAlign w:val="center"/>
                </w:tcPr>
                <w:p>
                  <w:pPr>
                    <w:tabs>
                      <w:tab w:val="left" w:pos="6379"/>
                    </w:tabs>
                    <w:overflowPunct w:val="0"/>
                    <w:adjustRightInd w:val="0"/>
                    <w:snapToGrid w:val="0"/>
                    <w:spacing w:line="36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1830" w:type="pct"/>
                  <w:noWrap w:val="0"/>
                  <w:vAlign w:val="center"/>
                </w:tcPr>
                <w:p>
                  <w:pPr>
                    <w:keepNext w:val="0"/>
                    <w:keepLines w:val="0"/>
                    <w:pageBreakBefore w:val="0"/>
                    <w:widowControl w:val="0"/>
                    <w:tabs>
                      <w:tab w:val="left" w:pos="6379"/>
                    </w:tabs>
                    <w:kinsoku/>
                    <w:wordWrap/>
                    <w:overflowPunct w:val="0"/>
                    <w:topLinePunct w:val="0"/>
                    <w:autoSpaceDE/>
                    <w:autoSpaceDN/>
                    <w:bidi w:val="0"/>
                    <w:adjustRightInd w:val="0"/>
                    <w:snapToGrid w:val="0"/>
                    <w:spacing w:line="30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《江苏省限制用地项目目录（2013年本）》</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《江苏省禁止用地项目目录（2013年本）》</w:t>
                  </w:r>
                </w:p>
              </w:tc>
              <w:tc>
                <w:tcPr>
                  <w:tcW w:w="2704" w:type="pct"/>
                  <w:noWrap w:val="0"/>
                  <w:vAlign w:val="center"/>
                </w:tcPr>
                <w:p>
                  <w:pPr>
                    <w:keepNext w:val="0"/>
                    <w:keepLines w:val="0"/>
                    <w:pageBreakBefore w:val="0"/>
                    <w:widowControl w:val="0"/>
                    <w:tabs>
                      <w:tab w:val="left" w:pos="6379"/>
                    </w:tabs>
                    <w:kinsoku/>
                    <w:wordWrap/>
                    <w:overflowPunct w:val="0"/>
                    <w:topLinePunct w:val="0"/>
                    <w:autoSpaceDE/>
                    <w:autoSpaceDN/>
                    <w:bidi w:val="0"/>
                    <w:adjustRightInd w:val="0"/>
                    <w:snapToGrid w:val="0"/>
                    <w:spacing w:line="30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本项目不在《江苏省限制用地项目目录（2013年本）》《江苏省禁止用地项目目录（2013年本）》中。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4" w:type="pct"/>
                  <w:noWrap w:val="0"/>
                  <w:vAlign w:val="center"/>
                </w:tcPr>
                <w:p>
                  <w:pPr>
                    <w:tabs>
                      <w:tab w:val="left" w:pos="6379"/>
                    </w:tabs>
                    <w:overflowPunct w:val="0"/>
                    <w:adjustRightInd w:val="0"/>
                    <w:snapToGrid w:val="0"/>
                    <w:spacing w:line="36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1830" w:type="pct"/>
                  <w:noWrap w:val="0"/>
                  <w:vAlign w:val="center"/>
                </w:tcPr>
                <w:p>
                  <w:pPr>
                    <w:keepNext w:val="0"/>
                    <w:keepLines w:val="0"/>
                    <w:pageBreakBefore w:val="0"/>
                    <w:widowControl w:val="0"/>
                    <w:tabs>
                      <w:tab w:val="left" w:pos="6379"/>
                    </w:tabs>
                    <w:kinsoku/>
                    <w:wordWrap/>
                    <w:overflowPunct w:val="0"/>
                    <w:topLinePunct w:val="0"/>
                    <w:autoSpaceDE/>
                    <w:autoSpaceDN/>
                    <w:bidi w:val="0"/>
                    <w:adjustRightInd w:val="0"/>
                    <w:snapToGrid w:val="0"/>
                    <w:spacing w:line="300" w:lineRule="exact"/>
                    <w:textAlignment w:val="auto"/>
                    <w:rPr>
                      <w:rFonts w:hint="default" w:ascii="Times New Roman" w:hAnsi="Times New Roman" w:cs="Times New Roman"/>
                      <w:color w:val="auto"/>
                      <w:sz w:val="18"/>
                      <w:szCs w:val="18"/>
                      <w:lang w:eastAsia="zh-CN"/>
                    </w:rPr>
                  </w:pPr>
                  <w:r>
                    <w:rPr>
                      <w:rFonts w:hint="eastAsia" w:ascii="Times New Roman" w:hAnsi="Times New Roman" w:cs="Times New Roman"/>
                      <w:color w:val="auto"/>
                      <w:sz w:val="18"/>
                      <w:szCs w:val="18"/>
                      <w:lang w:eastAsia="zh-CN"/>
                    </w:rPr>
                    <w:t>《自然资源要素支撑产业高质量发展指导目录（2024年本）》</w:t>
                  </w:r>
                </w:p>
              </w:tc>
              <w:tc>
                <w:tcPr>
                  <w:tcW w:w="2704" w:type="pct"/>
                  <w:noWrap w:val="0"/>
                  <w:vAlign w:val="center"/>
                </w:tcPr>
                <w:p>
                  <w:pPr>
                    <w:keepNext w:val="0"/>
                    <w:keepLines w:val="0"/>
                    <w:pageBreakBefore w:val="0"/>
                    <w:widowControl w:val="0"/>
                    <w:tabs>
                      <w:tab w:val="left" w:pos="6379"/>
                    </w:tabs>
                    <w:kinsoku/>
                    <w:wordWrap/>
                    <w:overflowPunct w:val="0"/>
                    <w:topLinePunct w:val="0"/>
                    <w:autoSpaceDE/>
                    <w:autoSpaceDN/>
                    <w:bidi w:val="0"/>
                    <w:adjustRightInd w:val="0"/>
                    <w:snapToGrid w:val="0"/>
                    <w:spacing w:line="300" w:lineRule="exact"/>
                    <w:textAlignment w:val="auto"/>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eastAsia="zh-CN"/>
                    </w:rPr>
                    <w:t>本项目不在</w:t>
                  </w:r>
                  <w:r>
                    <w:rPr>
                      <w:rFonts w:hint="eastAsia" w:ascii="Times New Roman" w:hAnsi="Times New Roman" w:cs="Times New Roman"/>
                      <w:color w:val="auto"/>
                      <w:sz w:val="18"/>
                      <w:szCs w:val="18"/>
                      <w:lang w:eastAsia="zh-CN"/>
                    </w:rPr>
                    <w:t>《自然资源要素支撑产业高质量发展指导目录（2024年本）》</w:t>
                  </w:r>
                  <w:r>
                    <w:rPr>
                      <w:rFonts w:hint="eastAsia" w:ascii="Times New Roman" w:hAnsi="Times New Roman" w:cs="Times New Roman"/>
                      <w:color w:val="auto"/>
                      <w:sz w:val="18"/>
                      <w:szCs w:val="18"/>
                      <w:lang w:val="en-US" w:eastAsia="zh-CN"/>
                    </w:rPr>
                    <w:t>限制和禁止</w:t>
                  </w:r>
                  <w:r>
                    <w:rPr>
                      <w:rFonts w:hint="default" w:ascii="Times New Roman" w:hAnsi="Times New Roman" w:cs="Times New Roman"/>
                      <w:color w:val="auto"/>
                      <w:sz w:val="18"/>
                      <w:szCs w:val="18"/>
                      <w:lang w:eastAsia="zh-CN"/>
                    </w:rPr>
                    <w:t>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4" w:type="pct"/>
                  <w:noWrap w:val="0"/>
                  <w:vAlign w:val="center"/>
                </w:tcPr>
                <w:p>
                  <w:pPr>
                    <w:tabs>
                      <w:tab w:val="left" w:pos="6379"/>
                    </w:tabs>
                    <w:overflowPunct w:val="0"/>
                    <w:adjustRightInd w:val="0"/>
                    <w:snapToGrid w:val="0"/>
                    <w:spacing w:line="36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1830" w:type="pct"/>
                  <w:noWrap w:val="0"/>
                  <w:vAlign w:val="center"/>
                </w:tcPr>
                <w:p>
                  <w:pPr>
                    <w:keepNext w:val="0"/>
                    <w:keepLines w:val="0"/>
                    <w:pageBreakBefore w:val="0"/>
                    <w:widowControl w:val="0"/>
                    <w:tabs>
                      <w:tab w:val="left" w:pos="6379"/>
                    </w:tabs>
                    <w:kinsoku/>
                    <w:wordWrap/>
                    <w:overflowPunct w:val="0"/>
                    <w:topLinePunct w:val="0"/>
                    <w:autoSpaceDE/>
                    <w:autoSpaceDN/>
                    <w:bidi w:val="0"/>
                    <w:adjustRightInd w:val="0"/>
                    <w:snapToGrid w:val="0"/>
                    <w:spacing w:line="30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《市场准入负面清单（202</w:t>
                  </w:r>
                  <w:r>
                    <w:rPr>
                      <w:rFonts w:hint="eastAsia" w:cs="Times New Roman"/>
                      <w:color w:val="auto"/>
                      <w:sz w:val="18"/>
                      <w:szCs w:val="18"/>
                      <w:lang w:val="en-US" w:eastAsia="zh-CN"/>
                    </w:rPr>
                    <w:t>5</w:t>
                  </w:r>
                  <w:r>
                    <w:rPr>
                      <w:rFonts w:hint="default" w:ascii="Times New Roman" w:hAnsi="Times New Roman" w:cs="Times New Roman"/>
                      <w:color w:val="auto"/>
                      <w:sz w:val="18"/>
                      <w:szCs w:val="18"/>
                    </w:rPr>
                    <w:t>年版）》</w:t>
                  </w:r>
                </w:p>
              </w:tc>
              <w:tc>
                <w:tcPr>
                  <w:tcW w:w="2704" w:type="pct"/>
                  <w:noWrap w:val="0"/>
                  <w:vAlign w:val="center"/>
                </w:tcPr>
                <w:p>
                  <w:pPr>
                    <w:keepNext w:val="0"/>
                    <w:keepLines w:val="0"/>
                    <w:pageBreakBefore w:val="0"/>
                    <w:widowControl w:val="0"/>
                    <w:tabs>
                      <w:tab w:val="left" w:pos="6379"/>
                    </w:tabs>
                    <w:kinsoku/>
                    <w:wordWrap/>
                    <w:overflowPunct w:val="0"/>
                    <w:topLinePunct w:val="0"/>
                    <w:autoSpaceDE/>
                    <w:autoSpaceDN/>
                    <w:bidi w:val="0"/>
                    <w:adjustRightInd w:val="0"/>
                    <w:snapToGrid w:val="0"/>
                    <w:spacing w:line="30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经查《市场准入负面清单（202</w:t>
                  </w:r>
                  <w:r>
                    <w:rPr>
                      <w:rFonts w:hint="eastAsia" w:cs="Times New Roman"/>
                      <w:color w:val="auto"/>
                      <w:sz w:val="18"/>
                      <w:szCs w:val="18"/>
                      <w:lang w:val="en-US" w:eastAsia="zh-CN"/>
                    </w:rPr>
                    <w:t>5</w:t>
                  </w:r>
                  <w:r>
                    <w:rPr>
                      <w:rFonts w:hint="default" w:ascii="Times New Roman" w:hAnsi="Times New Roman" w:cs="Times New Roman"/>
                      <w:color w:val="auto"/>
                      <w:sz w:val="18"/>
                      <w:szCs w:val="18"/>
                    </w:rPr>
                    <w:t>年版）》，本项目不在其禁止准入类和限制准入类中。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4" w:type="pct"/>
                  <w:noWrap w:val="0"/>
                  <w:vAlign w:val="center"/>
                </w:tcPr>
                <w:p>
                  <w:pPr>
                    <w:tabs>
                      <w:tab w:val="left" w:pos="6379"/>
                    </w:tabs>
                    <w:overflowPunct w:val="0"/>
                    <w:adjustRightInd w:val="0"/>
                    <w:snapToGrid w:val="0"/>
                    <w:spacing w:line="360" w:lineRule="exact"/>
                    <w:jc w:val="center"/>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5</w:t>
                  </w:r>
                </w:p>
              </w:tc>
              <w:tc>
                <w:tcPr>
                  <w:tcW w:w="1830" w:type="pct"/>
                  <w:noWrap w:val="0"/>
                  <w:vAlign w:val="center"/>
                </w:tcPr>
                <w:p>
                  <w:pPr>
                    <w:keepNext w:val="0"/>
                    <w:keepLines w:val="0"/>
                    <w:pageBreakBefore w:val="0"/>
                    <w:widowControl w:val="0"/>
                    <w:tabs>
                      <w:tab w:val="left" w:pos="6379"/>
                    </w:tabs>
                    <w:kinsoku/>
                    <w:wordWrap/>
                    <w:overflowPunct w:val="0"/>
                    <w:topLinePunct w:val="0"/>
                    <w:autoSpaceDE/>
                    <w:autoSpaceDN/>
                    <w:bidi w:val="0"/>
                    <w:adjustRightInd w:val="0"/>
                    <w:snapToGrid w:val="0"/>
                    <w:spacing w:line="300" w:lineRule="exact"/>
                    <w:textAlignment w:val="auto"/>
                    <w:rPr>
                      <w:rFonts w:hint="eastAsia" w:ascii="Times New Roman" w:hAnsi="Times New Roman" w:eastAsia="宋体" w:cs="Times New Roman"/>
                      <w:color w:val="auto"/>
                      <w:sz w:val="18"/>
                      <w:szCs w:val="18"/>
                      <w:lang w:eastAsia="zh-CN"/>
                    </w:rPr>
                  </w:pPr>
                  <w:r>
                    <w:rPr>
                      <w:rFonts w:hint="eastAsia" w:ascii="Times New Roman" w:hAnsi="Times New Roman" w:cs="Times New Roman"/>
                      <w:color w:val="auto"/>
                      <w:sz w:val="18"/>
                      <w:szCs w:val="18"/>
                      <w:lang w:eastAsia="zh-CN"/>
                    </w:rPr>
                    <w:t>江苏省“两高”项目管理目录（</w:t>
                  </w:r>
                  <w:r>
                    <w:rPr>
                      <w:rFonts w:hint="eastAsia" w:ascii="Times New Roman" w:hAnsi="Times New Roman" w:cs="Times New Roman"/>
                      <w:color w:val="auto"/>
                      <w:sz w:val="18"/>
                      <w:szCs w:val="18"/>
                      <w:lang w:val="en-US" w:eastAsia="zh-CN"/>
                    </w:rPr>
                    <w:t>202</w:t>
                  </w:r>
                  <w:r>
                    <w:rPr>
                      <w:rFonts w:hint="eastAsia" w:cs="Times New Roman"/>
                      <w:color w:val="auto"/>
                      <w:sz w:val="18"/>
                      <w:szCs w:val="18"/>
                      <w:lang w:val="en-US" w:eastAsia="zh-CN"/>
                    </w:rPr>
                    <w:t>5</w:t>
                  </w:r>
                  <w:r>
                    <w:rPr>
                      <w:rFonts w:hint="eastAsia" w:ascii="Times New Roman" w:hAnsi="Times New Roman" w:cs="Times New Roman"/>
                      <w:color w:val="auto"/>
                      <w:sz w:val="18"/>
                      <w:szCs w:val="18"/>
                      <w:lang w:val="en-US" w:eastAsia="zh-CN"/>
                    </w:rPr>
                    <w:t>年版</w:t>
                  </w:r>
                  <w:r>
                    <w:rPr>
                      <w:rFonts w:hint="eastAsia" w:ascii="Times New Roman" w:hAnsi="Times New Roman" w:cs="Times New Roman"/>
                      <w:color w:val="auto"/>
                      <w:sz w:val="18"/>
                      <w:szCs w:val="18"/>
                      <w:lang w:eastAsia="zh-CN"/>
                    </w:rPr>
                    <w:t>）</w:t>
                  </w:r>
                </w:p>
              </w:tc>
              <w:tc>
                <w:tcPr>
                  <w:tcW w:w="2704" w:type="pct"/>
                  <w:noWrap w:val="0"/>
                  <w:vAlign w:val="center"/>
                </w:tcPr>
                <w:p>
                  <w:pPr>
                    <w:keepNext w:val="0"/>
                    <w:keepLines w:val="0"/>
                    <w:pageBreakBefore w:val="0"/>
                    <w:widowControl w:val="0"/>
                    <w:tabs>
                      <w:tab w:val="left" w:pos="6379"/>
                    </w:tabs>
                    <w:kinsoku/>
                    <w:wordWrap/>
                    <w:overflowPunct w:val="0"/>
                    <w:topLinePunct w:val="0"/>
                    <w:autoSpaceDE/>
                    <w:autoSpaceDN/>
                    <w:bidi w:val="0"/>
                    <w:adjustRightInd w:val="0"/>
                    <w:snapToGrid w:val="0"/>
                    <w:spacing w:line="300" w:lineRule="exact"/>
                    <w:textAlignment w:val="auto"/>
                    <w:rPr>
                      <w:rFonts w:hint="eastAsia" w:ascii="Times New Roman" w:hAnsi="Times New Roman" w:eastAsia="宋体" w:cs="Times New Roman"/>
                      <w:color w:val="auto"/>
                      <w:sz w:val="18"/>
                      <w:szCs w:val="18"/>
                      <w:lang w:eastAsia="zh-CN"/>
                    </w:rPr>
                  </w:pPr>
                  <w:r>
                    <w:rPr>
                      <w:rFonts w:hint="eastAsia" w:ascii="Times New Roman" w:hAnsi="Times New Roman" w:cs="Times New Roman"/>
                      <w:color w:val="auto"/>
                      <w:sz w:val="18"/>
                      <w:szCs w:val="18"/>
                      <w:lang w:eastAsia="zh-CN"/>
                    </w:rPr>
                    <w:t>本项目不在《江苏省“两高”项目管理目录》（</w:t>
                  </w:r>
                  <w:r>
                    <w:rPr>
                      <w:rFonts w:hint="eastAsia" w:ascii="Times New Roman" w:hAnsi="Times New Roman" w:cs="Times New Roman"/>
                      <w:color w:val="auto"/>
                      <w:sz w:val="18"/>
                      <w:szCs w:val="18"/>
                      <w:lang w:val="en-US" w:eastAsia="zh-CN"/>
                    </w:rPr>
                    <w:t>202</w:t>
                  </w:r>
                  <w:r>
                    <w:rPr>
                      <w:rFonts w:hint="eastAsia" w:cs="Times New Roman"/>
                      <w:color w:val="auto"/>
                      <w:sz w:val="18"/>
                      <w:szCs w:val="18"/>
                      <w:lang w:val="en-US" w:eastAsia="zh-CN"/>
                    </w:rPr>
                    <w:t>5</w:t>
                  </w:r>
                  <w:r>
                    <w:rPr>
                      <w:rFonts w:hint="eastAsia" w:ascii="Times New Roman" w:hAnsi="Times New Roman" w:cs="Times New Roman"/>
                      <w:color w:val="auto"/>
                      <w:sz w:val="18"/>
                      <w:szCs w:val="18"/>
                      <w:lang w:val="en-US" w:eastAsia="zh-CN"/>
                    </w:rPr>
                    <w:t>年版</w:t>
                  </w:r>
                  <w:r>
                    <w:rPr>
                      <w:rFonts w:hint="eastAsia" w:ascii="Times New Roman" w:hAnsi="Times New Roman" w:cs="Times New Roman"/>
                      <w:color w:val="auto"/>
                      <w:sz w:val="18"/>
                      <w:szCs w:val="18"/>
                      <w:lang w:eastAsia="zh-CN"/>
                    </w:rPr>
                    <w:t>）中。</w:t>
                  </w:r>
                </w:p>
              </w:tc>
            </w:tr>
          </w:tbl>
          <w:p>
            <w:pPr>
              <w:spacing w:line="500" w:lineRule="exact"/>
              <w:ind w:firstLine="422" w:firstLineChars="200"/>
              <w:rPr>
                <w:b/>
                <w:bCs/>
              </w:rPr>
            </w:pPr>
            <w:r>
              <w:rPr>
                <w:rFonts w:hint="eastAsia"/>
                <w:b/>
                <w:bCs/>
                <w:lang w:val="en-US" w:eastAsia="zh-CN"/>
              </w:rPr>
              <w:t>3</w:t>
            </w:r>
            <w:r>
              <w:rPr>
                <w:b/>
                <w:bCs/>
              </w:rPr>
              <w:t>、</w:t>
            </w:r>
            <w:r>
              <w:rPr>
                <w:rFonts w:hint="default" w:ascii="Times New Roman" w:hAnsi="Times New Roman" w:cs="Times New Roman"/>
                <w:b/>
                <w:bCs/>
                <w:color w:val="auto"/>
                <w:szCs w:val="21"/>
              </w:rPr>
              <w:t>与长江经济带发展负面清单指南相符性</w:t>
            </w:r>
            <w:r>
              <w:rPr>
                <w:b/>
                <w:bCs/>
              </w:rPr>
              <w:t xml:space="preserve"> </w:t>
            </w:r>
          </w:p>
          <w:p>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1）与《长江经济带发展负面清单指南（试行，2022年版）》（长江办〔2022〕7号）相符性</w:t>
            </w:r>
          </w:p>
          <w:p>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rPr>
                <w:rFonts w:hint="default" w:ascii="Times New Roman" w:hAnsi="Times New Roman" w:cs="Times New Roman"/>
                <w:b/>
                <w:bCs/>
                <w:color w:val="auto"/>
                <w:szCs w:val="21"/>
              </w:rPr>
            </w:pPr>
            <w:r>
              <w:rPr>
                <w:rFonts w:hint="default" w:ascii="Times New Roman" w:hAnsi="Times New Roman" w:cs="Times New Roman"/>
                <w:color w:val="auto"/>
                <w:kern w:val="0"/>
                <w:szCs w:val="21"/>
              </w:rPr>
              <w:t>项目与</w:t>
            </w:r>
            <w:r>
              <w:rPr>
                <w:rFonts w:hint="default" w:ascii="Times New Roman" w:hAnsi="Times New Roman" w:cs="Times New Roman"/>
                <w:color w:val="auto"/>
                <w:kern w:val="0"/>
                <w:szCs w:val="21"/>
                <w:lang w:val="en-US" w:eastAsia="zh-CN"/>
              </w:rPr>
              <w:t>《长江经济带发展负面清单指南（试行，2022年版）》（长江办〔2022〕7号）</w:t>
            </w:r>
            <w:r>
              <w:rPr>
                <w:rFonts w:hint="default" w:ascii="Times New Roman" w:hAnsi="Times New Roman" w:cs="Times New Roman"/>
                <w:color w:val="auto"/>
                <w:kern w:val="0"/>
                <w:szCs w:val="21"/>
              </w:rPr>
              <w:t>中相关内容相符性分析情况如下：</w:t>
            </w:r>
          </w:p>
          <w:p>
            <w:pPr>
              <w:keepNext w:val="0"/>
              <w:keepLines w:val="0"/>
              <w:pageBreakBefore w:val="0"/>
              <w:widowControl w:val="0"/>
              <w:kinsoku/>
              <w:wordWrap/>
              <w:overflowPunct/>
              <w:topLinePunct w:val="0"/>
              <w:autoSpaceDE/>
              <w:autoSpaceDN/>
              <w:bidi w:val="0"/>
              <w:spacing w:line="500" w:lineRule="exac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表1-</w:t>
            </w:r>
            <w:r>
              <w:rPr>
                <w:rFonts w:hint="eastAsia" w:cs="Times New Roman"/>
                <w:b/>
                <w:bCs/>
                <w:color w:val="auto"/>
                <w:szCs w:val="21"/>
                <w:lang w:val="en-US" w:eastAsia="zh-CN"/>
              </w:rPr>
              <w:t>7</w:t>
            </w:r>
            <w:r>
              <w:rPr>
                <w:rFonts w:hint="eastAsia" w:ascii="Times New Roman" w:hAnsi="Times New Roman" w:cs="Times New Roman"/>
                <w:b/>
                <w:bCs/>
                <w:color w:val="auto"/>
                <w:szCs w:val="21"/>
                <w:lang w:val="en-US" w:eastAsia="zh-CN"/>
              </w:rPr>
              <w:t xml:space="preserve">  </w:t>
            </w:r>
            <w:r>
              <w:rPr>
                <w:rFonts w:hint="default" w:ascii="Times New Roman" w:hAnsi="Times New Roman" w:cs="Times New Roman"/>
                <w:b/>
                <w:bCs/>
                <w:color w:val="auto"/>
                <w:szCs w:val="21"/>
              </w:rPr>
              <w:t>与长江办〔2022〕7号相符性分析</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1"/>
              <w:gridCol w:w="4491"/>
              <w:gridCol w:w="1374"/>
              <w:gridCol w:w="7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tblHeader/>
                <w:jc w:val="center"/>
              </w:trPr>
              <w:tc>
                <w:tcPr>
                  <w:tcW w:w="314" w:type="pct"/>
                  <w:noWrap w:val="0"/>
                  <w:vAlign w:val="center"/>
                </w:tcPr>
                <w:p>
                  <w:pPr>
                    <w:pStyle w:val="30"/>
                    <w:keepNext w:val="0"/>
                    <w:keepLines w:val="0"/>
                    <w:pageBreakBefore w:val="0"/>
                    <w:kinsoku/>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序号</w:t>
                  </w:r>
                </w:p>
              </w:tc>
              <w:tc>
                <w:tcPr>
                  <w:tcW w:w="3193" w:type="pct"/>
                  <w:noWrap w:val="0"/>
                  <w:vAlign w:val="center"/>
                </w:tcPr>
                <w:p>
                  <w:pPr>
                    <w:pStyle w:val="30"/>
                    <w:keepNext w:val="0"/>
                    <w:keepLines w:val="0"/>
                    <w:pageBreakBefore w:val="0"/>
                    <w:kinsoku/>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bCs/>
                      <w:color w:val="auto"/>
                      <w:sz w:val="18"/>
                      <w:szCs w:val="18"/>
                    </w:rPr>
                    <w:t>管控条款</w:t>
                  </w:r>
                </w:p>
              </w:tc>
              <w:tc>
                <w:tcPr>
                  <w:tcW w:w="977" w:type="pct"/>
                  <w:noWrap w:val="0"/>
                  <w:vAlign w:val="center"/>
                </w:tcPr>
                <w:p>
                  <w:pPr>
                    <w:pStyle w:val="30"/>
                    <w:keepNext w:val="0"/>
                    <w:keepLines w:val="0"/>
                    <w:pageBreakBefore w:val="0"/>
                    <w:kinsoku/>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本项目情况</w:t>
                  </w:r>
                </w:p>
              </w:tc>
              <w:tc>
                <w:tcPr>
                  <w:tcW w:w="515" w:type="pct"/>
                  <w:noWrap w:val="0"/>
                  <w:vAlign w:val="center"/>
                </w:tcPr>
                <w:p>
                  <w:pPr>
                    <w:pStyle w:val="30"/>
                    <w:keepNext w:val="0"/>
                    <w:keepLines w:val="0"/>
                    <w:pageBreakBefore w:val="0"/>
                    <w:kinsoku/>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4" w:type="pct"/>
                  <w:noWrap w:val="0"/>
                  <w:vAlign w:val="center"/>
                </w:tcPr>
                <w:p>
                  <w:pPr>
                    <w:pStyle w:val="30"/>
                    <w:keepNext w:val="0"/>
                    <w:keepLines w:val="0"/>
                    <w:pageBreakBefore w:val="0"/>
                    <w:kinsoku/>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1</w:t>
                  </w:r>
                </w:p>
              </w:tc>
              <w:tc>
                <w:tcPr>
                  <w:tcW w:w="3193" w:type="pct"/>
                  <w:noWrap w:val="0"/>
                  <w:vAlign w:val="center"/>
                </w:tcPr>
                <w:p>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auto"/>
                      <w:kern w:val="0"/>
                      <w:sz w:val="18"/>
                      <w:szCs w:val="18"/>
                    </w:rPr>
                  </w:pPr>
                  <w:r>
                    <w:rPr>
                      <w:rFonts w:hint="default" w:ascii="Times New Roman" w:hAnsi="Times New Roman" w:eastAsia="宋体" w:cs="Times New Roman"/>
                      <w:bCs/>
                      <w:color w:val="auto"/>
                      <w:kern w:val="0"/>
                      <w:sz w:val="18"/>
                      <w:szCs w:val="18"/>
                    </w:rPr>
                    <w:t>禁止建设不符合全国和省级港口布局规划以及港口总体规划的码头项目，禁止建设不符合《长江干线过江通道布局规划》的过长江通道项目。</w:t>
                  </w:r>
                </w:p>
              </w:tc>
              <w:tc>
                <w:tcPr>
                  <w:tcW w:w="977" w:type="pct"/>
                  <w:noWrap w:val="0"/>
                  <w:vAlign w:val="center"/>
                </w:tcPr>
                <w:p>
                  <w:pPr>
                    <w:keepNext w:val="0"/>
                    <w:keepLines w:val="0"/>
                    <w:pageBreakBefore w:val="0"/>
                    <w:widowControl/>
                    <w:kinsoku/>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auto"/>
                      <w:kern w:val="0"/>
                      <w:sz w:val="18"/>
                      <w:szCs w:val="18"/>
                    </w:rPr>
                  </w:pPr>
                  <w:r>
                    <w:rPr>
                      <w:rFonts w:hint="default" w:ascii="Times New Roman" w:hAnsi="Times New Roman" w:eastAsia="宋体" w:cs="Times New Roman"/>
                      <w:bCs/>
                      <w:color w:val="auto"/>
                      <w:kern w:val="0"/>
                      <w:sz w:val="18"/>
                      <w:szCs w:val="18"/>
                    </w:rPr>
                    <w:t>项目不属于码头项目。</w:t>
                  </w:r>
                </w:p>
              </w:tc>
              <w:tc>
                <w:tcPr>
                  <w:tcW w:w="515" w:type="pct"/>
                  <w:noWrap w:val="0"/>
                  <w:vAlign w:val="center"/>
                </w:tcPr>
                <w:p>
                  <w:pPr>
                    <w:pStyle w:val="30"/>
                    <w:keepNext w:val="0"/>
                    <w:keepLines w:val="0"/>
                    <w:pageBreakBefore w:val="0"/>
                    <w:kinsoku/>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4" w:type="pct"/>
                  <w:noWrap w:val="0"/>
                  <w:vAlign w:val="center"/>
                </w:tcPr>
                <w:p>
                  <w:pPr>
                    <w:pStyle w:val="30"/>
                    <w:keepNext w:val="0"/>
                    <w:keepLines w:val="0"/>
                    <w:pageBreakBefore w:val="0"/>
                    <w:kinsoku/>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2</w:t>
                  </w:r>
                </w:p>
              </w:tc>
              <w:tc>
                <w:tcPr>
                  <w:tcW w:w="3193" w:type="pct"/>
                  <w:noWrap w:val="0"/>
                  <w:vAlign w:val="center"/>
                </w:tcPr>
                <w:p>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auto"/>
                      <w:kern w:val="0"/>
                      <w:sz w:val="18"/>
                      <w:szCs w:val="18"/>
                    </w:rPr>
                  </w:pPr>
                  <w:r>
                    <w:rPr>
                      <w:rFonts w:hint="default" w:ascii="Times New Roman" w:hAnsi="Times New Roman" w:eastAsia="宋体" w:cs="Times New Roman"/>
                      <w:bCs/>
                      <w:color w:val="auto"/>
                      <w:kern w:val="0"/>
                      <w:sz w:val="18"/>
                      <w:szCs w:val="18"/>
                    </w:rPr>
                    <w:t>禁止在自然保护区核心区、缓冲区的岸线和河段范围内投资建设旅游和生产经营项目。禁止在风景名胜区核心景区的岸线和河段范围内投资建设与风景名胜资源保护无关的项目。</w:t>
                  </w:r>
                </w:p>
              </w:tc>
              <w:tc>
                <w:tcPr>
                  <w:tcW w:w="977" w:type="pct"/>
                  <w:noWrap w:val="0"/>
                  <w:vAlign w:val="center"/>
                </w:tcPr>
                <w:p>
                  <w:pPr>
                    <w:keepNext w:val="0"/>
                    <w:keepLines w:val="0"/>
                    <w:pageBreakBefore w:val="0"/>
                    <w:widowControl/>
                    <w:kinsoku/>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auto"/>
                      <w:kern w:val="0"/>
                      <w:sz w:val="18"/>
                      <w:szCs w:val="18"/>
                    </w:rPr>
                  </w:pPr>
                  <w:r>
                    <w:rPr>
                      <w:rFonts w:hint="default" w:ascii="Times New Roman" w:hAnsi="Times New Roman" w:eastAsia="宋体" w:cs="Times New Roman"/>
                      <w:bCs/>
                      <w:color w:val="auto"/>
                      <w:kern w:val="0"/>
                      <w:sz w:val="18"/>
                      <w:szCs w:val="18"/>
                    </w:rPr>
                    <w:t>项目周边无自然保护区、风景名胜区。</w:t>
                  </w:r>
                </w:p>
              </w:tc>
              <w:tc>
                <w:tcPr>
                  <w:tcW w:w="515" w:type="pct"/>
                  <w:noWrap w:val="0"/>
                  <w:vAlign w:val="center"/>
                </w:tcPr>
                <w:p>
                  <w:pPr>
                    <w:pStyle w:val="30"/>
                    <w:keepNext w:val="0"/>
                    <w:keepLines w:val="0"/>
                    <w:pageBreakBefore w:val="0"/>
                    <w:kinsoku/>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4" w:type="pct"/>
                  <w:noWrap w:val="0"/>
                  <w:vAlign w:val="center"/>
                </w:tcPr>
                <w:p>
                  <w:pPr>
                    <w:pStyle w:val="30"/>
                    <w:keepNext w:val="0"/>
                    <w:keepLines w:val="0"/>
                    <w:pageBreakBefore w:val="0"/>
                    <w:kinsoku/>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3</w:t>
                  </w:r>
                </w:p>
              </w:tc>
              <w:tc>
                <w:tcPr>
                  <w:tcW w:w="3193" w:type="pct"/>
                  <w:noWrap w:val="0"/>
                  <w:vAlign w:val="center"/>
                </w:tcPr>
                <w:p>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auto"/>
                      <w:kern w:val="0"/>
                      <w:sz w:val="18"/>
                      <w:szCs w:val="18"/>
                    </w:rPr>
                  </w:pPr>
                  <w:r>
                    <w:rPr>
                      <w:rFonts w:hint="default" w:ascii="Times New Roman" w:hAnsi="Times New Roman" w:eastAsia="宋体" w:cs="Times New Roman"/>
                      <w:bCs/>
                      <w:color w:val="auto"/>
                      <w:kern w:val="0"/>
                      <w:sz w:val="18"/>
                      <w:szCs w:val="18"/>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977" w:type="pct"/>
                  <w:noWrap w:val="0"/>
                  <w:vAlign w:val="center"/>
                </w:tcPr>
                <w:p>
                  <w:pPr>
                    <w:keepNext w:val="0"/>
                    <w:keepLines w:val="0"/>
                    <w:pageBreakBefore w:val="0"/>
                    <w:widowControl/>
                    <w:kinsoku/>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auto"/>
                      <w:kern w:val="0"/>
                      <w:sz w:val="18"/>
                      <w:szCs w:val="18"/>
                    </w:rPr>
                  </w:pPr>
                  <w:r>
                    <w:rPr>
                      <w:rFonts w:hint="default" w:ascii="Times New Roman" w:hAnsi="Times New Roman" w:eastAsia="宋体" w:cs="Times New Roman"/>
                      <w:bCs/>
                      <w:color w:val="auto"/>
                      <w:kern w:val="0"/>
                      <w:sz w:val="18"/>
                      <w:szCs w:val="18"/>
                    </w:rPr>
                    <w:t>项目周边无饮用水水源保护区。</w:t>
                  </w:r>
                </w:p>
              </w:tc>
              <w:tc>
                <w:tcPr>
                  <w:tcW w:w="515" w:type="pct"/>
                  <w:noWrap w:val="0"/>
                  <w:vAlign w:val="center"/>
                </w:tcPr>
                <w:p>
                  <w:pPr>
                    <w:pStyle w:val="30"/>
                    <w:keepNext w:val="0"/>
                    <w:keepLines w:val="0"/>
                    <w:pageBreakBefore w:val="0"/>
                    <w:kinsoku/>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4" w:type="pct"/>
                  <w:noWrap w:val="0"/>
                  <w:vAlign w:val="center"/>
                </w:tcPr>
                <w:p>
                  <w:pPr>
                    <w:pStyle w:val="30"/>
                    <w:keepNext w:val="0"/>
                    <w:keepLines w:val="0"/>
                    <w:pageBreakBefore w:val="0"/>
                    <w:kinsoku/>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4</w:t>
                  </w:r>
                </w:p>
              </w:tc>
              <w:tc>
                <w:tcPr>
                  <w:tcW w:w="3193" w:type="pct"/>
                  <w:noWrap w:val="0"/>
                  <w:vAlign w:val="center"/>
                </w:tcPr>
                <w:p>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auto"/>
                      <w:kern w:val="0"/>
                      <w:sz w:val="18"/>
                      <w:szCs w:val="18"/>
                    </w:rPr>
                  </w:pPr>
                  <w:r>
                    <w:rPr>
                      <w:rFonts w:hint="default" w:ascii="Times New Roman" w:hAnsi="Times New Roman" w:eastAsia="宋体" w:cs="Times New Roman"/>
                      <w:bCs/>
                      <w:color w:val="auto"/>
                      <w:kern w:val="0"/>
                      <w:sz w:val="18"/>
                      <w:szCs w:val="18"/>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977" w:type="pct"/>
                  <w:noWrap w:val="0"/>
                  <w:vAlign w:val="center"/>
                </w:tcPr>
                <w:p>
                  <w:pPr>
                    <w:keepNext w:val="0"/>
                    <w:keepLines w:val="0"/>
                    <w:pageBreakBefore w:val="0"/>
                    <w:widowControl/>
                    <w:kinsoku/>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auto"/>
                      <w:kern w:val="0"/>
                      <w:sz w:val="18"/>
                      <w:szCs w:val="18"/>
                    </w:rPr>
                  </w:pPr>
                  <w:r>
                    <w:rPr>
                      <w:rFonts w:hint="default" w:ascii="Times New Roman" w:hAnsi="Times New Roman" w:eastAsia="宋体" w:cs="Times New Roman"/>
                      <w:bCs/>
                      <w:color w:val="auto"/>
                      <w:kern w:val="0"/>
                      <w:sz w:val="18"/>
                      <w:szCs w:val="18"/>
                    </w:rPr>
                    <w:t>项目周边无水产种质资源保护区</w:t>
                  </w:r>
                  <w:r>
                    <w:rPr>
                      <w:rFonts w:hint="default" w:ascii="Times New Roman" w:hAnsi="Times New Roman" w:eastAsia="宋体" w:cs="Times New Roman"/>
                      <w:bCs/>
                      <w:color w:val="auto"/>
                      <w:kern w:val="0"/>
                      <w:sz w:val="18"/>
                      <w:szCs w:val="18"/>
                      <w:lang w:eastAsia="zh-CN"/>
                    </w:rPr>
                    <w:t>、</w:t>
                  </w:r>
                  <w:r>
                    <w:rPr>
                      <w:rFonts w:hint="default" w:ascii="Times New Roman" w:hAnsi="Times New Roman" w:eastAsia="宋体" w:cs="Times New Roman"/>
                      <w:bCs/>
                      <w:color w:val="auto"/>
                      <w:kern w:val="0"/>
                      <w:sz w:val="18"/>
                      <w:szCs w:val="18"/>
                    </w:rPr>
                    <w:t>国家湿地公园。</w:t>
                  </w:r>
                </w:p>
              </w:tc>
              <w:tc>
                <w:tcPr>
                  <w:tcW w:w="515" w:type="pct"/>
                  <w:noWrap w:val="0"/>
                  <w:vAlign w:val="center"/>
                </w:tcPr>
                <w:p>
                  <w:pPr>
                    <w:pStyle w:val="30"/>
                    <w:keepNext w:val="0"/>
                    <w:keepLines w:val="0"/>
                    <w:pageBreakBefore w:val="0"/>
                    <w:kinsoku/>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4" w:type="pct"/>
                  <w:noWrap w:val="0"/>
                  <w:vAlign w:val="center"/>
                </w:tcPr>
                <w:p>
                  <w:pPr>
                    <w:pStyle w:val="30"/>
                    <w:keepNext w:val="0"/>
                    <w:keepLines w:val="0"/>
                    <w:pageBreakBefore w:val="0"/>
                    <w:kinsoku/>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5</w:t>
                  </w:r>
                </w:p>
              </w:tc>
              <w:tc>
                <w:tcPr>
                  <w:tcW w:w="3193" w:type="pct"/>
                  <w:noWrap w:val="0"/>
                  <w:vAlign w:val="center"/>
                </w:tcPr>
                <w:p>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auto"/>
                      <w:kern w:val="0"/>
                      <w:sz w:val="18"/>
                      <w:szCs w:val="18"/>
                    </w:rPr>
                  </w:pPr>
                  <w:r>
                    <w:rPr>
                      <w:rFonts w:hint="default" w:ascii="Times New Roman" w:hAnsi="Times New Roman" w:eastAsia="宋体" w:cs="Times New Roman"/>
                      <w:bCs/>
                      <w:color w:val="auto"/>
                      <w:kern w:val="0"/>
                      <w:sz w:val="18"/>
                      <w:szCs w:val="18"/>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977" w:type="pct"/>
                  <w:noWrap w:val="0"/>
                  <w:vAlign w:val="center"/>
                </w:tcPr>
                <w:p>
                  <w:pPr>
                    <w:keepNext w:val="0"/>
                    <w:keepLines w:val="0"/>
                    <w:pageBreakBefore w:val="0"/>
                    <w:widowControl/>
                    <w:kinsoku/>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auto"/>
                      <w:kern w:val="0"/>
                      <w:sz w:val="18"/>
                      <w:szCs w:val="18"/>
                    </w:rPr>
                  </w:pPr>
                  <w:r>
                    <w:rPr>
                      <w:rFonts w:hint="default" w:ascii="Times New Roman" w:hAnsi="Times New Roman" w:eastAsia="宋体" w:cs="Times New Roman"/>
                      <w:bCs/>
                      <w:color w:val="auto"/>
                      <w:kern w:val="0"/>
                      <w:sz w:val="18"/>
                      <w:szCs w:val="18"/>
                    </w:rPr>
                    <w:t>项目未利用、占用长江流域河湖岸线。</w:t>
                  </w:r>
                </w:p>
              </w:tc>
              <w:tc>
                <w:tcPr>
                  <w:tcW w:w="515" w:type="pct"/>
                  <w:noWrap w:val="0"/>
                  <w:vAlign w:val="center"/>
                </w:tcPr>
                <w:p>
                  <w:pPr>
                    <w:pStyle w:val="30"/>
                    <w:keepNext w:val="0"/>
                    <w:keepLines w:val="0"/>
                    <w:pageBreakBefore w:val="0"/>
                    <w:kinsoku/>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4" w:type="pct"/>
                  <w:noWrap w:val="0"/>
                  <w:vAlign w:val="center"/>
                </w:tcPr>
                <w:p>
                  <w:pPr>
                    <w:pStyle w:val="30"/>
                    <w:keepNext w:val="0"/>
                    <w:keepLines w:val="0"/>
                    <w:pageBreakBefore w:val="0"/>
                    <w:kinsoku/>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6</w:t>
                  </w:r>
                </w:p>
              </w:tc>
              <w:tc>
                <w:tcPr>
                  <w:tcW w:w="3193" w:type="pct"/>
                  <w:noWrap w:val="0"/>
                  <w:vAlign w:val="center"/>
                </w:tcPr>
                <w:p>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auto"/>
                      <w:kern w:val="0"/>
                      <w:sz w:val="18"/>
                      <w:szCs w:val="18"/>
                    </w:rPr>
                  </w:pPr>
                  <w:r>
                    <w:rPr>
                      <w:rFonts w:hint="default" w:ascii="Times New Roman" w:hAnsi="Times New Roman" w:eastAsia="宋体" w:cs="Times New Roman"/>
                      <w:bCs/>
                      <w:color w:val="auto"/>
                      <w:kern w:val="0"/>
                      <w:sz w:val="18"/>
                      <w:szCs w:val="18"/>
                    </w:rPr>
                    <w:t>禁止未经许可在长江干支流及湖泊新设、改设或扩大排污口。</w:t>
                  </w:r>
                </w:p>
              </w:tc>
              <w:tc>
                <w:tcPr>
                  <w:tcW w:w="977" w:type="pct"/>
                  <w:noWrap w:val="0"/>
                  <w:vAlign w:val="center"/>
                </w:tcPr>
                <w:p>
                  <w:pPr>
                    <w:keepNext w:val="0"/>
                    <w:keepLines w:val="0"/>
                    <w:pageBreakBefore w:val="0"/>
                    <w:widowControl/>
                    <w:kinsoku/>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auto"/>
                      <w:kern w:val="0"/>
                      <w:sz w:val="18"/>
                      <w:szCs w:val="18"/>
                      <w:lang w:val="en-US" w:eastAsia="zh-CN"/>
                    </w:rPr>
                  </w:pPr>
                  <w:r>
                    <w:rPr>
                      <w:rFonts w:hint="default" w:ascii="Times New Roman" w:hAnsi="Times New Roman" w:eastAsia="宋体" w:cs="Times New Roman"/>
                      <w:bCs/>
                      <w:color w:val="auto"/>
                      <w:kern w:val="0"/>
                      <w:sz w:val="18"/>
                      <w:szCs w:val="18"/>
                    </w:rPr>
                    <w:t>项目不在长江干支流及湖泊区域</w:t>
                  </w:r>
                  <w:r>
                    <w:rPr>
                      <w:rFonts w:hint="default" w:ascii="Times New Roman" w:hAnsi="Times New Roman" w:eastAsia="宋体" w:cs="Times New Roman"/>
                      <w:bCs/>
                      <w:color w:val="auto"/>
                      <w:kern w:val="0"/>
                      <w:sz w:val="18"/>
                      <w:szCs w:val="18"/>
                      <w:lang w:val="en-US" w:eastAsia="zh-CN"/>
                    </w:rPr>
                    <w:t>.</w:t>
                  </w:r>
                </w:p>
              </w:tc>
              <w:tc>
                <w:tcPr>
                  <w:tcW w:w="515" w:type="pct"/>
                  <w:noWrap w:val="0"/>
                  <w:vAlign w:val="center"/>
                </w:tcPr>
                <w:p>
                  <w:pPr>
                    <w:pStyle w:val="30"/>
                    <w:keepNext w:val="0"/>
                    <w:keepLines w:val="0"/>
                    <w:pageBreakBefore w:val="0"/>
                    <w:kinsoku/>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4" w:type="pct"/>
                  <w:noWrap w:val="0"/>
                  <w:vAlign w:val="center"/>
                </w:tcPr>
                <w:p>
                  <w:pPr>
                    <w:pStyle w:val="30"/>
                    <w:keepNext w:val="0"/>
                    <w:keepLines w:val="0"/>
                    <w:pageBreakBefore w:val="0"/>
                    <w:kinsoku/>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7</w:t>
                  </w:r>
                </w:p>
              </w:tc>
              <w:tc>
                <w:tcPr>
                  <w:tcW w:w="3193" w:type="pct"/>
                  <w:noWrap w:val="0"/>
                  <w:vAlign w:val="center"/>
                </w:tcPr>
                <w:p>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auto"/>
                      <w:kern w:val="0"/>
                      <w:sz w:val="18"/>
                      <w:szCs w:val="18"/>
                    </w:rPr>
                  </w:pPr>
                  <w:r>
                    <w:rPr>
                      <w:rFonts w:hint="default" w:ascii="Times New Roman" w:hAnsi="Times New Roman" w:eastAsia="宋体" w:cs="Times New Roman"/>
                      <w:bCs/>
                      <w:color w:val="auto"/>
                      <w:kern w:val="0"/>
                      <w:sz w:val="18"/>
                      <w:szCs w:val="18"/>
                    </w:rPr>
                    <w:t>禁止在“一江一口两湖七河”和332个水生生物保护区开展生产性捕捞。</w:t>
                  </w:r>
                </w:p>
              </w:tc>
              <w:tc>
                <w:tcPr>
                  <w:tcW w:w="977" w:type="pct"/>
                  <w:noWrap w:val="0"/>
                  <w:vAlign w:val="center"/>
                </w:tcPr>
                <w:p>
                  <w:pPr>
                    <w:keepNext w:val="0"/>
                    <w:keepLines w:val="0"/>
                    <w:pageBreakBefore w:val="0"/>
                    <w:widowControl/>
                    <w:kinsoku/>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auto"/>
                      <w:kern w:val="0"/>
                      <w:sz w:val="18"/>
                      <w:szCs w:val="18"/>
                    </w:rPr>
                  </w:pPr>
                  <w:r>
                    <w:rPr>
                      <w:rFonts w:hint="default" w:ascii="Times New Roman" w:hAnsi="Times New Roman" w:eastAsia="宋体" w:cs="Times New Roman"/>
                      <w:bCs/>
                      <w:color w:val="auto"/>
                      <w:kern w:val="0"/>
                      <w:sz w:val="18"/>
                      <w:szCs w:val="18"/>
                    </w:rPr>
                    <w:t>项目不属于渔业项目。</w:t>
                  </w:r>
                </w:p>
              </w:tc>
              <w:tc>
                <w:tcPr>
                  <w:tcW w:w="515" w:type="pct"/>
                  <w:noWrap w:val="0"/>
                  <w:vAlign w:val="center"/>
                </w:tcPr>
                <w:p>
                  <w:pPr>
                    <w:pStyle w:val="30"/>
                    <w:keepNext w:val="0"/>
                    <w:keepLines w:val="0"/>
                    <w:pageBreakBefore w:val="0"/>
                    <w:kinsoku/>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314" w:type="pct"/>
                  <w:noWrap w:val="0"/>
                  <w:vAlign w:val="center"/>
                </w:tcPr>
                <w:p>
                  <w:pPr>
                    <w:pStyle w:val="30"/>
                    <w:keepNext w:val="0"/>
                    <w:keepLines w:val="0"/>
                    <w:pageBreakBefore w:val="0"/>
                    <w:kinsoku/>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8</w:t>
                  </w:r>
                </w:p>
              </w:tc>
              <w:tc>
                <w:tcPr>
                  <w:tcW w:w="3193" w:type="pct"/>
                  <w:noWrap w:val="0"/>
                  <w:vAlign w:val="center"/>
                </w:tcPr>
                <w:p>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auto"/>
                      <w:kern w:val="0"/>
                      <w:sz w:val="18"/>
                      <w:szCs w:val="18"/>
                    </w:rPr>
                  </w:pPr>
                  <w:r>
                    <w:rPr>
                      <w:rFonts w:hint="default" w:ascii="Times New Roman" w:hAnsi="Times New Roman" w:eastAsia="宋体" w:cs="Times New Roman"/>
                      <w:bCs/>
                      <w:color w:val="auto"/>
                      <w:kern w:val="0"/>
                      <w:sz w:val="18"/>
                      <w:szCs w:val="18"/>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977" w:type="pct"/>
                  <w:noWrap w:val="0"/>
                  <w:vAlign w:val="center"/>
                </w:tcPr>
                <w:p>
                  <w:pPr>
                    <w:keepNext w:val="0"/>
                    <w:keepLines w:val="0"/>
                    <w:pageBreakBefore w:val="0"/>
                    <w:widowControl/>
                    <w:kinsoku/>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auto"/>
                      <w:kern w:val="0"/>
                      <w:sz w:val="18"/>
                      <w:szCs w:val="18"/>
                    </w:rPr>
                  </w:pPr>
                  <w:r>
                    <w:rPr>
                      <w:rFonts w:hint="default" w:ascii="Times New Roman" w:hAnsi="Times New Roman" w:eastAsia="宋体" w:cs="Times New Roman"/>
                      <w:bCs/>
                      <w:color w:val="auto"/>
                      <w:kern w:val="0"/>
                      <w:sz w:val="18"/>
                      <w:szCs w:val="18"/>
                    </w:rPr>
                    <w:t>项目不属于化工项目。</w:t>
                  </w:r>
                </w:p>
              </w:tc>
              <w:tc>
                <w:tcPr>
                  <w:tcW w:w="515" w:type="pct"/>
                  <w:noWrap w:val="0"/>
                  <w:vAlign w:val="center"/>
                </w:tcPr>
                <w:p>
                  <w:pPr>
                    <w:pStyle w:val="30"/>
                    <w:keepNext w:val="0"/>
                    <w:keepLines w:val="0"/>
                    <w:pageBreakBefore w:val="0"/>
                    <w:kinsoku/>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4" w:type="pct"/>
                  <w:noWrap w:val="0"/>
                  <w:vAlign w:val="center"/>
                </w:tcPr>
                <w:p>
                  <w:pPr>
                    <w:pStyle w:val="30"/>
                    <w:keepNext w:val="0"/>
                    <w:keepLines w:val="0"/>
                    <w:pageBreakBefore w:val="0"/>
                    <w:kinsoku/>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9</w:t>
                  </w:r>
                </w:p>
              </w:tc>
              <w:tc>
                <w:tcPr>
                  <w:tcW w:w="3193" w:type="pct"/>
                  <w:noWrap w:val="0"/>
                  <w:vAlign w:val="center"/>
                </w:tcPr>
                <w:p>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auto"/>
                      <w:kern w:val="0"/>
                      <w:sz w:val="18"/>
                      <w:szCs w:val="18"/>
                    </w:rPr>
                  </w:pPr>
                  <w:r>
                    <w:rPr>
                      <w:rFonts w:hint="default" w:ascii="Times New Roman" w:hAnsi="Times New Roman" w:eastAsia="宋体" w:cs="Times New Roman"/>
                      <w:bCs/>
                      <w:color w:val="auto"/>
                      <w:kern w:val="0"/>
                      <w:sz w:val="18"/>
                      <w:szCs w:val="18"/>
                    </w:rPr>
                    <w:t>禁止在合规园区外新建、扩建钢铁、石化、化工、焦化、建材、有色、制浆造纸等高污染项目。</w:t>
                  </w:r>
                </w:p>
              </w:tc>
              <w:tc>
                <w:tcPr>
                  <w:tcW w:w="977" w:type="pct"/>
                  <w:noWrap w:val="0"/>
                  <w:vAlign w:val="center"/>
                </w:tcPr>
                <w:p>
                  <w:pPr>
                    <w:keepNext w:val="0"/>
                    <w:keepLines w:val="0"/>
                    <w:pageBreakBefore w:val="0"/>
                    <w:widowControl/>
                    <w:kinsoku/>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auto"/>
                      <w:kern w:val="0"/>
                      <w:sz w:val="18"/>
                      <w:szCs w:val="18"/>
                    </w:rPr>
                  </w:pPr>
                  <w:r>
                    <w:rPr>
                      <w:rFonts w:hint="default" w:ascii="Times New Roman" w:hAnsi="Times New Roman" w:eastAsia="宋体" w:cs="Times New Roman"/>
                      <w:bCs/>
                      <w:color w:val="auto"/>
                      <w:kern w:val="0"/>
                      <w:sz w:val="18"/>
                      <w:szCs w:val="18"/>
                    </w:rPr>
                    <w:t>项目钢铁、石化</w:t>
                  </w:r>
                  <w:r>
                    <w:rPr>
                      <w:rFonts w:hint="default" w:ascii="Times New Roman" w:hAnsi="Times New Roman" w:eastAsia="宋体" w:cs="Times New Roman"/>
                      <w:bCs/>
                      <w:color w:val="auto"/>
                      <w:kern w:val="0"/>
                      <w:sz w:val="18"/>
                      <w:szCs w:val="18"/>
                      <w:lang w:val="en-US" w:eastAsia="zh-CN"/>
                    </w:rPr>
                    <w:t>等</w:t>
                  </w:r>
                  <w:r>
                    <w:rPr>
                      <w:rFonts w:hint="default" w:ascii="Times New Roman" w:hAnsi="Times New Roman" w:eastAsia="宋体" w:cs="Times New Roman"/>
                      <w:bCs/>
                      <w:color w:val="auto"/>
                      <w:kern w:val="0"/>
                      <w:sz w:val="18"/>
                      <w:szCs w:val="18"/>
                    </w:rPr>
                    <w:t>高污染项目。</w:t>
                  </w:r>
                </w:p>
              </w:tc>
              <w:tc>
                <w:tcPr>
                  <w:tcW w:w="515" w:type="pct"/>
                  <w:noWrap w:val="0"/>
                  <w:vAlign w:val="center"/>
                </w:tcPr>
                <w:p>
                  <w:pPr>
                    <w:pStyle w:val="30"/>
                    <w:keepNext w:val="0"/>
                    <w:keepLines w:val="0"/>
                    <w:pageBreakBefore w:val="0"/>
                    <w:kinsoku/>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4" w:type="pct"/>
                  <w:noWrap w:val="0"/>
                  <w:vAlign w:val="center"/>
                </w:tcPr>
                <w:p>
                  <w:pPr>
                    <w:pStyle w:val="30"/>
                    <w:keepNext w:val="0"/>
                    <w:keepLines w:val="0"/>
                    <w:pageBreakBefore w:val="0"/>
                    <w:kinsoku/>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auto"/>
                      <w:spacing w:val="-17"/>
                      <w:sz w:val="18"/>
                      <w:szCs w:val="18"/>
                    </w:rPr>
                  </w:pPr>
                  <w:r>
                    <w:rPr>
                      <w:rFonts w:hint="default" w:ascii="Times New Roman" w:hAnsi="Times New Roman" w:eastAsia="宋体" w:cs="Times New Roman"/>
                      <w:bCs/>
                      <w:color w:val="auto"/>
                      <w:spacing w:val="-17"/>
                      <w:sz w:val="18"/>
                      <w:szCs w:val="18"/>
                    </w:rPr>
                    <w:t>10</w:t>
                  </w:r>
                </w:p>
              </w:tc>
              <w:tc>
                <w:tcPr>
                  <w:tcW w:w="3193" w:type="pct"/>
                  <w:noWrap w:val="0"/>
                  <w:vAlign w:val="center"/>
                </w:tcPr>
                <w:p>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auto"/>
                      <w:kern w:val="0"/>
                      <w:sz w:val="18"/>
                      <w:szCs w:val="18"/>
                    </w:rPr>
                  </w:pPr>
                  <w:r>
                    <w:rPr>
                      <w:rFonts w:hint="default" w:ascii="Times New Roman" w:hAnsi="Times New Roman" w:eastAsia="宋体" w:cs="Times New Roman"/>
                      <w:bCs/>
                      <w:color w:val="auto"/>
                      <w:kern w:val="0"/>
                      <w:sz w:val="18"/>
                      <w:szCs w:val="18"/>
                    </w:rPr>
                    <w:t>禁止新建、扩建不符合国家石化、现代煤化工等产业布局规划的项目。</w:t>
                  </w:r>
                </w:p>
              </w:tc>
              <w:tc>
                <w:tcPr>
                  <w:tcW w:w="977" w:type="pct"/>
                  <w:noWrap w:val="0"/>
                  <w:vAlign w:val="center"/>
                </w:tcPr>
                <w:p>
                  <w:pPr>
                    <w:keepNext w:val="0"/>
                    <w:keepLines w:val="0"/>
                    <w:pageBreakBefore w:val="0"/>
                    <w:widowControl/>
                    <w:kinsoku/>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auto"/>
                      <w:kern w:val="0"/>
                      <w:sz w:val="18"/>
                      <w:szCs w:val="18"/>
                    </w:rPr>
                  </w:pPr>
                  <w:r>
                    <w:rPr>
                      <w:rFonts w:hint="default" w:ascii="Times New Roman" w:hAnsi="Times New Roman" w:eastAsia="宋体" w:cs="Times New Roman"/>
                      <w:bCs/>
                      <w:color w:val="auto"/>
                      <w:kern w:val="0"/>
                      <w:sz w:val="18"/>
                      <w:szCs w:val="18"/>
                    </w:rPr>
                    <w:t>不属于石化、现代煤化工</w:t>
                  </w:r>
                  <w:r>
                    <w:rPr>
                      <w:rFonts w:hint="default" w:ascii="Times New Roman" w:hAnsi="Times New Roman" w:eastAsia="宋体" w:cs="Times New Roman"/>
                      <w:bCs/>
                      <w:color w:val="auto"/>
                      <w:kern w:val="0"/>
                      <w:sz w:val="18"/>
                      <w:szCs w:val="18"/>
                      <w:lang w:val="en-US" w:eastAsia="zh-CN"/>
                    </w:rPr>
                    <w:t>项目</w:t>
                  </w:r>
                  <w:r>
                    <w:rPr>
                      <w:rFonts w:hint="default" w:ascii="Times New Roman" w:hAnsi="Times New Roman" w:eastAsia="宋体" w:cs="Times New Roman"/>
                      <w:bCs/>
                      <w:color w:val="auto"/>
                      <w:kern w:val="0"/>
                      <w:sz w:val="18"/>
                      <w:szCs w:val="18"/>
                    </w:rPr>
                    <w:t>。</w:t>
                  </w:r>
                </w:p>
              </w:tc>
              <w:tc>
                <w:tcPr>
                  <w:tcW w:w="515" w:type="pct"/>
                  <w:noWrap w:val="0"/>
                  <w:vAlign w:val="center"/>
                </w:tcPr>
                <w:p>
                  <w:pPr>
                    <w:pStyle w:val="30"/>
                    <w:keepNext w:val="0"/>
                    <w:keepLines w:val="0"/>
                    <w:pageBreakBefore w:val="0"/>
                    <w:kinsoku/>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314" w:type="pct"/>
                  <w:noWrap w:val="0"/>
                  <w:vAlign w:val="center"/>
                </w:tcPr>
                <w:p>
                  <w:pPr>
                    <w:pStyle w:val="30"/>
                    <w:keepNext w:val="0"/>
                    <w:keepLines w:val="0"/>
                    <w:pageBreakBefore w:val="0"/>
                    <w:kinsoku/>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auto"/>
                      <w:spacing w:val="-17"/>
                      <w:sz w:val="18"/>
                      <w:szCs w:val="18"/>
                    </w:rPr>
                  </w:pPr>
                  <w:r>
                    <w:rPr>
                      <w:rFonts w:hint="default" w:ascii="Times New Roman" w:hAnsi="Times New Roman" w:eastAsia="宋体" w:cs="Times New Roman"/>
                      <w:bCs/>
                      <w:color w:val="auto"/>
                      <w:spacing w:val="-17"/>
                      <w:sz w:val="18"/>
                      <w:szCs w:val="18"/>
                    </w:rPr>
                    <w:t>11</w:t>
                  </w:r>
                </w:p>
              </w:tc>
              <w:tc>
                <w:tcPr>
                  <w:tcW w:w="3193" w:type="pct"/>
                  <w:noWrap w:val="0"/>
                  <w:vAlign w:val="center"/>
                </w:tcPr>
                <w:p>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auto"/>
                      <w:kern w:val="0"/>
                      <w:sz w:val="18"/>
                      <w:szCs w:val="18"/>
                    </w:rPr>
                  </w:pPr>
                  <w:r>
                    <w:rPr>
                      <w:rFonts w:hint="default" w:ascii="Times New Roman" w:hAnsi="Times New Roman" w:eastAsia="宋体" w:cs="Times New Roman"/>
                      <w:bCs/>
                      <w:color w:val="auto"/>
                      <w:kern w:val="0"/>
                      <w:sz w:val="18"/>
                      <w:szCs w:val="18"/>
                    </w:rPr>
                    <w:t>禁止新建、扩建法律法规和相关政策明令禁止的落后产能项目。禁止新建、扩建不符合国家产能置换要求的严重过剩产能行业的项目。禁止新建、扩建不符合要求的高耗能高排放项目。</w:t>
                  </w:r>
                </w:p>
              </w:tc>
              <w:tc>
                <w:tcPr>
                  <w:tcW w:w="977" w:type="pct"/>
                  <w:noWrap w:val="0"/>
                  <w:vAlign w:val="center"/>
                </w:tcPr>
                <w:p>
                  <w:pPr>
                    <w:keepNext w:val="0"/>
                    <w:keepLines w:val="0"/>
                    <w:pageBreakBefore w:val="0"/>
                    <w:widowControl/>
                    <w:kinsoku/>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auto"/>
                      <w:kern w:val="0"/>
                      <w:sz w:val="18"/>
                      <w:szCs w:val="18"/>
                    </w:rPr>
                  </w:pPr>
                  <w:r>
                    <w:rPr>
                      <w:rFonts w:hint="default" w:ascii="Times New Roman" w:hAnsi="Times New Roman" w:eastAsia="宋体" w:cs="Times New Roman"/>
                      <w:bCs/>
                      <w:color w:val="auto"/>
                      <w:kern w:val="0"/>
                      <w:sz w:val="18"/>
                      <w:szCs w:val="18"/>
                    </w:rPr>
                    <w:t>项目不属于落后产能</w:t>
                  </w:r>
                  <w:r>
                    <w:rPr>
                      <w:rFonts w:hint="default" w:ascii="Times New Roman" w:hAnsi="Times New Roman" w:eastAsia="宋体" w:cs="Times New Roman"/>
                      <w:bCs/>
                      <w:color w:val="auto"/>
                      <w:kern w:val="0"/>
                      <w:sz w:val="18"/>
                      <w:szCs w:val="18"/>
                      <w:lang w:eastAsia="zh-CN"/>
                    </w:rPr>
                    <w:t>、</w:t>
                  </w:r>
                  <w:r>
                    <w:rPr>
                      <w:rFonts w:hint="default" w:ascii="Times New Roman" w:hAnsi="Times New Roman" w:eastAsia="宋体" w:cs="Times New Roman"/>
                      <w:bCs/>
                      <w:color w:val="auto"/>
                      <w:kern w:val="0"/>
                      <w:sz w:val="18"/>
                      <w:szCs w:val="18"/>
                    </w:rPr>
                    <w:t>严重过剩产能</w:t>
                  </w:r>
                  <w:r>
                    <w:rPr>
                      <w:rFonts w:hint="default" w:ascii="Times New Roman" w:hAnsi="Times New Roman" w:eastAsia="宋体" w:cs="Times New Roman"/>
                      <w:bCs/>
                      <w:color w:val="auto"/>
                      <w:kern w:val="0"/>
                      <w:sz w:val="18"/>
                      <w:szCs w:val="18"/>
                      <w:lang w:eastAsia="zh-CN"/>
                    </w:rPr>
                    <w:t>、</w:t>
                  </w:r>
                  <w:r>
                    <w:rPr>
                      <w:rFonts w:hint="default" w:ascii="Times New Roman" w:hAnsi="Times New Roman" w:eastAsia="宋体" w:cs="Times New Roman"/>
                      <w:bCs/>
                      <w:color w:val="auto"/>
                      <w:kern w:val="0"/>
                      <w:sz w:val="18"/>
                      <w:szCs w:val="18"/>
                      <w:lang w:val="en-US" w:eastAsia="zh-CN"/>
                    </w:rPr>
                    <w:t>两高</w:t>
                  </w:r>
                  <w:r>
                    <w:rPr>
                      <w:rFonts w:hint="default" w:ascii="Times New Roman" w:hAnsi="Times New Roman" w:eastAsia="宋体" w:cs="Times New Roman"/>
                      <w:bCs/>
                      <w:color w:val="auto"/>
                      <w:kern w:val="0"/>
                      <w:sz w:val="18"/>
                      <w:szCs w:val="18"/>
                    </w:rPr>
                    <w:t>项目。</w:t>
                  </w:r>
                </w:p>
              </w:tc>
              <w:tc>
                <w:tcPr>
                  <w:tcW w:w="515" w:type="pct"/>
                  <w:noWrap w:val="0"/>
                  <w:vAlign w:val="center"/>
                </w:tcPr>
                <w:p>
                  <w:pPr>
                    <w:pStyle w:val="30"/>
                    <w:keepNext w:val="0"/>
                    <w:keepLines w:val="0"/>
                    <w:pageBreakBefore w:val="0"/>
                    <w:kinsoku/>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相符</w:t>
                  </w:r>
                </w:p>
              </w:tc>
            </w:tr>
          </w:tbl>
          <w:p>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2）与《&lt;长江经济带发展负面清单指南（试行，2022年版）&gt;江苏省实施细则》（苏长江办发〔2022〕55号）相符性</w:t>
            </w:r>
          </w:p>
          <w:p>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项目与《&lt;长江经济带发展负面清单指南（试行，2022年版）&gt;江苏省实施细则》（苏长江办发〔2022〕55号）中相关内容相符性分析情况如下：</w:t>
            </w:r>
          </w:p>
          <w:p>
            <w:pPr>
              <w:keepNext w:val="0"/>
              <w:keepLines w:val="0"/>
              <w:pageBreakBefore w:val="0"/>
              <w:widowControl w:val="0"/>
              <w:kinsoku/>
              <w:wordWrap/>
              <w:overflowPunct/>
              <w:topLinePunct w:val="0"/>
              <w:autoSpaceDE/>
              <w:autoSpaceDN/>
              <w:bidi w:val="0"/>
              <w:spacing w:line="500" w:lineRule="exac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表1-</w:t>
            </w:r>
            <w:r>
              <w:rPr>
                <w:rFonts w:hint="eastAsia" w:cs="Times New Roman"/>
                <w:b/>
                <w:bCs/>
                <w:color w:val="auto"/>
                <w:szCs w:val="21"/>
                <w:lang w:val="en-US" w:eastAsia="zh-CN"/>
              </w:rPr>
              <w:t>8</w:t>
            </w:r>
            <w:r>
              <w:rPr>
                <w:rFonts w:hint="default" w:ascii="Times New Roman" w:hAnsi="Times New Roman" w:cs="Times New Roman"/>
                <w:b/>
                <w:bCs/>
                <w:color w:val="auto"/>
                <w:szCs w:val="21"/>
              </w:rPr>
              <w:t xml:space="preserve">  与苏长江办发〔2022〕55号相符性分析</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16"/>
              <w:gridCol w:w="4419"/>
              <w:gridCol w:w="1373"/>
              <w:gridCol w:w="7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tblHeader/>
                <w:jc w:val="center"/>
              </w:trPr>
              <w:tc>
                <w:tcPr>
                  <w:tcW w:w="367" w:type="pct"/>
                  <w:noWrap w:val="0"/>
                  <w:vAlign w:val="center"/>
                </w:tcPr>
                <w:p>
                  <w:pPr>
                    <w:pStyle w:val="30"/>
                    <w:keepNext w:val="0"/>
                    <w:keepLines w:val="0"/>
                    <w:pageBreakBefore w:val="0"/>
                    <w:kinsoku/>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序号</w:t>
                  </w:r>
                </w:p>
              </w:tc>
              <w:tc>
                <w:tcPr>
                  <w:tcW w:w="3141" w:type="pct"/>
                  <w:noWrap w:val="0"/>
                  <w:vAlign w:val="center"/>
                </w:tcPr>
                <w:p>
                  <w:pPr>
                    <w:pStyle w:val="30"/>
                    <w:keepNext w:val="0"/>
                    <w:keepLines w:val="0"/>
                    <w:pageBreakBefore w:val="0"/>
                    <w:kinsoku/>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bCs/>
                      <w:color w:val="auto"/>
                      <w:sz w:val="18"/>
                      <w:szCs w:val="18"/>
                    </w:rPr>
                    <w:t>管控条款</w:t>
                  </w:r>
                </w:p>
              </w:tc>
              <w:tc>
                <w:tcPr>
                  <w:tcW w:w="976" w:type="pct"/>
                  <w:noWrap w:val="0"/>
                  <w:vAlign w:val="center"/>
                </w:tcPr>
                <w:p>
                  <w:pPr>
                    <w:pStyle w:val="30"/>
                    <w:keepNext w:val="0"/>
                    <w:keepLines w:val="0"/>
                    <w:pageBreakBefore w:val="0"/>
                    <w:kinsoku/>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本项目情况</w:t>
                  </w:r>
                </w:p>
              </w:tc>
              <w:tc>
                <w:tcPr>
                  <w:tcW w:w="514" w:type="pct"/>
                  <w:noWrap w:val="0"/>
                  <w:vAlign w:val="center"/>
                </w:tcPr>
                <w:p>
                  <w:pPr>
                    <w:pStyle w:val="30"/>
                    <w:keepNext w:val="0"/>
                    <w:keepLines w:val="0"/>
                    <w:pageBreakBefore w:val="0"/>
                    <w:kinsoku/>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7" w:type="pct"/>
                  <w:noWrap w:val="0"/>
                  <w:vAlign w:val="center"/>
                </w:tcPr>
                <w:p>
                  <w:pPr>
                    <w:pStyle w:val="30"/>
                    <w:keepNext w:val="0"/>
                    <w:keepLines w:val="0"/>
                    <w:pageBreakBefore w:val="0"/>
                    <w:kinsoku/>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1</w:t>
                  </w:r>
                </w:p>
              </w:tc>
              <w:tc>
                <w:tcPr>
                  <w:tcW w:w="3141" w:type="pct"/>
                  <w:noWrap w:val="0"/>
                  <w:vAlign w:val="center"/>
                </w:tcPr>
                <w:p>
                  <w:pPr>
                    <w:keepNext w:val="0"/>
                    <w:keepLines w:val="0"/>
                    <w:pageBreakBefore w:val="0"/>
                    <w:widowControl/>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firstLine="0" w:firstLineChars="0"/>
                    <w:jc w:val="both"/>
                    <w:textAlignment w:val="auto"/>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bCs/>
                      <w:color w:val="auto"/>
                      <w:kern w:val="0"/>
                      <w:sz w:val="18"/>
                      <w:szCs w:val="18"/>
                      <w:lang w:val="en-US" w:eastAsia="zh-CN" w:bidi="ar-SA"/>
                    </w:rPr>
                    <w:t>禁止建设不符合国家港口布局规划和《江苏省沿江沿海港口布局规划（2015-2030年）》《江苏省内河港口布局规划（2017-2035年）》以及我省有关港口总体规划的码头项目，禁止建设未纳入《长江干线过江通道布局规划》的过长江通道项目。</w:t>
                  </w:r>
                </w:p>
              </w:tc>
              <w:tc>
                <w:tcPr>
                  <w:tcW w:w="976" w:type="pct"/>
                  <w:noWrap w:val="0"/>
                  <w:vAlign w:val="center"/>
                </w:tcPr>
                <w:p>
                  <w:pPr>
                    <w:keepNext w:val="0"/>
                    <w:keepLines w:val="0"/>
                    <w:pageBreakBefore w:val="0"/>
                    <w:widowControl/>
                    <w:suppressLineNumbers w:val="0"/>
                    <w:kinsoku/>
                    <w:overflowPunct/>
                    <w:topLinePunct w:val="0"/>
                    <w:autoSpaceDE/>
                    <w:autoSpaceDN/>
                    <w:bidi w:val="0"/>
                    <w:adjustRightInd w:val="0"/>
                    <w:snapToGrid w:val="0"/>
                    <w:spacing w:beforeAutospacing="0" w:afterAutospacing="0" w:line="240" w:lineRule="auto"/>
                    <w:ind w:left="0" w:leftChars="0" w:right="0" w:rightChars="0" w:firstLine="0" w:firstLineChars="0"/>
                    <w:jc w:val="both"/>
                    <w:textAlignment w:val="auto"/>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bCs/>
                      <w:color w:val="auto"/>
                      <w:kern w:val="0"/>
                      <w:sz w:val="18"/>
                      <w:szCs w:val="18"/>
                      <w:lang w:val="en-US" w:eastAsia="zh-CN" w:bidi="ar-SA"/>
                    </w:rPr>
                    <w:t>项目不属于码头及过长江通道项目。</w:t>
                  </w:r>
                </w:p>
              </w:tc>
              <w:tc>
                <w:tcPr>
                  <w:tcW w:w="514" w:type="pct"/>
                  <w:noWrap w:val="0"/>
                  <w:vAlign w:val="center"/>
                </w:tcPr>
                <w:p>
                  <w:pPr>
                    <w:pStyle w:val="30"/>
                    <w:keepNext w:val="0"/>
                    <w:keepLines w:val="0"/>
                    <w:pageBreakBefore w:val="0"/>
                    <w:kinsoku/>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7" w:type="pct"/>
                  <w:noWrap w:val="0"/>
                  <w:vAlign w:val="center"/>
                </w:tcPr>
                <w:p>
                  <w:pPr>
                    <w:pStyle w:val="30"/>
                    <w:keepNext w:val="0"/>
                    <w:keepLines w:val="0"/>
                    <w:pageBreakBefore w:val="0"/>
                    <w:kinsoku/>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2</w:t>
                  </w:r>
                </w:p>
              </w:tc>
              <w:tc>
                <w:tcPr>
                  <w:tcW w:w="3141" w:type="pct"/>
                  <w:noWrap w:val="0"/>
                  <w:vAlign w:val="center"/>
                </w:tcPr>
                <w:p>
                  <w:pPr>
                    <w:keepNext w:val="0"/>
                    <w:keepLines w:val="0"/>
                    <w:pageBreakBefore w:val="0"/>
                    <w:widowControl/>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firstLine="0" w:firstLineChars="0"/>
                    <w:jc w:val="both"/>
                    <w:textAlignment w:val="auto"/>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bCs/>
                      <w:color w:val="auto"/>
                      <w:kern w:val="0"/>
                      <w:sz w:val="18"/>
                      <w:szCs w:val="18"/>
                      <w:lang w:val="en-US" w:eastAsia="zh-CN" w:bidi="ar-SA"/>
                    </w:rPr>
                    <w:t>严格执行《中华人民共和国自然保护区条例》，禁止在自然保护区核心区、缓冲区的岸线和河段范围内投资建设旅游和生产经营项目。严格执行《风景名胜区条例》《江苏省风景名胜区管理条例》，禁止在国家级和省级风景名胜区核心景区的岸线和河段范围内投资建设与风景名胜资源保护无关的项目。自然保护区、风景名胜区由省林业局会同有关方面界定并落实管控责任。</w:t>
                  </w:r>
                </w:p>
              </w:tc>
              <w:tc>
                <w:tcPr>
                  <w:tcW w:w="976" w:type="pct"/>
                  <w:noWrap w:val="0"/>
                  <w:vAlign w:val="center"/>
                </w:tcPr>
                <w:p>
                  <w:pPr>
                    <w:keepNext w:val="0"/>
                    <w:keepLines w:val="0"/>
                    <w:pageBreakBefore w:val="0"/>
                    <w:widowControl/>
                    <w:suppressLineNumbers w:val="0"/>
                    <w:kinsoku/>
                    <w:overflowPunct/>
                    <w:topLinePunct w:val="0"/>
                    <w:autoSpaceDE/>
                    <w:autoSpaceDN/>
                    <w:bidi w:val="0"/>
                    <w:adjustRightInd w:val="0"/>
                    <w:snapToGrid w:val="0"/>
                    <w:spacing w:beforeAutospacing="0" w:afterAutospacing="0" w:line="240" w:lineRule="auto"/>
                    <w:ind w:left="0" w:leftChars="0" w:right="0" w:rightChars="0" w:firstLine="0" w:firstLineChars="0"/>
                    <w:jc w:val="both"/>
                    <w:textAlignment w:val="auto"/>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bCs/>
                      <w:color w:val="auto"/>
                      <w:kern w:val="0"/>
                      <w:sz w:val="18"/>
                      <w:szCs w:val="18"/>
                      <w:lang w:val="en-US" w:eastAsia="zh-CN" w:bidi="ar-SA"/>
                    </w:rPr>
                    <w:t>项目周边无自然保护区、风景名胜区。</w:t>
                  </w:r>
                </w:p>
              </w:tc>
              <w:tc>
                <w:tcPr>
                  <w:tcW w:w="514" w:type="pct"/>
                  <w:noWrap w:val="0"/>
                  <w:vAlign w:val="center"/>
                </w:tcPr>
                <w:p>
                  <w:pPr>
                    <w:pStyle w:val="30"/>
                    <w:keepNext w:val="0"/>
                    <w:keepLines w:val="0"/>
                    <w:pageBreakBefore w:val="0"/>
                    <w:kinsoku/>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7" w:type="pct"/>
                  <w:noWrap w:val="0"/>
                  <w:vAlign w:val="center"/>
                </w:tcPr>
                <w:p>
                  <w:pPr>
                    <w:pStyle w:val="30"/>
                    <w:keepNext w:val="0"/>
                    <w:keepLines w:val="0"/>
                    <w:pageBreakBefore w:val="0"/>
                    <w:kinsoku/>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3</w:t>
                  </w:r>
                </w:p>
              </w:tc>
              <w:tc>
                <w:tcPr>
                  <w:tcW w:w="3141" w:type="pct"/>
                  <w:noWrap w:val="0"/>
                  <w:vAlign w:val="center"/>
                </w:tcPr>
                <w:p>
                  <w:pPr>
                    <w:keepNext w:val="0"/>
                    <w:keepLines w:val="0"/>
                    <w:pageBreakBefore w:val="0"/>
                    <w:widowControl/>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firstLine="0" w:firstLineChars="0"/>
                    <w:jc w:val="both"/>
                    <w:textAlignment w:val="auto"/>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bCs/>
                      <w:color w:val="auto"/>
                      <w:kern w:val="0"/>
                      <w:sz w:val="18"/>
                      <w:szCs w:val="18"/>
                      <w:lang w:val="en-US" w:eastAsia="zh-CN" w:bidi="ar-SA"/>
                    </w:rPr>
                    <w:t>严格执行《中华人民共和国水污染防治法》《江苏省人民代表大会常务委员会关于加强饮用水源地保护的决定》《江苏省水污染防治条例》，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禁止在饮用水水源准保护区的岸线和河段范围内新建、扩建对水体污染严重的投资建设项目，改建项目应当消减排污量。饮用水水源一级保护区、二级保护区、准保护区由省生态环境厅会同水利等有关方面界定并落实管控责任。</w:t>
                  </w:r>
                </w:p>
              </w:tc>
              <w:tc>
                <w:tcPr>
                  <w:tcW w:w="976" w:type="pct"/>
                  <w:noWrap w:val="0"/>
                  <w:vAlign w:val="center"/>
                </w:tcPr>
                <w:p>
                  <w:pPr>
                    <w:keepNext w:val="0"/>
                    <w:keepLines w:val="0"/>
                    <w:pageBreakBefore w:val="0"/>
                    <w:widowControl/>
                    <w:suppressLineNumbers w:val="0"/>
                    <w:kinsoku/>
                    <w:overflowPunct/>
                    <w:topLinePunct w:val="0"/>
                    <w:autoSpaceDE/>
                    <w:autoSpaceDN/>
                    <w:bidi w:val="0"/>
                    <w:adjustRightInd w:val="0"/>
                    <w:snapToGrid w:val="0"/>
                    <w:spacing w:beforeAutospacing="0" w:afterAutospacing="0" w:line="240" w:lineRule="auto"/>
                    <w:ind w:left="0" w:leftChars="0" w:right="0" w:rightChars="0" w:firstLine="0" w:firstLineChars="0"/>
                    <w:jc w:val="both"/>
                    <w:textAlignment w:val="auto"/>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bCs/>
                      <w:color w:val="auto"/>
                      <w:kern w:val="0"/>
                      <w:sz w:val="18"/>
                      <w:szCs w:val="18"/>
                      <w:lang w:val="en-US" w:eastAsia="zh-CN" w:bidi="ar-SA"/>
                    </w:rPr>
                    <w:t>项目周边无饮用水水源保护区。</w:t>
                  </w:r>
                </w:p>
              </w:tc>
              <w:tc>
                <w:tcPr>
                  <w:tcW w:w="514" w:type="pct"/>
                  <w:noWrap w:val="0"/>
                  <w:vAlign w:val="center"/>
                </w:tcPr>
                <w:p>
                  <w:pPr>
                    <w:pStyle w:val="30"/>
                    <w:keepNext w:val="0"/>
                    <w:keepLines w:val="0"/>
                    <w:pageBreakBefore w:val="0"/>
                    <w:kinsoku/>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7" w:type="pct"/>
                  <w:noWrap w:val="0"/>
                  <w:vAlign w:val="center"/>
                </w:tcPr>
                <w:p>
                  <w:pPr>
                    <w:pStyle w:val="30"/>
                    <w:keepNext w:val="0"/>
                    <w:keepLines w:val="0"/>
                    <w:pageBreakBefore w:val="0"/>
                    <w:kinsoku/>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4</w:t>
                  </w:r>
                </w:p>
              </w:tc>
              <w:tc>
                <w:tcPr>
                  <w:tcW w:w="3141" w:type="pct"/>
                  <w:noWrap w:val="0"/>
                  <w:vAlign w:val="center"/>
                </w:tcPr>
                <w:p>
                  <w:pPr>
                    <w:keepNext w:val="0"/>
                    <w:keepLines w:val="0"/>
                    <w:pageBreakBefore w:val="0"/>
                    <w:widowControl/>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firstLine="0" w:firstLineChars="0"/>
                    <w:jc w:val="both"/>
                    <w:textAlignment w:val="auto"/>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bCs/>
                      <w:color w:val="auto"/>
                      <w:kern w:val="0"/>
                      <w:sz w:val="18"/>
                      <w:szCs w:val="18"/>
                      <w:lang w:val="en-US" w:eastAsia="zh-CN" w:bidi="ar-SA"/>
                    </w:rPr>
                    <w:t>严格执行《水产种质资源保护区管理暂行办法》，禁止在国家级和省级水产种质资源保护区的岸线和河段范围内新建围湖造田、围海造地或围填海等投资建设项目。严格执行《中华人民共和国湿地保护法》《江苏省湿地保护条例》，禁止在国家湿地公园的岸线和河段范围内挖沙、采矿，以及任何不符合主体功能定位的投资建设项目。水产种质资源保护区、国家湿地公园分别由省农业农村厅、省林业局会同有关方面界定并落实管控责任。</w:t>
                  </w:r>
                </w:p>
              </w:tc>
              <w:tc>
                <w:tcPr>
                  <w:tcW w:w="976" w:type="pct"/>
                  <w:noWrap w:val="0"/>
                  <w:vAlign w:val="center"/>
                </w:tcPr>
                <w:p>
                  <w:pPr>
                    <w:keepNext w:val="0"/>
                    <w:keepLines w:val="0"/>
                    <w:pageBreakBefore w:val="0"/>
                    <w:widowControl/>
                    <w:suppressLineNumbers w:val="0"/>
                    <w:kinsoku/>
                    <w:overflowPunct/>
                    <w:topLinePunct w:val="0"/>
                    <w:autoSpaceDE/>
                    <w:autoSpaceDN/>
                    <w:bidi w:val="0"/>
                    <w:adjustRightInd w:val="0"/>
                    <w:snapToGrid w:val="0"/>
                    <w:spacing w:beforeAutospacing="0" w:afterAutospacing="0" w:line="240" w:lineRule="auto"/>
                    <w:ind w:left="0" w:leftChars="0" w:right="0" w:rightChars="0" w:firstLine="0" w:firstLineChars="0"/>
                    <w:jc w:val="both"/>
                    <w:textAlignment w:val="auto"/>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bCs/>
                      <w:color w:val="auto"/>
                      <w:kern w:val="0"/>
                      <w:sz w:val="18"/>
                      <w:szCs w:val="18"/>
                      <w:lang w:val="en-US" w:eastAsia="zh-CN" w:bidi="ar-SA"/>
                    </w:rPr>
                    <w:t>项目周边无水产种质资源保护区、国家湿地公园。</w:t>
                  </w:r>
                </w:p>
              </w:tc>
              <w:tc>
                <w:tcPr>
                  <w:tcW w:w="514" w:type="pct"/>
                  <w:noWrap w:val="0"/>
                  <w:vAlign w:val="center"/>
                </w:tcPr>
                <w:p>
                  <w:pPr>
                    <w:pStyle w:val="30"/>
                    <w:keepNext w:val="0"/>
                    <w:keepLines w:val="0"/>
                    <w:pageBreakBefore w:val="0"/>
                    <w:kinsoku/>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7" w:type="pct"/>
                  <w:noWrap w:val="0"/>
                  <w:vAlign w:val="center"/>
                </w:tcPr>
                <w:p>
                  <w:pPr>
                    <w:pStyle w:val="30"/>
                    <w:keepNext w:val="0"/>
                    <w:keepLines w:val="0"/>
                    <w:pageBreakBefore w:val="0"/>
                    <w:kinsoku/>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5</w:t>
                  </w:r>
                </w:p>
              </w:tc>
              <w:tc>
                <w:tcPr>
                  <w:tcW w:w="3141" w:type="pct"/>
                  <w:noWrap w:val="0"/>
                  <w:vAlign w:val="center"/>
                </w:tcPr>
                <w:p>
                  <w:pPr>
                    <w:keepNext w:val="0"/>
                    <w:keepLines w:val="0"/>
                    <w:pageBreakBefore w:val="0"/>
                    <w:widowControl/>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firstLine="0" w:firstLineChars="0"/>
                    <w:jc w:val="both"/>
                    <w:textAlignment w:val="auto"/>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bCs/>
                      <w:color w:val="auto"/>
                      <w:kern w:val="0"/>
                      <w:sz w:val="18"/>
                      <w:szCs w:val="18"/>
                      <w:lang w:val="en-US" w:eastAsia="zh-CN" w:bidi="ar-SA"/>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长江干支流基础设施项目应按照《长江岸线保护和开发利用总体规划》和生态环境保护、岸线保护等要求，按规定开展项目前期论证并办理相关手续。禁止在《全国重要江河湖泊水功能区划》划定的河段及湖泊保护区、保留区内投资建设不利于水资源及自然生态保护的项目。</w:t>
                  </w:r>
                </w:p>
              </w:tc>
              <w:tc>
                <w:tcPr>
                  <w:tcW w:w="976" w:type="pct"/>
                  <w:noWrap w:val="0"/>
                  <w:vAlign w:val="center"/>
                </w:tcPr>
                <w:p>
                  <w:pPr>
                    <w:keepNext w:val="0"/>
                    <w:keepLines w:val="0"/>
                    <w:pageBreakBefore w:val="0"/>
                    <w:widowControl/>
                    <w:suppressLineNumbers w:val="0"/>
                    <w:kinsoku/>
                    <w:overflowPunct/>
                    <w:topLinePunct w:val="0"/>
                    <w:autoSpaceDE/>
                    <w:autoSpaceDN/>
                    <w:bidi w:val="0"/>
                    <w:adjustRightInd w:val="0"/>
                    <w:snapToGrid w:val="0"/>
                    <w:spacing w:beforeAutospacing="0" w:afterAutospacing="0" w:line="240" w:lineRule="auto"/>
                    <w:ind w:left="0" w:leftChars="0" w:right="0" w:rightChars="0" w:firstLine="0" w:firstLineChars="0"/>
                    <w:jc w:val="both"/>
                    <w:textAlignment w:val="auto"/>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bCs/>
                      <w:color w:val="auto"/>
                      <w:kern w:val="0"/>
                      <w:sz w:val="18"/>
                      <w:szCs w:val="18"/>
                      <w:lang w:val="en-US" w:eastAsia="zh-CN" w:bidi="ar-SA"/>
                    </w:rPr>
                    <w:t>项目未利用、占用长江流域河湖岸线。</w:t>
                  </w:r>
                </w:p>
              </w:tc>
              <w:tc>
                <w:tcPr>
                  <w:tcW w:w="514" w:type="pct"/>
                  <w:noWrap w:val="0"/>
                  <w:vAlign w:val="center"/>
                </w:tcPr>
                <w:p>
                  <w:pPr>
                    <w:pStyle w:val="30"/>
                    <w:keepNext w:val="0"/>
                    <w:keepLines w:val="0"/>
                    <w:pageBreakBefore w:val="0"/>
                    <w:kinsoku/>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7" w:type="pct"/>
                  <w:noWrap w:val="0"/>
                  <w:vAlign w:val="center"/>
                </w:tcPr>
                <w:p>
                  <w:pPr>
                    <w:pStyle w:val="30"/>
                    <w:keepNext w:val="0"/>
                    <w:keepLines w:val="0"/>
                    <w:pageBreakBefore w:val="0"/>
                    <w:kinsoku/>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6</w:t>
                  </w:r>
                </w:p>
              </w:tc>
              <w:tc>
                <w:tcPr>
                  <w:tcW w:w="3141" w:type="pct"/>
                  <w:noWrap w:val="0"/>
                  <w:vAlign w:val="center"/>
                </w:tcPr>
                <w:p>
                  <w:pPr>
                    <w:keepNext w:val="0"/>
                    <w:keepLines w:val="0"/>
                    <w:pageBreakBefore w:val="0"/>
                    <w:widowControl/>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firstLine="0" w:firstLineChars="0"/>
                    <w:jc w:val="both"/>
                    <w:textAlignment w:val="auto"/>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bCs/>
                      <w:color w:val="auto"/>
                      <w:kern w:val="0"/>
                      <w:sz w:val="18"/>
                      <w:szCs w:val="18"/>
                      <w:lang w:val="en-US" w:eastAsia="zh-CN" w:bidi="ar-SA"/>
                    </w:rPr>
                    <w:t>禁止未经许可在长江干支流及湖泊新设、改设或扩大排污口。</w:t>
                  </w:r>
                </w:p>
              </w:tc>
              <w:tc>
                <w:tcPr>
                  <w:tcW w:w="976" w:type="pct"/>
                  <w:noWrap w:val="0"/>
                  <w:vAlign w:val="center"/>
                </w:tcPr>
                <w:p>
                  <w:pPr>
                    <w:keepNext w:val="0"/>
                    <w:keepLines w:val="0"/>
                    <w:pageBreakBefore w:val="0"/>
                    <w:widowControl/>
                    <w:suppressLineNumbers w:val="0"/>
                    <w:kinsoku/>
                    <w:overflowPunct/>
                    <w:topLinePunct w:val="0"/>
                    <w:autoSpaceDE/>
                    <w:autoSpaceDN/>
                    <w:bidi w:val="0"/>
                    <w:adjustRightInd w:val="0"/>
                    <w:snapToGrid w:val="0"/>
                    <w:spacing w:beforeAutospacing="0" w:afterAutospacing="0" w:line="240" w:lineRule="auto"/>
                    <w:ind w:left="0" w:leftChars="0" w:right="0" w:rightChars="0" w:firstLine="0" w:firstLineChars="0"/>
                    <w:jc w:val="both"/>
                    <w:textAlignment w:val="auto"/>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bCs/>
                      <w:color w:val="auto"/>
                      <w:kern w:val="0"/>
                      <w:sz w:val="18"/>
                      <w:szCs w:val="18"/>
                      <w:lang w:val="en-US" w:eastAsia="zh-CN" w:bidi="ar-SA"/>
                    </w:rPr>
                    <w:t>项目不在长江干支流及湖泊区域</w:t>
                  </w:r>
                </w:p>
              </w:tc>
              <w:tc>
                <w:tcPr>
                  <w:tcW w:w="514" w:type="pct"/>
                  <w:noWrap w:val="0"/>
                  <w:vAlign w:val="center"/>
                </w:tcPr>
                <w:p>
                  <w:pPr>
                    <w:pStyle w:val="30"/>
                    <w:keepNext w:val="0"/>
                    <w:keepLines w:val="0"/>
                    <w:pageBreakBefore w:val="0"/>
                    <w:kinsoku/>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7" w:type="pct"/>
                  <w:noWrap w:val="0"/>
                  <w:vAlign w:val="center"/>
                </w:tcPr>
                <w:p>
                  <w:pPr>
                    <w:pStyle w:val="30"/>
                    <w:keepNext w:val="0"/>
                    <w:keepLines w:val="0"/>
                    <w:pageBreakBefore w:val="0"/>
                    <w:kinsoku/>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7</w:t>
                  </w:r>
                </w:p>
              </w:tc>
              <w:tc>
                <w:tcPr>
                  <w:tcW w:w="3141" w:type="pct"/>
                  <w:noWrap w:val="0"/>
                  <w:vAlign w:val="center"/>
                </w:tcPr>
                <w:p>
                  <w:pPr>
                    <w:keepNext w:val="0"/>
                    <w:keepLines w:val="0"/>
                    <w:pageBreakBefore w:val="0"/>
                    <w:widowControl/>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firstLine="0" w:firstLineChars="0"/>
                    <w:jc w:val="both"/>
                    <w:textAlignment w:val="auto"/>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bCs/>
                      <w:color w:val="auto"/>
                      <w:kern w:val="0"/>
                      <w:sz w:val="18"/>
                      <w:szCs w:val="18"/>
                      <w:lang w:val="en-US" w:eastAsia="zh-CN" w:bidi="ar-SA"/>
                    </w:rPr>
                    <w:t>禁止长江干流、长江口、34个列入《率先全面禁捕的长江流域水生生物保护区名录》的水生生物保护区以及省规定的其他禁渔水域开展生产性捕捞。</w:t>
                  </w:r>
                </w:p>
              </w:tc>
              <w:tc>
                <w:tcPr>
                  <w:tcW w:w="976" w:type="pct"/>
                  <w:noWrap w:val="0"/>
                  <w:vAlign w:val="center"/>
                </w:tcPr>
                <w:p>
                  <w:pPr>
                    <w:keepNext w:val="0"/>
                    <w:keepLines w:val="0"/>
                    <w:pageBreakBefore w:val="0"/>
                    <w:widowControl/>
                    <w:suppressLineNumbers w:val="0"/>
                    <w:kinsoku/>
                    <w:overflowPunct/>
                    <w:topLinePunct w:val="0"/>
                    <w:autoSpaceDE/>
                    <w:autoSpaceDN/>
                    <w:bidi w:val="0"/>
                    <w:adjustRightInd w:val="0"/>
                    <w:snapToGrid w:val="0"/>
                    <w:spacing w:beforeAutospacing="0" w:afterAutospacing="0" w:line="240" w:lineRule="auto"/>
                    <w:ind w:left="0" w:leftChars="0" w:right="0" w:rightChars="0" w:firstLine="0" w:firstLineChars="0"/>
                    <w:jc w:val="both"/>
                    <w:textAlignment w:val="auto"/>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bCs/>
                      <w:color w:val="auto"/>
                      <w:kern w:val="0"/>
                      <w:sz w:val="18"/>
                      <w:szCs w:val="18"/>
                      <w:lang w:val="en-US" w:eastAsia="zh-CN" w:bidi="ar-SA"/>
                    </w:rPr>
                    <w:t>项目不属于渔业项目。</w:t>
                  </w:r>
                </w:p>
              </w:tc>
              <w:tc>
                <w:tcPr>
                  <w:tcW w:w="514" w:type="pct"/>
                  <w:noWrap w:val="0"/>
                  <w:vAlign w:val="center"/>
                </w:tcPr>
                <w:p>
                  <w:pPr>
                    <w:pStyle w:val="30"/>
                    <w:keepNext w:val="0"/>
                    <w:keepLines w:val="0"/>
                    <w:pageBreakBefore w:val="0"/>
                    <w:kinsoku/>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367" w:type="pct"/>
                  <w:noWrap w:val="0"/>
                  <w:vAlign w:val="center"/>
                </w:tcPr>
                <w:p>
                  <w:pPr>
                    <w:pStyle w:val="30"/>
                    <w:keepNext w:val="0"/>
                    <w:keepLines w:val="0"/>
                    <w:pageBreakBefore w:val="0"/>
                    <w:kinsoku/>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8</w:t>
                  </w:r>
                </w:p>
              </w:tc>
              <w:tc>
                <w:tcPr>
                  <w:tcW w:w="3141" w:type="pct"/>
                  <w:noWrap w:val="0"/>
                  <w:vAlign w:val="center"/>
                </w:tcPr>
                <w:p>
                  <w:pPr>
                    <w:keepNext w:val="0"/>
                    <w:keepLines w:val="0"/>
                    <w:pageBreakBefore w:val="0"/>
                    <w:widowControl/>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firstLine="0" w:firstLineChars="0"/>
                    <w:jc w:val="both"/>
                    <w:textAlignment w:val="auto"/>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bCs/>
                      <w:color w:val="auto"/>
                      <w:kern w:val="0"/>
                      <w:sz w:val="18"/>
                      <w:szCs w:val="18"/>
                      <w:lang w:val="en-US" w:eastAsia="zh-CN" w:bidi="ar-SA"/>
                    </w:rPr>
                    <w:t>禁止在距离长江干支流岸线一公里范围内新建、扩建化工园区和化工项目。长江干支流一公里按照长江干支流岸线边界（即水利部门河道管理范围边界）向陆域纵深一公里执行。</w:t>
                  </w:r>
                </w:p>
              </w:tc>
              <w:tc>
                <w:tcPr>
                  <w:tcW w:w="976" w:type="pct"/>
                  <w:noWrap w:val="0"/>
                  <w:vAlign w:val="center"/>
                </w:tcPr>
                <w:p>
                  <w:pPr>
                    <w:keepNext w:val="0"/>
                    <w:keepLines w:val="0"/>
                    <w:pageBreakBefore w:val="0"/>
                    <w:widowControl/>
                    <w:suppressLineNumbers w:val="0"/>
                    <w:kinsoku/>
                    <w:overflowPunct/>
                    <w:topLinePunct w:val="0"/>
                    <w:autoSpaceDE/>
                    <w:autoSpaceDN/>
                    <w:bidi w:val="0"/>
                    <w:adjustRightInd w:val="0"/>
                    <w:snapToGrid w:val="0"/>
                    <w:spacing w:beforeAutospacing="0" w:afterAutospacing="0" w:line="240" w:lineRule="auto"/>
                    <w:ind w:left="0" w:leftChars="0" w:right="0" w:rightChars="0" w:firstLine="0" w:firstLineChars="0"/>
                    <w:jc w:val="both"/>
                    <w:textAlignment w:val="auto"/>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bCs/>
                      <w:color w:val="auto"/>
                      <w:kern w:val="0"/>
                      <w:sz w:val="18"/>
                      <w:szCs w:val="18"/>
                      <w:lang w:val="en-US" w:eastAsia="zh-CN" w:bidi="ar-SA"/>
                    </w:rPr>
                    <w:t>项目不属于化工项目。</w:t>
                  </w:r>
                </w:p>
              </w:tc>
              <w:tc>
                <w:tcPr>
                  <w:tcW w:w="514" w:type="pct"/>
                  <w:noWrap w:val="0"/>
                  <w:vAlign w:val="center"/>
                </w:tcPr>
                <w:p>
                  <w:pPr>
                    <w:pStyle w:val="30"/>
                    <w:keepNext w:val="0"/>
                    <w:keepLines w:val="0"/>
                    <w:pageBreakBefore w:val="0"/>
                    <w:kinsoku/>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367" w:type="pct"/>
                  <w:noWrap w:val="0"/>
                  <w:vAlign w:val="center"/>
                </w:tcPr>
                <w:p>
                  <w:pPr>
                    <w:pStyle w:val="30"/>
                    <w:keepNext w:val="0"/>
                    <w:keepLines w:val="0"/>
                    <w:pageBreakBefore w:val="0"/>
                    <w:kinsoku/>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9</w:t>
                  </w:r>
                </w:p>
              </w:tc>
              <w:tc>
                <w:tcPr>
                  <w:tcW w:w="3141" w:type="pct"/>
                  <w:noWrap w:val="0"/>
                  <w:vAlign w:val="center"/>
                </w:tcPr>
                <w:p>
                  <w:pPr>
                    <w:keepNext w:val="0"/>
                    <w:keepLines w:val="0"/>
                    <w:pageBreakBefore w:val="0"/>
                    <w:widowControl/>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firstLine="0" w:firstLineChars="0"/>
                    <w:jc w:val="both"/>
                    <w:textAlignment w:val="auto"/>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bCs/>
                      <w:color w:val="auto"/>
                      <w:kern w:val="0"/>
                      <w:sz w:val="18"/>
                      <w:szCs w:val="18"/>
                      <w:lang w:val="en-US" w:eastAsia="zh-CN" w:bidi="ar-SA"/>
                    </w:rPr>
                    <w:t>禁止在长江干流岸线三公里范围内新建、改建、扩建尾矿库、冶炼渣库和磷石膏库，以提升安全、生态环境保护水平为目的的改建除外。</w:t>
                  </w:r>
                </w:p>
              </w:tc>
              <w:tc>
                <w:tcPr>
                  <w:tcW w:w="976" w:type="pct"/>
                  <w:noWrap w:val="0"/>
                  <w:vAlign w:val="center"/>
                </w:tcPr>
                <w:p>
                  <w:pPr>
                    <w:keepNext w:val="0"/>
                    <w:keepLines w:val="0"/>
                    <w:pageBreakBefore w:val="0"/>
                    <w:widowControl/>
                    <w:suppressLineNumbers w:val="0"/>
                    <w:kinsoku/>
                    <w:overflowPunct/>
                    <w:topLinePunct w:val="0"/>
                    <w:autoSpaceDE/>
                    <w:autoSpaceDN/>
                    <w:bidi w:val="0"/>
                    <w:adjustRightInd w:val="0"/>
                    <w:snapToGrid w:val="0"/>
                    <w:spacing w:beforeAutospacing="0" w:afterAutospacing="0" w:line="240" w:lineRule="auto"/>
                    <w:ind w:left="0" w:leftChars="0" w:right="0" w:rightChars="0" w:firstLine="0" w:firstLineChars="0"/>
                    <w:jc w:val="both"/>
                    <w:textAlignment w:val="auto"/>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bCs/>
                      <w:color w:val="auto"/>
                      <w:kern w:val="0"/>
                      <w:sz w:val="18"/>
                      <w:szCs w:val="18"/>
                      <w:lang w:val="en-US" w:eastAsia="zh-CN" w:bidi="ar-SA"/>
                    </w:rPr>
                    <w:t>项目不属于尾矿库、冶炼渣库和磷石膏库项目。</w:t>
                  </w:r>
                </w:p>
              </w:tc>
              <w:tc>
                <w:tcPr>
                  <w:tcW w:w="514" w:type="pct"/>
                  <w:noWrap w:val="0"/>
                  <w:vAlign w:val="center"/>
                </w:tcPr>
                <w:p>
                  <w:pPr>
                    <w:pStyle w:val="30"/>
                    <w:keepNext w:val="0"/>
                    <w:keepLines w:val="0"/>
                    <w:pageBreakBefore w:val="0"/>
                    <w:kinsoku/>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7" w:type="pct"/>
                  <w:noWrap w:val="0"/>
                  <w:vAlign w:val="center"/>
                </w:tcPr>
                <w:p>
                  <w:pPr>
                    <w:pStyle w:val="30"/>
                    <w:keepNext w:val="0"/>
                    <w:keepLines w:val="0"/>
                    <w:pageBreakBefore w:val="0"/>
                    <w:kinsoku/>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auto"/>
                      <w:spacing w:val="-17"/>
                      <w:sz w:val="18"/>
                      <w:szCs w:val="18"/>
                    </w:rPr>
                  </w:pPr>
                  <w:r>
                    <w:rPr>
                      <w:rFonts w:hint="default" w:ascii="Times New Roman" w:hAnsi="Times New Roman" w:eastAsia="宋体" w:cs="Times New Roman"/>
                      <w:bCs/>
                      <w:color w:val="auto"/>
                      <w:spacing w:val="-17"/>
                      <w:sz w:val="18"/>
                      <w:szCs w:val="18"/>
                    </w:rPr>
                    <w:t>10</w:t>
                  </w:r>
                </w:p>
              </w:tc>
              <w:tc>
                <w:tcPr>
                  <w:tcW w:w="3141" w:type="pct"/>
                  <w:noWrap w:val="0"/>
                  <w:vAlign w:val="center"/>
                </w:tcPr>
                <w:p>
                  <w:pPr>
                    <w:keepNext w:val="0"/>
                    <w:keepLines w:val="0"/>
                    <w:pageBreakBefore w:val="0"/>
                    <w:widowControl/>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firstLine="0" w:firstLineChars="0"/>
                    <w:jc w:val="both"/>
                    <w:textAlignment w:val="auto"/>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bCs/>
                      <w:color w:val="auto"/>
                      <w:kern w:val="0"/>
                      <w:sz w:val="18"/>
                      <w:szCs w:val="18"/>
                      <w:lang w:val="en-US" w:eastAsia="zh-CN" w:bidi="ar-SA"/>
                    </w:rPr>
                    <w:t>禁止在太湖流域一、二、三级保护区内开展《江苏省太湖水污染防治条例》禁止的投资建设活动。</w:t>
                  </w:r>
                </w:p>
              </w:tc>
              <w:tc>
                <w:tcPr>
                  <w:tcW w:w="976" w:type="pct"/>
                  <w:noWrap w:val="0"/>
                  <w:vAlign w:val="center"/>
                </w:tcPr>
                <w:p>
                  <w:pPr>
                    <w:keepNext w:val="0"/>
                    <w:keepLines w:val="0"/>
                    <w:pageBreakBefore w:val="0"/>
                    <w:widowControl/>
                    <w:suppressLineNumbers w:val="0"/>
                    <w:kinsoku/>
                    <w:overflowPunct/>
                    <w:topLinePunct w:val="0"/>
                    <w:autoSpaceDE/>
                    <w:autoSpaceDN/>
                    <w:bidi w:val="0"/>
                    <w:adjustRightInd w:val="0"/>
                    <w:snapToGrid w:val="0"/>
                    <w:spacing w:beforeAutospacing="0" w:afterAutospacing="0" w:line="240" w:lineRule="auto"/>
                    <w:ind w:left="0" w:leftChars="0" w:right="0" w:rightChars="0" w:firstLine="0" w:firstLineChars="0"/>
                    <w:jc w:val="both"/>
                    <w:textAlignment w:val="auto"/>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bCs/>
                      <w:color w:val="auto"/>
                      <w:kern w:val="0"/>
                      <w:sz w:val="18"/>
                      <w:szCs w:val="18"/>
                      <w:lang w:val="en-US" w:eastAsia="zh-CN" w:bidi="ar-SA"/>
                    </w:rPr>
                    <w:t>项目不属于太湖流域。</w:t>
                  </w:r>
                </w:p>
              </w:tc>
              <w:tc>
                <w:tcPr>
                  <w:tcW w:w="514" w:type="pct"/>
                  <w:noWrap w:val="0"/>
                  <w:vAlign w:val="center"/>
                </w:tcPr>
                <w:p>
                  <w:pPr>
                    <w:pStyle w:val="30"/>
                    <w:keepNext w:val="0"/>
                    <w:keepLines w:val="0"/>
                    <w:pageBreakBefore w:val="0"/>
                    <w:kinsoku/>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367" w:type="pct"/>
                  <w:noWrap w:val="0"/>
                  <w:vAlign w:val="center"/>
                </w:tcPr>
                <w:p>
                  <w:pPr>
                    <w:pStyle w:val="30"/>
                    <w:keepNext w:val="0"/>
                    <w:keepLines w:val="0"/>
                    <w:pageBreakBefore w:val="0"/>
                    <w:kinsoku/>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auto"/>
                      <w:spacing w:val="-17"/>
                      <w:sz w:val="18"/>
                      <w:szCs w:val="18"/>
                    </w:rPr>
                  </w:pPr>
                  <w:r>
                    <w:rPr>
                      <w:rFonts w:hint="default" w:ascii="Times New Roman" w:hAnsi="Times New Roman" w:eastAsia="宋体" w:cs="Times New Roman"/>
                      <w:bCs/>
                      <w:color w:val="auto"/>
                      <w:spacing w:val="-17"/>
                      <w:sz w:val="18"/>
                      <w:szCs w:val="18"/>
                    </w:rPr>
                    <w:t>11</w:t>
                  </w:r>
                </w:p>
              </w:tc>
              <w:tc>
                <w:tcPr>
                  <w:tcW w:w="3141" w:type="pct"/>
                  <w:noWrap w:val="0"/>
                  <w:vAlign w:val="center"/>
                </w:tcPr>
                <w:p>
                  <w:pPr>
                    <w:keepNext w:val="0"/>
                    <w:keepLines w:val="0"/>
                    <w:pageBreakBefore w:val="0"/>
                    <w:widowControl/>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firstLine="0" w:firstLineChars="0"/>
                    <w:jc w:val="both"/>
                    <w:textAlignment w:val="auto"/>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bCs/>
                      <w:color w:val="auto"/>
                      <w:kern w:val="0"/>
                      <w:sz w:val="18"/>
                      <w:szCs w:val="18"/>
                      <w:lang w:val="en-US" w:eastAsia="zh-CN" w:bidi="ar-SA"/>
                    </w:rPr>
                    <w:t>禁止在沿江地区新建、扩建未纳入国家和省布局规划的燃煤发电项目。</w:t>
                  </w:r>
                </w:p>
              </w:tc>
              <w:tc>
                <w:tcPr>
                  <w:tcW w:w="976" w:type="pct"/>
                  <w:noWrap w:val="0"/>
                  <w:vAlign w:val="center"/>
                </w:tcPr>
                <w:p>
                  <w:pPr>
                    <w:keepNext w:val="0"/>
                    <w:keepLines w:val="0"/>
                    <w:pageBreakBefore w:val="0"/>
                    <w:widowControl/>
                    <w:suppressLineNumbers w:val="0"/>
                    <w:kinsoku/>
                    <w:overflowPunct/>
                    <w:topLinePunct w:val="0"/>
                    <w:autoSpaceDE/>
                    <w:autoSpaceDN/>
                    <w:bidi w:val="0"/>
                    <w:adjustRightInd w:val="0"/>
                    <w:snapToGrid w:val="0"/>
                    <w:spacing w:beforeAutospacing="0" w:afterAutospacing="0" w:line="240" w:lineRule="auto"/>
                    <w:ind w:left="0" w:leftChars="0" w:right="0" w:rightChars="0" w:firstLine="0" w:firstLineChars="0"/>
                    <w:jc w:val="both"/>
                    <w:textAlignment w:val="auto"/>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bCs/>
                      <w:color w:val="auto"/>
                      <w:kern w:val="0"/>
                      <w:sz w:val="18"/>
                      <w:szCs w:val="18"/>
                      <w:lang w:val="en-US" w:eastAsia="zh-CN" w:bidi="ar-SA"/>
                    </w:rPr>
                    <w:t>项目不属于燃煤发电项目。</w:t>
                  </w:r>
                </w:p>
              </w:tc>
              <w:tc>
                <w:tcPr>
                  <w:tcW w:w="514" w:type="pct"/>
                  <w:noWrap w:val="0"/>
                  <w:vAlign w:val="center"/>
                </w:tcPr>
                <w:p>
                  <w:pPr>
                    <w:pStyle w:val="30"/>
                    <w:keepNext w:val="0"/>
                    <w:keepLines w:val="0"/>
                    <w:pageBreakBefore w:val="0"/>
                    <w:kinsoku/>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367" w:type="pct"/>
                  <w:noWrap w:val="0"/>
                  <w:vAlign w:val="center"/>
                </w:tcPr>
                <w:p>
                  <w:pPr>
                    <w:pStyle w:val="30"/>
                    <w:keepNext w:val="0"/>
                    <w:keepLines w:val="0"/>
                    <w:pageBreakBefore w:val="0"/>
                    <w:kinsoku/>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auto"/>
                      <w:spacing w:val="-17"/>
                      <w:sz w:val="18"/>
                      <w:szCs w:val="18"/>
                      <w:lang w:val="en-US" w:eastAsia="zh-CN"/>
                    </w:rPr>
                  </w:pPr>
                  <w:r>
                    <w:rPr>
                      <w:rFonts w:hint="default" w:ascii="Times New Roman" w:hAnsi="Times New Roman" w:eastAsia="宋体" w:cs="Times New Roman"/>
                      <w:bCs/>
                      <w:color w:val="auto"/>
                      <w:spacing w:val="-17"/>
                      <w:sz w:val="18"/>
                      <w:szCs w:val="18"/>
                      <w:lang w:val="en-US" w:eastAsia="zh-CN"/>
                    </w:rPr>
                    <w:t>12</w:t>
                  </w:r>
                </w:p>
              </w:tc>
              <w:tc>
                <w:tcPr>
                  <w:tcW w:w="3141" w:type="pct"/>
                  <w:noWrap w:val="0"/>
                  <w:vAlign w:val="center"/>
                </w:tcPr>
                <w:p>
                  <w:pPr>
                    <w:keepNext w:val="0"/>
                    <w:keepLines w:val="0"/>
                    <w:pageBreakBefore w:val="0"/>
                    <w:widowControl/>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firstLine="0" w:firstLineChars="0"/>
                    <w:jc w:val="both"/>
                    <w:textAlignment w:val="auto"/>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bCs/>
                      <w:color w:val="auto"/>
                      <w:kern w:val="0"/>
                      <w:sz w:val="18"/>
                      <w:szCs w:val="18"/>
                      <w:lang w:val="en-US" w:eastAsia="zh-CN" w:bidi="ar-SA"/>
                    </w:rPr>
                    <w:t>禁止在合规园区外新建、扩建钢铁、石化、化工、焦化、建材、有色、制浆造纸等高污染项目。合规园区名录按照《〈长江经济带发展负面清单指南（试行，2022年版）&gt;江苏省实施细则合规园区名录》执行。</w:t>
                  </w:r>
                </w:p>
              </w:tc>
              <w:tc>
                <w:tcPr>
                  <w:tcW w:w="976" w:type="pct"/>
                  <w:noWrap w:val="0"/>
                  <w:vAlign w:val="center"/>
                </w:tcPr>
                <w:p>
                  <w:pPr>
                    <w:keepNext w:val="0"/>
                    <w:keepLines w:val="0"/>
                    <w:pageBreakBefore w:val="0"/>
                    <w:widowControl/>
                    <w:suppressLineNumbers w:val="0"/>
                    <w:kinsoku/>
                    <w:overflowPunct/>
                    <w:topLinePunct w:val="0"/>
                    <w:autoSpaceDE/>
                    <w:autoSpaceDN/>
                    <w:bidi w:val="0"/>
                    <w:adjustRightInd w:val="0"/>
                    <w:snapToGrid w:val="0"/>
                    <w:spacing w:beforeAutospacing="0" w:afterAutospacing="0" w:line="240" w:lineRule="auto"/>
                    <w:ind w:left="0" w:leftChars="0" w:right="0" w:rightChars="0" w:firstLine="0" w:firstLineChars="0"/>
                    <w:jc w:val="both"/>
                    <w:textAlignment w:val="auto"/>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bCs/>
                      <w:color w:val="auto"/>
                      <w:kern w:val="0"/>
                      <w:sz w:val="18"/>
                      <w:szCs w:val="18"/>
                      <w:lang w:val="en-US" w:eastAsia="zh-CN" w:bidi="ar-SA"/>
                    </w:rPr>
                    <w:t>项目不属于高污染项目。</w:t>
                  </w:r>
                </w:p>
              </w:tc>
              <w:tc>
                <w:tcPr>
                  <w:tcW w:w="514" w:type="pct"/>
                  <w:noWrap w:val="0"/>
                  <w:vAlign w:val="center"/>
                </w:tcPr>
                <w:p>
                  <w:pPr>
                    <w:pStyle w:val="30"/>
                    <w:keepNext w:val="0"/>
                    <w:keepLines w:val="0"/>
                    <w:pageBreakBefore w:val="0"/>
                    <w:kinsoku/>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367" w:type="pct"/>
                  <w:noWrap w:val="0"/>
                  <w:vAlign w:val="center"/>
                </w:tcPr>
                <w:p>
                  <w:pPr>
                    <w:pStyle w:val="30"/>
                    <w:keepNext w:val="0"/>
                    <w:keepLines w:val="0"/>
                    <w:pageBreakBefore w:val="0"/>
                    <w:kinsoku/>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auto"/>
                      <w:spacing w:val="-17"/>
                      <w:sz w:val="18"/>
                      <w:szCs w:val="18"/>
                      <w:lang w:val="en-US" w:eastAsia="zh-CN"/>
                    </w:rPr>
                  </w:pPr>
                  <w:r>
                    <w:rPr>
                      <w:rFonts w:hint="default" w:ascii="Times New Roman" w:hAnsi="Times New Roman" w:eastAsia="宋体" w:cs="Times New Roman"/>
                      <w:bCs/>
                      <w:color w:val="auto"/>
                      <w:spacing w:val="-17"/>
                      <w:sz w:val="18"/>
                      <w:szCs w:val="18"/>
                      <w:lang w:val="en-US" w:eastAsia="zh-CN"/>
                    </w:rPr>
                    <w:t>13</w:t>
                  </w:r>
                </w:p>
              </w:tc>
              <w:tc>
                <w:tcPr>
                  <w:tcW w:w="3141" w:type="pct"/>
                  <w:noWrap w:val="0"/>
                  <w:vAlign w:val="center"/>
                </w:tcPr>
                <w:p>
                  <w:pPr>
                    <w:keepNext w:val="0"/>
                    <w:keepLines w:val="0"/>
                    <w:pageBreakBefore w:val="0"/>
                    <w:widowControl/>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firstLine="0" w:firstLineChars="0"/>
                    <w:jc w:val="both"/>
                    <w:textAlignment w:val="auto"/>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bCs/>
                      <w:color w:val="auto"/>
                      <w:kern w:val="0"/>
                      <w:sz w:val="18"/>
                      <w:szCs w:val="18"/>
                      <w:lang w:val="en-US" w:eastAsia="zh-CN" w:bidi="ar-SA"/>
                    </w:rPr>
                    <w:t>禁止在取消化工定位的园区（集中区）内新建化工项目。</w:t>
                  </w:r>
                </w:p>
              </w:tc>
              <w:tc>
                <w:tcPr>
                  <w:tcW w:w="976" w:type="pct"/>
                  <w:noWrap w:val="0"/>
                  <w:vAlign w:val="center"/>
                </w:tcPr>
                <w:p>
                  <w:pPr>
                    <w:keepNext w:val="0"/>
                    <w:keepLines w:val="0"/>
                    <w:pageBreakBefore w:val="0"/>
                    <w:widowControl/>
                    <w:suppressLineNumbers w:val="0"/>
                    <w:kinsoku/>
                    <w:overflowPunct/>
                    <w:topLinePunct w:val="0"/>
                    <w:autoSpaceDE/>
                    <w:autoSpaceDN/>
                    <w:bidi w:val="0"/>
                    <w:adjustRightInd w:val="0"/>
                    <w:snapToGrid w:val="0"/>
                    <w:spacing w:beforeAutospacing="0" w:afterAutospacing="0" w:line="240" w:lineRule="auto"/>
                    <w:ind w:left="0" w:leftChars="0" w:right="0" w:rightChars="0" w:firstLine="0" w:firstLineChars="0"/>
                    <w:jc w:val="both"/>
                    <w:textAlignment w:val="auto"/>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bCs/>
                      <w:color w:val="auto"/>
                      <w:kern w:val="0"/>
                      <w:sz w:val="18"/>
                      <w:szCs w:val="18"/>
                      <w:lang w:val="en-US" w:eastAsia="zh-CN" w:bidi="ar-SA"/>
                    </w:rPr>
                    <w:t>项目不属于化工项目。</w:t>
                  </w:r>
                </w:p>
              </w:tc>
              <w:tc>
                <w:tcPr>
                  <w:tcW w:w="514" w:type="pct"/>
                  <w:noWrap w:val="0"/>
                  <w:vAlign w:val="center"/>
                </w:tcPr>
                <w:p>
                  <w:pPr>
                    <w:pStyle w:val="30"/>
                    <w:keepNext w:val="0"/>
                    <w:keepLines w:val="0"/>
                    <w:pageBreakBefore w:val="0"/>
                    <w:kinsoku/>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367" w:type="pct"/>
                  <w:noWrap w:val="0"/>
                  <w:vAlign w:val="center"/>
                </w:tcPr>
                <w:p>
                  <w:pPr>
                    <w:pStyle w:val="30"/>
                    <w:keepNext w:val="0"/>
                    <w:keepLines w:val="0"/>
                    <w:pageBreakBefore w:val="0"/>
                    <w:kinsoku/>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auto"/>
                      <w:spacing w:val="-17"/>
                      <w:sz w:val="18"/>
                      <w:szCs w:val="18"/>
                      <w:lang w:val="en-US" w:eastAsia="zh-CN"/>
                    </w:rPr>
                  </w:pPr>
                  <w:r>
                    <w:rPr>
                      <w:rFonts w:hint="default" w:ascii="Times New Roman" w:hAnsi="Times New Roman" w:eastAsia="宋体" w:cs="Times New Roman"/>
                      <w:bCs/>
                      <w:color w:val="auto"/>
                      <w:spacing w:val="-17"/>
                      <w:sz w:val="18"/>
                      <w:szCs w:val="18"/>
                      <w:lang w:val="en-US" w:eastAsia="zh-CN"/>
                    </w:rPr>
                    <w:t>14</w:t>
                  </w:r>
                </w:p>
              </w:tc>
              <w:tc>
                <w:tcPr>
                  <w:tcW w:w="3141" w:type="pct"/>
                  <w:noWrap w:val="0"/>
                  <w:vAlign w:val="center"/>
                </w:tcPr>
                <w:p>
                  <w:pPr>
                    <w:keepNext w:val="0"/>
                    <w:keepLines w:val="0"/>
                    <w:pageBreakBefore w:val="0"/>
                    <w:widowControl/>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firstLine="0" w:firstLineChars="0"/>
                    <w:jc w:val="both"/>
                    <w:textAlignment w:val="auto"/>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bCs/>
                      <w:color w:val="auto"/>
                      <w:kern w:val="0"/>
                      <w:sz w:val="18"/>
                      <w:szCs w:val="18"/>
                      <w:lang w:val="en-US" w:eastAsia="zh-CN" w:bidi="ar-SA"/>
                    </w:rPr>
                    <w:t>禁止在化工企业周边建设不符合安全距离规定的劳动密集型的非化工项目和其他人员密集的公共设施项目。</w:t>
                  </w:r>
                </w:p>
              </w:tc>
              <w:tc>
                <w:tcPr>
                  <w:tcW w:w="976" w:type="pct"/>
                  <w:noWrap w:val="0"/>
                  <w:vAlign w:val="center"/>
                </w:tcPr>
                <w:p>
                  <w:pPr>
                    <w:keepNext w:val="0"/>
                    <w:keepLines w:val="0"/>
                    <w:pageBreakBefore w:val="0"/>
                    <w:widowControl/>
                    <w:suppressLineNumbers w:val="0"/>
                    <w:kinsoku/>
                    <w:overflowPunct/>
                    <w:topLinePunct w:val="0"/>
                    <w:autoSpaceDE/>
                    <w:autoSpaceDN/>
                    <w:bidi w:val="0"/>
                    <w:adjustRightInd w:val="0"/>
                    <w:snapToGrid w:val="0"/>
                    <w:spacing w:beforeAutospacing="0" w:afterAutospacing="0" w:line="240" w:lineRule="auto"/>
                    <w:ind w:left="0" w:leftChars="0" w:right="0" w:rightChars="0" w:firstLine="0" w:firstLineChars="0"/>
                    <w:jc w:val="both"/>
                    <w:textAlignment w:val="auto"/>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bCs/>
                      <w:color w:val="auto"/>
                      <w:kern w:val="0"/>
                      <w:sz w:val="18"/>
                      <w:szCs w:val="18"/>
                      <w:lang w:val="en-US" w:eastAsia="zh-CN" w:bidi="ar-SA"/>
                    </w:rPr>
                    <w:t>项目周边无化工企业。</w:t>
                  </w:r>
                </w:p>
              </w:tc>
              <w:tc>
                <w:tcPr>
                  <w:tcW w:w="514" w:type="pct"/>
                  <w:noWrap w:val="0"/>
                  <w:vAlign w:val="center"/>
                </w:tcPr>
                <w:p>
                  <w:pPr>
                    <w:pStyle w:val="30"/>
                    <w:keepNext w:val="0"/>
                    <w:keepLines w:val="0"/>
                    <w:pageBreakBefore w:val="0"/>
                    <w:kinsoku/>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367" w:type="pct"/>
                  <w:noWrap w:val="0"/>
                  <w:vAlign w:val="center"/>
                </w:tcPr>
                <w:p>
                  <w:pPr>
                    <w:pStyle w:val="30"/>
                    <w:keepNext w:val="0"/>
                    <w:keepLines w:val="0"/>
                    <w:pageBreakBefore w:val="0"/>
                    <w:kinsoku/>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auto"/>
                      <w:spacing w:val="-17"/>
                      <w:sz w:val="18"/>
                      <w:szCs w:val="18"/>
                      <w:lang w:val="en-US" w:eastAsia="zh-CN"/>
                    </w:rPr>
                  </w:pPr>
                  <w:r>
                    <w:rPr>
                      <w:rFonts w:hint="default" w:ascii="Times New Roman" w:hAnsi="Times New Roman" w:eastAsia="宋体" w:cs="Times New Roman"/>
                      <w:bCs/>
                      <w:color w:val="auto"/>
                      <w:spacing w:val="-17"/>
                      <w:sz w:val="18"/>
                      <w:szCs w:val="18"/>
                      <w:lang w:val="en-US" w:eastAsia="zh-CN"/>
                    </w:rPr>
                    <w:t>15</w:t>
                  </w:r>
                </w:p>
              </w:tc>
              <w:tc>
                <w:tcPr>
                  <w:tcW w:w="3141" w:type="pct"/>
                  <w:noWrap w:val="0"/>
                  <w:vAlign w:val="center"/>
                </w:tcPr>
                <w:p>
                  <w:pPr>
                    <w:keepNext w:val="0"/>
                    <w:keepLines w:val="0"/>
                    <w:pageBreakBefore w:val="0"/>
                    <w:widowControl/>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firstLine="0" w:firstLineChars="0"/>
                    <w:jc w:val="both"/>
                    <w:textAlignment w:val="auto"/>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bCs/>
                      <w:color w:val="auto"/>
                      <w:kern w:val="0"/>
                      <w:sz w:val="18"/>
                      <w:szCs w:val="18"/>
                      <w:lang w:val="en-US" w:eastAsia="zh-CN" w:bidi="ar-SA"/>
                    </w:rPr>
                    <w:t>禁止新建、扩建不符合国家和省产业政策的尿素、磷铵、电石、烧碱、聚氯乙烯、纯碱等行业新增产能项目。</w:t>
                  </w:r>
                </w:p>
              </w:tc>
              <w:tc>
                <w:tcPr>
                  <w:tcW w:w="976" w:type="pct"/>
                  <w:noWrap w:val="0"/>
                  <w:vAlign w:val="center"/>
                </w:tcPr>
                <w:p>
                  <w:pPr>
                    <w:keepNext w:val="0"/>
                    <w:keepLines w:val="0"/>
                    <w:pageBreakBefore w:val="0"/>
                    <w:widowControl/>
                    <w:suppressLineNumbers w:val="0"/>
                    <w:kinsoku/>
                    <w:overflowPunct/>
                    <w:topLinePunct w:val="0"/>
                    <w:autoSpaceDE/>
                    <w:autoSpaceDN/>
                    <w:bidi w:val="0"/>
                    <w:adjustRightInd w:val="0"/>
                    <w:snapToGrid w:val="0"/>
                    <w:spacing w:beforeAutospacing="0" w:afterAutospacing="0" w:line="240" w:lineRule="auto"/>
                    <w:ind w:left="0" w:leftChars="0" w:right="0" w:rightChars="0" w:firstLine="0" w:firstLineChars="0"/>
                    <w:jc w:val="both"/>
                    <w:textAlignment w:val="auto"/>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bCs/>
                      <w:color w:val="auto"/>
                      <w:kern w:val="0"/>
                      <w:sz w:val="18"/>
                      <w:szCs w:val="18"/>
                      <w:lang w:val="en-US" w:eastAsia="zh-CN" w:bidi="ar-SA"/>
                    </w:rPr>
                    <w:t>项目不属于尿素等行业。</w:t>
                  </w:r>
                </w:p>
              </w:tc>
              <w:tc>
                <w:tcPr>
                  <w:tcW w:w="514" w:type="pct"/>
                  <w:noWrap w:val="0"/>
                  <w:vAlign w:val="center"/>
                </w:tcPr>
                <w:p>
                  <w:pPr>
                    <w:pStyle w:val="30"/>
                    <w:keepNext w:val="0"/>
                    <w:keepLines w:val="0"/>
                    <w:pageBreakBefore w:val="0"/>
                    <w:kinsoku/>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367" w:type="pct"/>
                  <w:noWrap w:val="0"/>
                  <w:vAlign w:val="center"/>
                </w:tcPr>
                <w:p>
                  <w:pPr>
                    <w:pStyle w:val="30"/>
                    <w:keepNext w:val="0"/>
                    <w:keepLines w:val="0"/>
                    <w:pageBreakBefore w:val="0"/>
                    <w:kinsoku/>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auto"/>
                      <w:spacing w:val="-17"/>
                      <w:sz w:val="18"/>
                      <w:szCs w:val="18"/>
                      <w:lang w:val="en-US" w:eastAsia="zh-CN"/>
                    </w:rPr>
                  </w:pPr>
                  <w:r>
                    <w:rPr>
                      <w:rFonts w:hint="default" w:ascii="Times New Roman" w:hAnsi="Times New Roman" w:eastAsia="宋体" w:cs="Times New Roman"/>
                      <w:bCs/>
                      <w:color w:val="auto"/>
                      <w:spacing w:val="-17"/>
                      <w:sz w:val="18"/>
                      <w:szCs w:val="18"/>
                      <w:lang w:val="en-US" w:eastAsia="zh-CN"/>
                    </w:rPr>
                    <w:t>16</w:t>
                  </w:r>
                </w:p>
              </w:tc>
              <w:tc>
                <w:tcPr>
                  <w:tcW w:w="3141" w:type="pct"/>
                  <w:noWrap w:val="0"/>
                  <w:vAlign w:val="center"/>
                </w:tcPr>
                <w:p>
                  <w:pPr>
                    <w:keepNext w:val="0"/>
                    <w:keepLines w:val="0"/>
                    <w:pageBreakBefore w:val="0"/>
                    <w:widowControl/>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firstLine="0" w:firstLineChars="0"/>
                    <w:jc w:val="both"/>
                    <w:textAlignment w:val="auto"/>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bCs/>
                      <w:color w:val="auto"/>
                      <w:kern w:val="0"/>
                      <w:sz w:val="18"/>
                      <w:szCs w:val="18"/>
                      <w:lang w:val="en-US" w:eastAsia="zh-CN" w:bidi="ar-SA"/>
                    </w:rPr>
                    <w:t>禁止新建、扩建不符合国家石化、现代煤化工等产业布局规划的项目，禁止新建独立焦化项目。</w:t>
                  </w:r>
                </w:p>
              </w:tc>
              <w:tc>
                <w:tcPr>
                  <w:tcW w:w="976" w:type="pct"/>
                  <w:noWrap w:val="0"/>
                  <w:vAlign w:val="center"/>
                </w:tcPr>
                <w:p>
                  <w:pPr>
                    <w:keepNext w:val="0"/>
                    <w:keepLines w:val="0"/>
                    <w:pageBreakBefore w:val="0"/>
                    <w:widowControl/>
                    <w:suppressLineNumbers w:val="0"/>
                    <w:kinsoku/>
                    <w:overflowPunct/>
                    <w:topLinePunct w:val="0"/>
                    <w:autoSpaceDE/>
                    <w:autoSpaceDN/>
                    <w:bidi w:val="0"/>
                    <w:adjustRightInd w:val="0"/>
                    <w:snapToGrid w:val="0"/>
                    <w:spacing w:beforeAutospacing="0" w:afterAutospacing="0" w:line="240" w:lineRule="auto"/>
                    <w:ind w:left="0" w:leftChars="0" w:right="0" w:rightChars="0" w:firstLine="0" w:firstLineChars="0"/>
                    <w:jc w:val="both"/>
                    <w:textAlignment w:val="auto"/>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bCs/>
                      <w:color w:val="auto"/>
                      <w:kern w:val="0"/>
                      <w:sz w:val="18"/>
                      <w:szCs w:val="18"/>
                      <w:lang w:val="en-US" w:eastAsia="zh-CN" w:bidi="ar-SA"/>
                    </w:rPr>
                    <w:t>项目不属于石化等项目。</w:t>
                  </w:r>
                </w:p>
              </w:tc>
              <w:tc>
                <w:tcPr>
                  <w:tcW w:w="514" w:type="pct"/>
                  <w:noWrap w:val="0"/>
                  <w:vAlign w:val="center"/>
                </w:tcPr>
                <w:p>
                  <w:pPr>
                    <w:pStyle w:val="30"/>
                    <w:keepNext w:val="0"/>
                    <w:keepLines w:val="0"/>
                    <w:pageBreakBefore w:val="0"/>
                    <w:kinsoku/>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367" w:type="pct"/>
                  <w:noWrap w:val="0"/>
                  <w:vAlign w:val="center"/>
                </w:tcPr>
                <w:p>
                  <w:pPr>
                    <w:pStyle w:val="30"/>
                    <w:keepNext w:val="0"/>
                    <w:keepLines w:val="0"/>
                    <w:pageBreakBefore w:val="0"/>
                    <w:kinsoku/>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auto"/>
                      <w:spacing w:val="-17"/>
                      <w:sz w:val="18"/>
                      <w:szCs w:val="18"/>
                      <w:lang w:val="en-US" w:eastAsia="zh-CN"/>
                    </w:rPr>
                  </w:pPr>
                  <w:r>
                    <w:rPr>
                      <w:rFonts w:hint="default" w:ascii="Times New Roman" w:hAnsi="Times New Roman" w:eastAsia="宋体" w:cs="Times New Roman"/>
                      <w:bCs/>
                      <w:color w:val="auto"/>
                      <w:spacing w:val="-17"/>
                      <w:sz w:val="18"/>
                      <w:szCs w:val="18"/>
                      <w:lang w:val="en-US" w:eastAsia="zh-CN"/>
                    </w:rPr>
                    <w:t>17</w:t>
                  </w:r>
                </w:p>
              </w:tc>
              <w:tc>
                <w:tcPr>
                  <w:tcW w:w="3141" w:type="pct"/>
                  <w:noWrap w:val="0"/>
                  <w:vAlign w:val="center"/>
                </w:tcPr>
                <w:p>
                  <w:pPr>
                    <w:keepNext w:val="0"/>
                    <w:keepLines w:val="0"/>
                    <w:pageBreakBefore w:val="0"/>
                    <w:widowControl/>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firstLine="0" w:firstLineChars="0"/>
                    <w:jc w:val="both"/>
                    <w:textAlignment w:val="auto"/>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bCs/>
                      <w:color w:val="auto"/>
                      <w:kern w:val="0"/>
                      <w:sz w:val="18"/>
                      <w:szCs w:val="18"/>
                      <w:lang w:val="en-US" w:eastAsia="zh-CN" w:bidi="ar-SA"/>
                    </w:rPr>
                    <w:t>禁止新建、扩建国家《产业结构调整指导目录》《江苏省产业结构调整限制、淘汰和禁止目录》明确的限制类、淘汰类、禁止类项目，法律法规和相关政策明令禁止的落后产能项目，以及明令淘汰的安全生产落后工艺及装备项目。</w:t>
                  </w:r>
                </w:p>
              </w:tc>
              <w:tc>
                <w:tcPr>
                  <w:tcW w:w="976" w:type="pct"/>
                  <w:noWrap w:val="0"/>
                  <w:vAlign w:val="center"/>
                </w:tcPr>
                <w:p>
                  <w:pPr>
                    <w:keepNext w:val="0"/>
                    <w:keepLines w:val="0"/>
                    <w:pageBreakBefore w:val="0"/>
                    <w:widowControl/>
                    <w:suppressLineNumbers w:val="0"/>
                    <w:kinsoku/>
                    <w:overflowPunct/>
                    <w:topLinePunct w:val="0"/>
                    <w:autoSpaceDE/>
                    <w:autoSpaceDN/>
                    <w:bidi w:val="0"/>
                    <w:adjustRightInd w:val="0"/>
                    <w:snapToGrid w:val="0"/>
                    <w:spacing w:beforeAutospacing="0" w:afterAutospacing="0" w:line="240" w:lineRule="auto"/>
                    <w:ind w:left="0" w:leftChars="0" w:right="0" w:rightChars="0" w:firstLine="0" w:firstLineChars="0"/>
                    <w:jc w:val="both"/>
                    <w:textAlignment w:val="auto"/>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bCs/>
                      <w:color w:val="auto"/>
                      <w:kern w:val="0"/>
                      <w:sz w:val="18"/>
                      <w:szCs w:val="18"/>
                      <w:lang w:val="en-US" w:eastAsia="zh-CN" w:bidi="ar-SA"/>
                    </w:rPr>
                    <w:t>项目不属于限制类、淘汰类、禁止类项目。</w:t>
                  </w:r>
                </w:p>
              </w:tc>
              <w:tc>
                <w:tcPr>
                  <w:tcW w:w="514" w:type="pct"/>
                  <w:noWrap w:val="0"/>
                  <w:vAlign w:val="center"/>
                </w:tcPr>
                <w:p>
                  <w:pPr>
                    <w:pStyle w:val="30"/>
                    <w:keepNext w:val="0"/>
                    <w:keepLines w:val="0"/>
                    <w:pageBreakBefore w:val="0"/>
                    <w:kinsoku/>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367" w:type="pct"/>
                  <w:noWrap w:val="0"/>
                  <w:vAlign w:val="center"/>
                </w:tcPr>
                <w:p>
                  <w:pPr>
                    <w:pStyle w:val="30"/>
                    <w:keepNext w:val="0"/>
                    <w:keepLines w:val="0"/>
                    <w:pageBreakBefore w:val="0"/>
                    <w:kinsoku/>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auto"/>
                      <w:spacing w:val="-17"/>
                      <w:sz w:val="18"/>
                      <w:szCs w:val="18"/>
                      <w:lang w:val="en-US" w:eastAsia="zh-CN"/>
                    </w:rPr>
                  </w:pPr>
                  <w:r>
                    <w:rPr>
                      <w:rFonts w:hint="default" w:ascii="Times New Roman" w:hAnsi="Times New Roman" w:eastAsia="宋体" w:cs="Times New Roman"/>
                      <w:bCs/>
                      <w:color w:val="auto"/>
                      <w:spacing w:val="-17"/>
                      <w:sz w:val="18"/>
                      <w:szCs w:val="18"/>
                      <w:lang w:val="en-US" w:eastAsia="zh-CN"/>
                    </w:rPr>
                    <w:t>18</w:t>
                  </w:r>
                </w:p>
              </w:tc>
              <w:tc>
                <w:tcPr>
                  <w:tcW w:w="3141" w:type="pct"/>
                  <w:noWrap w:val="0"/>
                  <w:vAlign w:val="center"/>
                </w:tcPr>
                <w:p>
                  <w:pPr>
                    <w:keepNext w:val="0"/>
                    <w:keepLines w:val="0"/>
                    <w:pageBreakBefore w:val="0"/>
                    <w:widowControl/>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firstLine="0" w:firstLineChars="0"/>
                    <w:jc w:val="both"/>
                    <w:textAlignment w:val="auto"/>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bCs/>
                      <w:color w:val="auto"/>
                      <w:kern w:val="0"/>
                      <w:sz w:val="18"/>
                      <w:szCs w:val="18"/>
                      <w:lang w:val="en-US" w:eastAsia="zh-CN" w:bidi="ar-SA"/>
                    </w:rPr>
                    <w:t>禁止新建、扩建不符合国家产能置换要求的严重过剩产能行业的项目。禁止新建、扩建不符合要求的高耗能高排放项目。</w:t>
                  </w:r>
                </w:p>
              </w:tc>
              <w:tc>
                <w:tcPr>
                  <w:tcW w:w="976" w:type="pct"/>
                  <w:noWrap w:val="0"/>
                  <w:vAlign w:val="center"/>
                </w:tcPr>
                <w:p>
                  <w:pPr>
                    <w:keepNext w:val="0"/>
                    <w:keepLines w:val="0"/>
                    <w:pageBreakBefore w:val="0"/>
                    <w:widowControl/>
                    <w:suppressLineNumbers w:val="0"/>
                    <w:kinsoku/>
                    <w:overflowPunct/>
                    <w:topLinePunct w:val="0"/>
                    <w:autoSpaceDE/>
                    <w:autoSpaceDN/>
                    <w:bidi w:val="0"/>
                    <w:adjustRightInd w:val="0"/>
                    <w:snapToGrid w:val="0"/>
                    <w:spacing w:beforeAutospacing="0" w:afterAutospacing="0" w:line="240" w:lineRule="auto"/>
                    <w:ind w:left="0" w:leftChars="0" w:right="0" w:rightChars="0" w:firstLine="0" w:firstLineChars="0"/>
                    <w:jc w:val="both"/>
                    <w:textAlignment w:val="auto"/>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bCs/>
                      <w:color w:val="auto"/>
                      <w:kern w:val="0"/>
                      <w:sz w:val="18"/>
                      <w:szCs w:val="18"/>
                      <w:lang w:val="en-US" w:eastAsia="zh-CN" w:bidi="ar-SA"/>
                    </w:rPr>
                    <w:t>项目不属于过剩产能行业。</w:t>
                  </w:r>
                </w:p>
              </w:tc>
              <w:tc>
                <w:tcPr>
                  <w:tcW w:w="514" w:type="pct"/>
                  <w:noWrap w:val="0"/>
                  <w:vAlign w:val="center"/>
                </w:tcPr>
                <w:p>
                  <w:pPr>
                    <w:pStyle w:val="30"/>
                    <w:keepNext w:val="0"/>
                    <w:keepLines w:val="0"/>
                    <w:pageBreakBefore w:val="0"/>
                    <w:kinsoku/>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相符</w:t>
                  </w:r>
                </w:p>
              </w:tc>
            </w:tr>
          </w:tbl>
          <w:p>
            <w:pPr>
              <w:spacing w:line="500" w:lineRule="exact"/>
              <w:ind w:firstLine="422" w:firstLineChars="200"/>
              <w:rPr>
                <w:rFonts w:hint="eastAsia" w:eastAsia="宋体"/>
                <w:b/>
                <w:bCs/>
                <w:lang w:val="en-US" w:eastAsia="zh-CN"/>
              </w:rPr>
            </w:pPr>
            <w:r>
              <w:rPr>
                <w:rFonts w:hint="eastAsia"/>
                <w:b/>
                <w:bCs/>
                <w:lang w:val="en-US" w:eastAsia="zh-CN"/>
              </w:rPr>
              <w:t>4</w:t>
            </w:r>
            <w:r>
              <w:rPr>
                <w:rFonts w:hint="eastAsia" w:eastAsia="宋体"/>
                <w:b/>
                <w:bCs/>
                <w:lang w:val="en-US" w:eastAsia="zh-CN"/>
              </w:rPr>
              <w:t>、与《工业和信息化部等三部委关于推动铸造和锻压行业高质量发展的指导意见》（工信部联通装〔2023〕40号）相符性分析</w:t>
            </w:r>
          </w:p>
          <w:p>
            <w:pPr>
              <w:spacing w:line="500" w:lineRule="exact"/>
              <w:ind w:firstLine="422" w:firstLineChars="200"/>
              <w:jc w:val="center"/>
              <w:rPr>
                <w:rFonts w:ascii="Times New Roman" w:hAnsi="Times New Roman" w:eastAsia="宋体" w:cs="Times New Roman"/>
                <w:b/>
                <w:color w:val="auto"/>
                <w:szCs w:val="21"/>
              </w:rPr>
            </w:pPr>
            <w:r>
              <w:rPr>
                <w:rFonts w:ascii="Times New Roman" w:hAnsi="Times New Roman" w:eastAsia="宋体" w:cs="Times New Roman"/>
                <w:b/>
                <w:color w:val="auto"/>
                <w:szCs w:val="21"/>
              </w:rPr>
              <w:t>表1-9 与《工业和信息化部 国家发展和改革委员会生态环境部关于推动铸造和锻压行业高质量发展的指导意见》（工信部联通装〔2023〕40号）符合性分析</w:t>
            </w:r>
          </w:p>
          <w:tbl>
            <w:tblPr>
              <w:tblStyle w:val="21"/>
              <w:tblW w:w="689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11"/>
              <w:gridCol w:w="4554"/>
              <w:gridCol w:w="1240"/>
              <w:gridCol w:w="5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511" w:type="dxa"/>
                  <w:vAlign w:val="center"/>
                </w:tcPr>
                <w:p>
                  <w:pPr>
                    <w:keepNext w:val="0"/>
                    <w:keepLines w:val="0"/>
                    <w:pageBreakBefore w:val="0"/>
                    <w:widowControl/>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val="0"/>
                      <w:color w:val="auto"/>
                      <w:kern w:val="0"/>
                      <w:sz w:val="18"/>
                      <w:szCs w:val="18"/>
                      <w:lang w:val="en-US" w:eastAsia="zh-CN" w:bidi="ar-SA"/>
                    </w:rPr>
                  </w:pPr>
                  <w:r>
                    <w:rPr>
                      <w:rFonts w:hint="eastAsia" w:ascii="Times New Roman" w:hAnsi="Times New Roman" w:eastAsia="宋体" w:cs="Times New Roman"/>
                      <w:b/>
                      <w:bCs w:val="0"/>
                      <w:color w:val="auto"/>
                      <w:kern w:val="0"/>
                      <w:sz w:val="18"/>
                      <w:szCs w:val="18"/>
                      <w:lang w:val="en-US" w:eastAsia="zh-CN" w:bidi="ar-SA"/>
                    </w:rPr>
                    <w:t>序号</w:t>
                  </w:r>
                </w:p>
              </w:tc>
              <w:tc>
                <w:tcPr>
                  <w:tcW w:w="4554" w:type="dxa"/>
                  <w:vAlign w:val="center"/>
                </w:tcPr>
                <w:p>
                  <w:pPr>
                    <w:keepNext w:val="0"/>
                    <w:keepLines w:val="0"/>
                    <w:pageBreakBefore w:val="0"/>
                    <w:widowControl/>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val="0"/>
                      <w:color w:val="auto"/>
                      <w:kern w:val="0"/>
                      <w:sz w:val="18"/>
                      <w:szCs w:val="18"/>
                      <w:lang w:val="en-US" w:eastAsia="zh-CN" w:bidi="ar-SA"/>
                    </w:rPr>
                  </w:pPr>
                  <w:r>
                    <w:rPr>
                      <w:rFonts w:hint="eastAsia" w:ascii="Times New Roman" w:hAnsi="Times New Roman" w:eastAsia="宋体" w:cs="Times New Roman"/>
                      <w:b/>
                      <w:bCs w:val="0"/>
                      <w:color w:val="auto"/>
                      <w:kern w:val="0"/>
                      <w:sz w:val="18"/>
                      <w:szCs w:val="18"/>
                      <w:lang w:val="en-US" w:eastAsia="zh-CN" w:bidi="ar-SA"/>
                    </w:rPr>
                    <w:t>文件</w:t>
                  </w:r>
                  <w:r>
                    <w:rPr>
                      <w:rFonts w:hint="default" w:ascii="Times New Roman" w:hAnsi="Times New Roman" w:eastAsia="宋体" w:cs="Times New Roman"/>
                      <w:b/>
                      <w:bCs w:val="0"/>
                      <w:color w:val="auto"/>
                      <w:kern w:val="0"/>
                      <w:sz w:val="18"/>
                      <w:szCs w:val="18"/>
                      <w:lang w:val="en-US" w:eastAsia="zh-CN" w:bidi="ar-SA"/>
                    </w:rPr>
                    <w:t>要求</w:t>
                  </w:r>
                </w:p>
              </w:tc>
              <w:tc>
                <w:tcPr>
                  <w:tcW w:w="1240" w:type="dxa"/>
                  <w:vAlign w:val="center"/>
                </w:tcPr>
                <w:p>
                  <w:pPr>
                    <w:keepNext w:val="0"/>
                    <w:keepLines w:val="0"/>
                    <w:pageBreakBefore w:val="0"/>
                    <w:widowControl/>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val="0"/>
                      <w:color w:val="auto"/>
                      <w:kern w:val="0"/>
                      <w:sz w:val="18"/>
                      <w:szCs w:val="18"/>
                      <w:lang w:val="en-US" w:eastAsia="zh-CN" w:bidi="ar-SA"/>
                    </w:rPr>
                  </w:pPr>
                  <w:r>
                    <w:rPr>
                      <w:rFonts w:hint="default" w:ascii="Times New Roman" w:hAnsi="Times New Roman" w:eastAsia="宋体" w:cs="Times New Roman"/>
                      <w:b/>
                      <w:bCs w:val="0"/>
                      <w:color w:val="auto"/>
                      <w:kern w:val="0"/>
                      <w:sz w:val="18"/>
                      <w:szCs w:val="18"/>
                      <w:lang w:val="en-US" w:eastAsia="zh-CN" w:bidi="ar-SA"/>
                    </w:rPr>
                    <w:t>相符性分析</w:t>
                  </w:r>
                </w:p>
              </w:tc>
              <w:tc>
                <w:tcPr>
                  <w:tcW w:w="588" w:type="dxa"/>
                  <w:vAlign w:val="center"/>
                </w:tcPr>
                <w:p>
                  <w:pPr>
                    <w:keepNext w:val="0"/>
                    <w:keepLines w:val="0"/>
                    <w:pageBreakBefore w:val="0"/>
                    <w:widowControl/>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val="0"/>
                      <w:color w:val="auto"/>
                      <w:kern w:val="0"/>
                      <w:sz w:val="18"/>
                      <w:szCs w:val="18"/>
                      <w:lang w:val="en-US" w:eastAsia="zh-CN" w:bidi="ar-SA"/>
                    </w:rPr>
                  </w:pPr>
                  <w:r>
                    <w:rPr>
                      <w:rFonts w:hint="default" w:ascii="Times New Roman" w:hAnsi="Times New Roman" w:eastAsia="宋体" w:cs="Times New Roman"/>
                      <w:b/>
                      <w:bCs w:val="0"/>
                      <w:color w:val="auto"/>
                      <w:kern w:val="0"/>
                      <w:sz w:val="18"/>
                      <w:szCs w:val="18"/>
                      <w:lang w:val="en-US" w:eastAsia="zh-CN" w:bidi="ar-SA"/>
                    </w:rPr>
                    <w:t>符合情况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40" w:hRule="atLeast"/>
                <w:jc w:val="center"/>
              </w:trPr>
              <w:tc>
                <w:tcPr>
                  <w:tcW w:w="511" w:type="dxa"/>
                  <w:vAlign w:val="center"/>
                </w:tcPr>
                <w:p>
                  <w:pPr>
                    <w:keepNext w:val="0"/>
                    <w:keepLines w:val="0"/>
                    <w:pageBreakBefore w:val="0"/>
                    <w:widowControl/>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0"/>
                      <w:sz w:val="18"/>
                      <w:szCs w:val="18"/>
                      <w:lang w:val="en-US" w:eastAsia="zh-CN" w:bidi="ar-SA"/>
                    </w:rPr>
                  </w:pPr>
                  <w:r>
                    <w:rPr>
                      <w:rFonts w:hint="eastAsia" w:ascii="Times New Roman" w:hAnsi="Times New Roman" w:eastAsia="宋体" w:cs="Times New Roman"/>
                      <w:bCs/>
                      <w:color w:val="auto"/>
                      <w:kern w:val="0"/>
                      <w:sz w:val="18"/>
                      <w:szCs w:val="18"/>
                      <w:lang w:val="en-US" w:eastAsia="zh-CN" w:bidi="ar-SA"/>
                    </w:rPr>
                    <w:t>1</w:t>
                  </w:r>
                </w:p>
              </w:tc>
              <w:tc>
                <w:tcPr>
                  <w:tcW w:w="4554" w:type="dxa"/>
                  <w:vAlign w:val="center"/>
                </w:tcPr>
                <w:p>
                  <w:pPr>
                    <w:keepNext w:val="0"/>
                    <w:keepLines w:val="0"/>
                    <w:pageBreakBefore w:val="0"/>
                    <w:widowControl/>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firstLine="0" w:firstLineChars="0"/>
                    <w:jc w:val="both"/>
                    <w:textAlignment w:val="auto"/>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bCs/>
                      <w:color w:val="auto"/>
                      <w:kern w:val="0"/>
                      <w:sz w:val="18"/>
                      <w:szCs w:val="18"/>
                      <w:lang w:val="en-US" w:eastAsia="zh-CN" w:bidi="ar-SA"/>
                    </w:rPr>
                    <w:t>推进产业结构优化。严格执行节能、环保、质量、安全技术等相关法律法规标准和《产业结构调整指导目录》等政策，依法依规淘汰工艺装备落后、污染物排放不达标、生产安全无保障的落后产能。鼓励大气污染防治重点区域加大淘汰落后力度。</w:t>
                  </w:r>
                  <w:r>
                    <w:rPr>
                      <w:rFonts w:hint="eastAsia" w:cs="Times New Roman"/>
                      <w:bCs/>
                      <w:color w:val="auto"/>
                      <w:kern w:val="0"/>
                      <w:sz w:val="18"/>
                      <w:szCs w:val="18"/>
                      <w:lang w:val="en-US" w:eastAsia="zh-CN" w:bidi="ar-SA"/>
                    </w:rPr>
                    <w:t>锻造企业</w:t>
                  </w:r>
                  <w:r>
                    <w:rPr>
                      <w:rFonts w:hint="default" w:ascii="Times New Roman" w:hAnsi="Times New Roman" w:eastAsia="宋体" w:cs="Times New Roman"/>
                      <w:bCs/>
                      <w:color w:val="auto"/>
                      <w:kern w:val="0"/>
                      <w:sz w:val="18"/>
                      <w:szCs w:val="18"/>
                      <w:lang w:val="en-US" w:eastAsia="zh-CN" w:bidi="ar-SA"/>
                    </w:rPr>
                    <w:t>重点</w:t>
                  </w:r>
                  <w:r>
                    <w:rPr>
                      <w:rFonts w:hint="eastAsia" w:ascii="Times New Roman" w:hAnsi="Times New Roman" w:eastAsia="宋体" w:cs="Times New Roman"/>
                      <w:bCs/>
                      <w:color w:val="auto"/>
                      <w:kern w:val="0"/>
                      <w:sz w:val="18"/>
                      <w:szCs w:val="18"/>
                      <w:lang w:val="en-US" w:eastAsia="zh-CN" w:bidi="ar-SA"/>
                    </w:rPr>
                    <w:t>发展精密结构件高速冲压、超高强板材深拉深、高强轻质合金板材冲击液压成形、复杂异型结构旋压、高速精密多工位锻造、冷热径向锻造、冲锻复合近净成形、短流程模锻及自由锻、精密锻造、粉末精密锻造、数字化钣金制作成形中心、数字化高效通用零件加工中心等先进锻压工艺与装备</w:t>
                  </w:r>
                  <w:r>
                    <w:rPr>
                      <w:rFonts w:hint="default" w:ascii="Times New Roman" w:hAnsi="Times New Roman" w:eastAsia="宋体" w:cs="Times New Roman"/>
                      <w:bCs/>
                      <w:color w:val="auto"/>
                      <w:kern w:val="0"/>
                      <w:sz w:val="18"/>
                      <w:szCs w:val="18"/>
                      <w:lang w:val="en-US" w:eastAsia="zh-CN" w:bidi="ar-SA"/>
                    </w:rPr>
                    <w:t>。强化铸造和锻压与装备制造业协同布局，引导具备条件的企业入园集聚发展，提升产业链供应链协同配套能力，构建布局合理、错位互补、供需联动、协同发展的产业格局。</w:t>
                  </w:r>
                </w:p>
              </w:tc>
              <w:tc>
                <w:tcPr>
                  <w:tcW w:w="1240" w:type="dxa"/>
                  <w:vAlign w:val="center"/>
                </w:tcPr>
                <w:p>
                  <w:pPr>
                    <w:keepNext w:val="0"/>
                    <w:keepLines w:val="0"/>
                    <w:pageBreakBefore w:val="0"/>
                    <w:widowControl/>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firstLine="0" w:firstLineChars="0"/>
                    <w:jc w:val="both"/>
                    <w:textAlignment w:val="auto"/>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bCs/>
                      <w:color w:val="auto"/>
                      <w:kern w:val="0"/>
                      <w:sz w:val="18"/>
                      <w:szCs w:val="18"/>
                      <w:lang w:val="en-US" w:eastAsia="zh-CN" w:bidi="ar-SA"/>
                    </w:rPr>
                    <w:t>本项目不属于《产业结构调整指导目录》中限制类和淘汰类项目，生产设备均不属于落后淘汰装备，</w:t>
                  </w:r>
                  <w:r>
                    <w:rPr>
                      <w:rFonts w:hint="eastAsia" w:cs="Times New Roman"/>
                      <w:bCs/>
                      <w:color w:val="auto"/>
                      <w:kern w:val="0"/>
                      <w:sz w:val="18"/>
                      <w:szCs w:val="18"/>
                      <w:lang w:val="en-US" w:eastAsia="zh-CN" w:bidi="ar-SA"/>
                    </w:rPr>
                    <w:t>本项目属于锻造</w:t>
                  </w:r>
                  <w:r>
                    <w:rPr>
                      <w:rFonts w:hint="eastAsia" w:ascii="Times New Roman" w:hAnsi="Times New Roman" w:eastAsia="宋体" w:cs="Times New Roman"/>
                      <w:bCs/>
                      <w:color w:val="auto"/>
                      <w:kern w:val="0"/>
                      <w:sz w:val="18"/>
                      <w:szCs w:val="18"/>
                      <w:lang w:val="en-US" w:eastAsia="zh-CN" w:bidi="ar-SA"/>
                    </w:rPr>
                    <w:t>企业</w:t>
                  </w:r>
                  <w:r>
                    <w:rPr>
                      <w:rFonts w:hint="default" w:ascii="Times New Roman" w:hAnsi="Times New Roman" w:eastAsia="宋体" w:cs="Times New Roman"/>
                      <w:bCs/>
                      <w:color w:val="auto"/>
                      <w:kern w:val="0"/>
                      <w:sz w:val="18"/>
                      <w:szCs w:val="18"/>
                      <w:lang w:val="en-US" w:eastAsia="zh-CN" w:bidi="ar-SA"/>
                    </w:rPr>
                    <w:t>重点</w:t>
                  </w:r>
                  <w:r>
                    <w:rPr>
                      <w:rFonts w:hint="eastAsia" w:ascii="Times New Roman" w:hAnsi="Times New Roman" w:eastAsia="宋体" w:cs="Times New Roman"/>
                      <w:bCs/>
                      <w:color w:val="auto"/>
                      <w:kern w:val="0"/>
                      <w:sz w:val="18"/>
                      <w:szCs w:val="18"/>
                      <w:lang w:val="en-US" w:eastAsia="zh-CN" w:bidi="ar-SA"/>
                    </w:rPr>
                    <w:t>发展的</w:t>
                  </w:r>
                  <w:r>
                    <w:rPr>
                      <w:rFonts w:hint="default" w:ascii="Times New Roman" w:hAnsi="Times New Roman" w:eastAsia="宋体" w:cs="Times New Roman"/>
                      <w:bCs/>
                      <w:color w:val="auto"/>
                      <w:kern w:val="0"/>
                      <w:sz w:val="18"/>
                      <w:szCs w:val="18"/>
                      <w:lang w:val="en-US" w:eastAsia="zh-CN" w:bidi="ar-SA"/>
                    </w:rPr>
                    <w:t>短流程模锻及自由锻</w:t>
                  </w:r>
                  <w:r>
                    <w:rPr>
                      <w:rFonts w:hint="eastAsia" w:ascii="Times New Roman" w:hAnsi="Times New Roman" w:eastAsia="宋体" w:cs="Times New Roman"/>
                      <w:bCs/>
                      <w:color w:val="auto"/>
                      <w:kern w:val="0"/>
                      <w:sz w:val="18"/>
                      <w:szCs w:val="18"/>
                      <w:lang w:val="en-US" w:eastAsia="zh-CN" w:bidi="ar-SA"/>
                    </w:rPr>
                    <w:t>工艺</w:t>
                  </w:r>
                  <w:r>
                    <w:rPr>
                      <w:rFonts w:hint="default" w:ascii="Times New Roman" w:hAnsi="Times New Roman" w:eastAsia="宋体" w:cs="Times New Roman"/>
                      <w:bCs/>
                      <w:color w:val="auto"/>
                      <w:kern w:val="0"/>
                      <w:sz w:val="18"/>
                      <w:szCs w:val="18"/>
                      <w:lang w:val="en-US" w:eastAsia="zh-CN" w:bidi="ar-SA"/>
                    </w:rPr>
                    <w:t>直接对钢锭锻压，减少中间工序</w:t>
                  </w:r>
                  <w:r>
                    <w:rPr>
                      <w:rFonts w:hint="eastAsia" w:cs="Times New Roman"/>
                      <w:bCs/>
                      <w:color w:val="auto"/>
                      <w:kern w:val="0"/>
                      <w:sz w:val="18"/>
                      <w:szCs w:val="18"/>
                      <w:lang w:val="en-US" w:eastAsia="zh-CN" w:bidi="ar-SA"/>
                    </w:rPr>
                    <w:t>，本项目</w:t>
                  </w:r>
                  <w:r>
                    <w:rPr>
                      <w:rFonts w:hint="default" w:ascii="Times New Roman" w:hAnsi="Times New Roman" w:eastAsia="宋体" w:cs="Times New Roman"/>
                      <w:bCs/>
                      <w:color w:val="auto"/>
                      <w:kern w:val="0"/>
                      <w:sz w:val="18"/>
                      <w:szCs w:val="18"/>
                      <w:lang w:val="en-US" w:eastAsia="zh-CN" w:bidi="ar-SA"/>
                    </w:rPr>
                    <w:t>占地</w:t>
                  </w:r>
                  <w:r>
                    <w:rPr>
                      <w:rFonts w:hint="eastAsia" w:cs="Times New Roman"/>
                      <w:bCs/>
                      <w:color w:val="auto"/>
                      <w:kern w:val="0"/>
                      <w:sz w:val="18"/>
                      <w:szCs w:val="18"/>
                      <w:lang w:val="en-US" w:eastAsia="zh-CN" w:bidi="ar-SA"/>
                    </w:rPr>
                    <w:t>在</w:t>
                  </w:r>
                  <w:r>
                    <w:rPr>
                      <w:rFonts w:hint="default" w:ascii="Times New Roman" w:hAnsi="Times New Roman" w:eastAsia="宋体" w:cs="Times New Roman"/>
                      <w:color w:val="auto"/>
                      <w:sz w:val="18"/>
                      <w:szCs w:val="18"/>
                      <w:lang w:val="en-US" w:eastAsia="zh-CN"/>
                    </w:rPr>
                    <w:t>智能装备制造产业园（北）</w:t>
                  </w:r>
                  <w:r>
                    <w:rPr>
                      <w:rFonts w:hint="eastAsia" w:cs="Times New Roman"/>
                      <w:color w:val="auto"/>
                      <w:sz w:val="18"/>
                      <w:szCs w:val="18"/>
                      <w:lang w:val="en-US" w:eastAsia="zh-CN"/>
                    </w:rPr>
                    <w:t>内</w:t>
                  </w:r>
                  <w:r>
                    <w:rPr>
                      <w:rFonts w:hint="default" w:ascii="Times New Roman" w:hAnsi="Times New Roman" w:eastAsia="宋体" w:cs="Times New Roman"/>
                      <w:bCs/>
                      <w:color w:val="auto"/>
                      <w:kern w:val="0"/>
                      <w:sz w:val="18"/>
                      <w:szCs w:val="18"/>
                      <w:lang w:val="en-US" w:eastAsia="zh-CN" w:bidi="ar-SA"/>
                    </w:rPr>
                    <w:t>。</w:t>
                  </w:r>
                </w:p>
              </w:tc>
              <w:tc>
                <w:tcPr>
                  <w:tcW w:w="588" w:type="dxa"/>
                  <w:vAlign w:val="center"/>
                </w:tcPr>
                <w:p>
                  <w:pPr>
                    <w:keepNext w:val="0"/>
                    <w:keepLines w:val="0"/>
                    <w:pageBreakBefore w:val="0"/>
                    <w:widowControl/>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firstLine="0" w:firstLineChars="0"/>
                    <w:jc w:val="both"/>
                    <w:textAlignment w:val="auto"/>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bCs/>
                      <w:color w:val="auto"/>
                      <w:kern w:val="0"/>
                      <w:sz w:val="18"/>
                      <w:szCs w:val="18"/>
                      <w:lang w:val="en-US" w:eastAsia="zh-CN" w:bidi="ar-SA"/>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4" w:hRule="atLeast"/>
                <w:jc w:val="center"/>
              </w:trPr>
              <w:tc>
                <w:tcPr>
                  <w:tcW w:w="511" w:type="dxa"/>
                  <w:vAlign w:val="center"/>
                </w:tcPr>
                <w:p>
                  <w:pPr>
                    <w:keepNext w:val="0"/>
                    <w:keepLines w:val="0"/>
                    <w:pageBreakBefore w:val="0"/>
                    <w:widowControl/>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0"/>
                      <w:sz w:val="18"/>
                      <w:szCs w:val="18"/>
                      <w:lang w:val="en-US" w:eastAsia="zh-CN" w:bidi="ar-SA"/>
                    </w:rPr>
                  </w:pPr>
                  <w:r>
                    <w:rPr>
                      <w:rFonts w:hint="eastAsia" w:ascii="Times New Roman" w:hAnsi="Times New Roman" w:eastAsia="宋体" w:cs="Times New Roman"/>
                      <w:bCs/>
                      <w:color w:val="auto"/>
                      <w:kern w:val="0"/>
                      <w:sz w:val="18"/>
                      <w:szCs w:val="18"/>
                      <w:lang w:val="en-US" w:eastAsia="zh-CN" w:bidi="ar-SA"/>
                    </w:rPr>
                    <w:t>2</w:t>
                  </w:r>
                </w:p>
              </w:tc>
              <w:tc>
                <w:tcPr>
                  <w:tcW w:w="4554" w:type="dxa"/>
                  <w:vAlign w:val="center"/>
                </w:tcPr>
                <w:p>
                  <w:pPr>
                    <w:keepNext w:val="0"/>
                    <w:keepLines w:val="0"/>
                    <w:pageBreakBefore w:val="0"/>
                    <w:widowControl/>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firstLine="0" w:firstLineChars="0"/>
                    <w:jc w:val="both"/>
                    <w:textAlignment w:val="auto"/>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bCs/>
                      <w:color w:val="auto"/>
                      <w:kern w:val="0"/>
                      <w:sz w:val="18"/>
                      <w:szCs w:val="18"/>
                      <w:lang w:val="en-US" w:eastAsia="zh-CN" w:bidi="ar-SA"/>
                    </w:rPr>
                    <w:t>加快绿色低碳转型。推进绿色方式贯穿铸造和锻压生产全流程，开发绿色原辅材料、推广绿色工艺、建设绿色工厂、发展绿色园区，深入推进园区循环化改造。推动企业依法披露环境信息，接受社会监督。积极开展清洁生产，做好节能监察执法、节能诊断服务工作，深入挖掘节能潜力。鼓励企业采用高效节能熔炼、热处理等设备，提高余热利用水平。推广短流程铸造，鼓励铸造行业冲天炉（10吨/小时及以下）改为电炉。推进铸造废砂再生处理技术应用、废旧金属循环再生与利用。推广整体化大型化短流程低成本锻压技术，推广环保润滑介质应用，加大非调质钢使用比例等。</w:t>
                  </w:r>
                </w:p>
              </w:tc>
              <w:tc>
                <w:tcPr>
                  <w:tcW w:w="1240" w:type="dxa"/>
                  <w:vAlign w:val="center"/>
                </w:tcPr>
                <w:p>
                  <w:pPr>
                    <w:keepNext w:val="0"/>
                    <w:keepLines w:val="0"/>
                    <w:pageBreakBefore w:val="0"/>
                    <w:widowControl/>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firstLine="0" w:firstLineChars="0"/>
                    <w:jc w:val="both"/>
                    <w:textAlignment w:val="auto"/>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bCs/>
                      <w:color w:val="auto"/>
                      <w:kern w:val="0"/>
                      <w:sz w:val="18"/>
                      <w:szCs w:val="18"/>
                      <w:lang w:val="en-US" w:eastAsia="zh-CN" w:bidi="ar-SA"/>
                    </w:rPr>
                    <w:t>本项目锻压采用</w:t>
                  </w:r>
                  <w:r>
                    <w:rPr>
                      <w:rFonts w:hint="eastAsia" w:cs="Times New Roman"/>
                      <w:bCs/>
                      <w:color w:val="auto"/>
                      <w:kern w:val="0"/>
                      <w:sz w:val="18"/>
                      <w:szCs w:val="18"/>
                      <w:lang w:val="en-US" w:eastAsia="zh-CN" w:bidi="ar-SA"/>
                    </w:rPr>
                    <w:t>天然气炉和</w:t>
                  </w:r>
                  <w:r>
                    <w:rPr>
                      <w:rFonts w:hint="default" w:ascii="Times New Roman" w:hAnsi="Times New Roman" w:eastAsia="宋体" w:cs="Times New Roman"/>
                      <w:bCs/>
                      <w:color w:val="auto"/>
                      <w:kern w:val="0"/>
                      <w:sz w:val="18"/>
                      <w:szCs w:val="18"/>
                      <w:lang w:val="en-US" w:eastAsia="zh-CN" w:bidi="ar-SA"/>
                    </w:rPr>
                    <w:t>电炉进行</w:t>
                  </w:r>
                  <w:r>
                    <w:rPr>
                      <w:rFonts w:hint="eastAsia" w:cs="Times New Roman"/>
                      <w:bCs/>
                      <w:color w:val="auto"/>
                      <w:kern w:val="0"/>
                      <w:sz w:val="18"/>
                      <w:szCs w:val="18"/>
                      <w:lang w:val="en-US" w:eastAsia="zh-CN" w:bidi="ar-SA"/>
                    </w:rPr>
                    <w:t>锻造和热处理</w:t>
                  </w:r>
                  <w:r>
                    <w:rPr>
                      <w:rFonts w:hint="default" w:ascii="Times New Roman" w:hAnsi="Times New Roman" w:eastAsia="宋体" w:cs="Times New Roman"/>
                      <w:bCs/>
                      <w:color w:val="auto"/>
                      <w:kern w:val="0"/>
                      <w:sz w:val="18"/>
                      <w:szCs w:val="18"/>
                      <w:lang w:val="en-US" w:eastAsia="zh-CN" w:bidi="ar-SA"/>
                    </w:rPr>
                    <w:t>。</w:t>
                  </w:r>
                </w:p>
              </w:tc>
              <w:tc>
                <w:tcPr>
                  <w:tcW w:w="588" w:type="dxa"/>
                  <w:vAlign w:val="center"/>
                </w:tcPr>
                <w:p>
                  <w:pPr>
                    <w:keepNext w:val="0"/>
                    <w:keepLines w:val="0"/>
                    <w:pageBreakBefore w:val="0"/>
                    <w:widowControl/>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firstLine="0" w:firstLineChars="0"/>
                    <w:jc w:val="both"/>
                    <w:textAlignment w:val="auto"/>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bCs/>
                      <w:color w:val="auto"/>
                      <w:kern w:val="0"/>
                      <w:sz w:val="18"/>
                      <w:szCs w:val="18"/>
                      <w:lang w:val="en-US" w:eastAsia="zh-CN" w:bidi="ar-SA"/>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6" w:hRule="atLeast"/>
                <w:jc w:val="center"/>
              </w:trPr>
              <w:tc>
                <w:tcPr>
                  <w:tcW w:w="511" w:type="dxa"/>
                  <w:vAlign w:val="center"/>
                </w:tcPr>
                <w:p>
                  <w:pPr>
                    <w:keepNext w:val="0"/>
                    <w:keepLines w:val="0"/>
                    <w:pageBreakBefore w:val="0"/>
                    <w:widowControl/>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0"/>
                      <w:sz w:val="18"/>
                      <w:szCs w:val="18"/>
                      <w:lang w:val="en-US" w:eastAsia="zh-CN" w:bidi="ar-SA"/>
                    </w:rPr>
                  </w:pPr>
                  <w:r>
                    <w:rPr>
                      <w:rFonts w:hint="eastAsia" w:ascii="Times New Roman" w:hAnsi="Times New Roman" w:eastAsia="宋体" w:cs="Times New Roman"/>
                      <w:bCs/>
                      <w:color w:val="auto"/>
                      <w:kern w:val="0"/>
                      <w:sz w:val="18"/>
                      <w:szCs w:val="18"/>
                      <w:lang w:val="en-US" w:eastAsia="zh-CN" w:bidi="ar-SA"/>
                    </w:rPr>
                    <w:t>3</w:t>
                  </w:r>
                </w:p>
              </w:tc>
              <w:tc>
                <w:tcPr>
                  <w:tcW w:w="4554" w:type="dxa"/>
                  <w:vAlign w:val="center"/>
                </w:tcPr>
                <w:p>
                  <w:pPr>
                    <w:keepNext w:val="0"/>
                    <w:keepLines w:val="0"/>
                    <w:pageBreakBefore w:val="0"/>
                    <w:widowControl/>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firstLine="0" w:firstLineChars="0"/>
                    <w:jc w:val="both"/>
                    <w:textAlignment w:val="auto"/>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bCs/>
                      <w:color w:val="auto"/>
                      <w:kern w:val="0"/>
                      <w:sz w:val="18"/>
                      <w:szCs w:val="18"/>
                      <w:lang w:val="en-US" w:eastAsia="zh-CN" w:bidi="ar-SA"/>
                    </w:rPr>
                    <w:t>提升环保治理水平。依法申领排污许可证，严格持证排污、按证排污并按排污许可证规定落实自行监测、台账记录、执行报告、信息公开等要求。综合考虑生产工艺、原辅材料使用、无组织排放控制、污染治理设施运行效果等，建设一批达到重污染天气应对绩效分级A级水平的环保标杆企业，带动行业环保水平提升。铸造企业严格执行《铸造工业大气污染物排放标准》（GB39726）及地方排放标准，加强无组织排放控制，不能稳定达标排放的，限期完成设施升级改造，不具备改造条件及改造后仍不能达标的，依法依规进行淘汰。鼓励铸造用生铁企业参照钢铁行业超低排放改造要求开展有组织、无组织和清洁运输超低排放改造，支持行业协会公示进展情况。</w:t>
                  </w:r>
                </w:p>
              </w:tc>
              <w:tc>
                <w:tcPr>
                  <w:tcW w:w="1240" w:type="dxa"/>
                  <w:vAlign w:val="center"/>
                </w:tcPr>
                <w:p>
                  <w:pPr>
                    <w:keepNext w:val="0"/>
                    <w:keepLines w:val="0"/>
                    <w:pageBreakBefore w:val="0"/>
                    <w:widowControl/>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firstLine="0" w:firstLineChars="0"/>
                    <w:jc w:val="both"/>
                    <w:textAlignment w:val="auto"/>
                    <w:rPr>
                      <w:color w:val="auto"/>
                      <w:sz w:val="18"/>
                      <w:szCs w:val="21"/>
                    </w:rPr>
                  </w:pPr>
                  <w:r>
                    <w:rPr>
                      <w:rFonts w:hint="eastAsia" w:cs="Times New Roman"/>
                      <w:bCs/>
                      <w:color w:val="auto"/>
                      <w:kern w:val="0"/>
                      <w:sz w:val="18"/>
                      <w:szCs w:val="18"/>
                      <w:lang w:val="en-US" w:eastAsia="zh-CN" w:bidi="ar-SA"/>
                    </w:rPr>
                    <w:t>项目环评结束后</w:t>
                  </w:r>
                  <w:r>
                    <w:rPr>
                      <w:rFonts w:hint="default" w:ascii="Times New Roman" w:hAnsi="Times New Roman" w:eastAsia="宋体" w:cs="Times New Roman"/>
                      <w:bCs/>
                      <w:color w:val="auto"/>
                      <w:kern w:val="0"/>
                      <w:sz w:val="18"/>
                      <w:szCs w:val="18"/>
                      <w:lang w:val="en-US" w:eastAsia="zh-CN" w:bidi="ar-SA"/>
                    </w:rPr>
                    <w:t>依法</w:t>
                  </w:r>
                  <w:r>
                    <w:rPr>
                      <w:rFonts w:hint="eastAsia" w:cs="Times New Roman"/>
                      <w:bCs/>
                      <w:color w:val="auto"/>
                      <w:kern w:val="0"/>
                      <w:sz w:val="18"/>
                      <w:szCs w:val="18"/>
                      <w:lang w:val="en-US" w:eastAsia="zh-CN" w:bidi="ar-SA"/>
                    </w:rPr>
                    <w:t>变更</w:t>
                  </w:r>
                  <w:r>
                    <w:rPr>
                      <w:rFonts w:hint="default" w:ascii="Times New Roman" w:hAnsi="Times New Roman" w:eastAsia="宋体" w:cs="Times New Roman"/>
                      <w:bCs/>
                      <w:color w:val="auto"/>
                      <w:kern w:val="0"/>
                      <w:sz w:val="18"/>
                      <w:szCs w:val="18"/>
                      <w:lang w:val="en-US" w:eastAsia="zh-CN" w:bidi="ar-SA"/>
                    </w:rPr>
                    <w:t>排污许可，严格持证排污、按证排污并按排污许可证规定落实自行监测、台账记录、执行报告、信息公开</w:t>
                  </w:r>
                  <w:r>
                    <w:rPr>
                      <w:rFonts w:hint="eastAsia" w:cs="Times New Roman"/>
                      <w:bCs/>
                      <w:color w:val="auto"/>
                      <w:kern w:val="0"/>
                      <w:sz w:val="18"/>
                      <w:szCs w:val="18"/>
                      <w:lang w:val="en-US" w:eastAsia="zh-CN" w:bidi="ar-SA"/>
                    </w:rPr>
                    <w:t>，</w:t>
                  </w:r>
                  <w:r>
                    <w:rPr>
                      <w:rFonts w:hint="default" w:ascii="Times New Roman" w:hAnsi="Times New Roman" w:eastAsia="宋体" w:cs="Times New Roman"/>
                      <w:bCs/>
                      <w:color w:val="auto"/>
                      <w:kern w:val="0"/>
                      <w:sz w:val="18"/>
                      <w:szCs w:val="18"/>
                      <w:lang w:val="en-US" w:eastAsia="zh-CN" w:bidi="ar-SA"/>
                    </w:rPr>
                    <w:t>生产过程在封闭车间内进行，减少无组织废气排放。</w:t>
                  </w:r>
                </w:p>
              </w:tc>
              <w:tc>
                <w:tcPr>
                  <w:tcW w:w="588" w:type="dxa"/>
                  <w:vAlign w:val="center"/>
                </w:tcPr>
                <w:p>
                  <w:pPr>
                    <w:tabs>
                      <w:tab w:val="left" w:pos="6379"/>
                    </w:tabs>
                    <w:overflowPunct w:val="0"/>
                    <w:adjustRightInd w:val="0"/>
                    <w:snapToGrid w:val="0"/>
                    <w:jc w:val="center"/>
                    <w:rPr>
                      <w:color w:val="auto"/>
                      <w:sz w:val="18"/>
                      <w:szCs w:val="21"/>
                    </w:rPr>
                  </w:pPr>
                  <w:r>
                    <w:rPr>
                      <w:color w:val="auto"/>
                      <w:sz w:val="18"/>
                      <w:szCs w:val="21"/>
                    </w:rPr>
                    <w:t>符合</w:t>
                  </w:r>
                </w:p>
              </w:tc>
            </w:tr>
          </w:tbl>
          <w:p>
            <w:pPr>
              <w:spacing w:line="500" w:lineRule="exact"/>
              <w:ind w:firstLine="422" w:firstLineChars="200"/>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5、《关于印发&lt;关于推动全省铸造和锻压行业高质量发展的实施意见&gt;的通知》（苏工信装备〔2023〕403）相符性分析</w:t>
            </w:r>
          </w:p>
          <w:p>
            <w:pPr>
              <w:spacing w:line="500" w:lineRule="exact"/>
              <w:ind w:firstLine="422" w:firstLineChars="200"/>
              <w:jc w:val="center"/>
              <w:rPr>
                <w:rFonts w:hint="eastAsia" w:ascii="Times New Roman" w:hAnsi="Times New Roman" w:eastAsia="宋体" w:cs="Times New Roman"/>
                <w:b/>
                <w:color w:val="auto"/>
                <w:szCs w:val="21"/>
                <w:lang w:val="en-US" w:eastAsia="zh-CN"/>
              </w:rPr>
            </w:pPr>
            <w:r>
              <w:rPr>
                <w:rFonts w:hint="default" w:ascii="Times New Roman" w:hAnsi="Times New Roman" w:eastAsia="宋体" w:cs="Times New Roman"/>
                <w:b/>
                <w:color w:val="auto"/>
                <w:szCs w:val="21"/>
                <w:lang w:eastAsia="zh-CN"/>
              </w:rPr>
              <w:t>表</w:t>
            </w:r>
            <w:r>
              <w:rPr>
                <w:rFonts w:hint="default" w:ascii="Times New Roman" w:hAnsi="Times New Roman" w:eastAsia="宋体" w:cs="Times New Roman"/>
                <w:b/>
                <w:color w:val="auto"/>
                <w:szCs w:val="21"/>
                <w:lang w:val="en-US" w:eastAsia="zh-CN"/>
              </w:rPr>
              <w:t>1-</w:t>
            </w:r>
            <w:r>
              <w:rPr>
                <w:rFonts w:hint="eastAsia" w:ascii="Times New Roman" w:hAnsi="Times New Roman" w:eastAsia="宋体" w:cs="Times New Roman"/>
                <w:b/>
                <w:color w:val="auto"/>
                <w:szCs w:val="21"/>
                <w:lang w:val="en-US" w:eastAsia="zh-CN"/>
              </w:rPr>
              <w:t>10</w:t>
            </w:r>
            <w:r>
              <w:rPr>
                <w:rFonts w:hint="default" w:ascii="Times New Roman" w:hAnsi="Times New Roman" w:eastAsia="宋体" w:cs="Times New Roman"/>
                <w:b/>
                <w:color w:val="auto"/>
                <w:szCs w:val="21"/>
                <w:lang w:val="en-US" w:eastAsia="zh-CN"/>
              </w:rPr>
              <w:t xml:space="preserve"> </w:t>
            </w:r>
            <w:r>
              <w:rPr>
                <w:rFonts w:hint="eastAsia" w:ascii="Times New Roman" w:hAnsi="Times New Roman" w:eastAsia="宋体" w:cs="Times New Roman"/>
                <w:b/>
                <w:color w:val="auto"/>
                <w:szCs w:val="21"/>
                <w:lang w:val="en-US" w:eastAsia="zh-CN"/>
              </w:rPr>
              <w:t>与</w:t>
            </w:r>
            <w:r>
              <w:rPr>
                <w:rFonts w:hint="eastAsia" w:ascii="Times New Roman" w:hAnsi="Times New Roman" w:eastAsia="宋体" w:cs="Times New Roman"/>
                <w:b/>
                <w:bCs/>
                <w:color w:val="auto"/>
                <w:lang w:val="en-US" w:eastAsia="zh-CN"/>
              </w:rPr>
              <w:t>苏工信装备〔2023〕403</w:t>
            </w:r>
            <w:r>
              <w:rPr>
                <w:rFonts w:hint="default" w:ascii="Times New Roman" w:hAnsi="Times New Roman" w:eastAsia="宋体" w:cs="Times New Roman"/>
                <w:b/>
                <w:color w:val="auto"/>
                <w:szCs w:val="21"/>
              </w:rPr>
              <w:t>的相符性分析</w:t>
            </w:r>
          </w:p>
          <w:tbl>
            <w:tblPr>
              <w:tblStyle w:val="22"/>
              <w:tblW w:w="709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8"/>
              <w:gridCol w:w="4011"/>
              <w:gridCol w:w="1938"/>
              <w:gridCol w:w="4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2" w:hRule="atLeast"/>
                <w:jc w:val="center"/>
              </w:trPr>
              <w:tc>
                <w:tcPr>
                  <w:tcW w:w="4749"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vertAlign w:val="baseline"/>
                      <w:lang w:val="en-US" w:eastAsia="zh-CN"/>
                    </w:rPr>
                  </w:pPr>
                  <w:r>
                    <w:rPr>
                      <w:rFonts w:hint="eastAsia" w:ascii="Times New Roman" w:hAnsi="Times New Roman" w:eastAsia="宋体" w:cs="Times New Roman"/>
                      <w:b/>
                      <w:bCs/>
                      <w:color w:val="auto"/>
                      <w:sz w:val="18"/>
                      <w:szCs w:val="18"/>
                      <w:vertAlign w:val="baseline"/>
                      <w:lang w:val="en-US" w:eastAsia="zh-CN"/>
                    </w:rPr>
                    <w:t>相关要求</w:t>
                  </w:r>
                </w:p>
              </w:tc>
              <w:tc>
                <w:tcPr>
                  <w:tcW w:w="19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本项目情况</w:t>
                  </w:r>
                </w:p>
              </w:tc>
              <w:tc>
                <w:tcPr>
                  <w:tcW w:w="4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w:t>
                  </w:r>
                  <w:r>
                    <w:rPr>
                      <w:rFonts w:hint="default" w:ascii="Times New Roman" w:hAnsi="Times New Roman" w:eastAsia="宋体" w:cs="Times New Roman"/>
                      <w:color w:val="auto"/>
                      <w:sz w:val="18"/>
                      <w:szCs w:val="18"/>
                      <w:vertAlign w:val="baseline"/>
                      <w:lang w:val="en-US" w:eastAsia="zh-CN"/>
                    </w:rPr>
                    <w:t>坚持创新驱动，提升自主可控能力</w:t>
                  </w:r>
                </w:p>
              </w:tc>
              <w:tc>
                <w:tcPr>
                  <w:tcW w:w="40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1．开展重大技术装备攻关。推进以企业为主体、产学研用相结合的技术创新体系建设，鼓励铸造和锻压企业与装备制造企业、高校、科研院所开展协同攻关，推动产业链上中下游协同、大中小企业融通创新和科技成果转化应用，按年度培育和认定一批铸造和锻压领域首台（套）重大装备及关键部件。（省科技厅、省工业和信息化厅按职责分工负责）</w:t>
                  </w:r>
                  <w:r>
                    <w:rPr>
                      <w:rFonts w:hint="eastAsia" w:cs="Times New Roman"/>
                      <w:color w:val="auto"/>
                      <w:sz w:val="18"/>
                      <w:szCs w:val="18"/>
                      <w:vertAlign w:val="baseline"/>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2．实施产业基础再造工程。聚焦国家战略和产业发展需求，每年凝练10-30个重大攻关项目和科研重大成果转化项目，加快突破行业急需的核心零部件、先进工艺和装备、关键基础材料等，补齐产业链短板，增强产业体系抗冲击能力。（省科技厅、省工业和信息化厅按职责分工负责）</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3．发展先进工艺与装备。重点发展高紧实度粘土砂自动化造型、高效自硬砂铸造、精密组芯造型、壳型铸造、离心铸造、金属型铸造、铁模覆砂、消失模/V法/实型铸造，轻合金高压/挤压/差压/低压/半固态/调压铸造、硅溶胶熔模铸造、短流程铸造、砂型3D打印等先进铸造工艺与装备；重点发展精密结构件高速冲压、超高强板材深拉深、高强轻质合金板材冲击液压成形、复杂异型结构旋压、高速精密多工位锻造、冷热径向锻造、冲锻复合近净成形、短流程模锻及自由锻、精密锻造、粉末精密锻造、数字化钣金制作成形中心、数字化高效通用零件加工中心等先进锻压工艺与装备。（省工业和信息化厅负责）</w:t>
                  </w:r>
                  <w:r>
                    <w:rPr>
                      <w:rFonts w:hint="eastAsia" w:cs="Times New Roman"/>
                      <w:color w:val="auto"/>
                      <w:sz w:val="18"/>
                      <w:szCs w:val="18"/>
                      <w:vertAlign w:val="baseline"/>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4．强化创新平台建设。鼓励有条件的企业积极争创省级以上企业技术中心、工程（技术）研究中心等研发机构。鼓励建设一批标准计量、检验检测、试验验证等产业技术基础公共服务平台，建好用好国家网架及钢结构产品质检中心等国家级铸造产品质量监督检测机构。鼓励有条件的地区建设材料、工艺等数据库，开展工艺数据分析和优化服务。（省发展改革委、省科技厅、省工业和信息化厅、省市场监管局按职责分工负责）</w:t>
                  </w:r>
                  <w:r>
                    <w:rPr>
                      <w:rFonts w:hint="eastAsia" w:cs="Times New Roman"/>
                      <w:color w:val="auto"/>
                      <w:sz w:val="18"/>
                      <w:szCs w:val="18"/>
                      <w:vertAlign w:val="baseline"/>
                      <w:lang w:val="en-US" w:eastAsia="zh-CN"/>
                    </w:rPr>
                    <w:t>。</w:t>
                  </w:r>
                </w:p>
              </w:tc>
              <w:tc>
                <w:tcPr>
                  <w:tcW w:w="19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本项目采用重点发展自由锻的先进铸造工艺，同时采用一定的自动化、智能化生产工艺，符合要求</w:t>
                  </w:r>
                  <w:r>
                    <w:rPr>
                      <w:rFonts w:hint="eastAsia" w:cs="Times New Roman"/>
                      <w:color w:val="auto"/>
                      <w:sz w:val="18"/>
                      <w:szCs w:val="18"/>
                      <w:vertAlign w:val="baseline"/>
                      <w:lang w:val="en-US" w:eastAsia="zh-CN"/>
                    </w:rPr>
                    <w:t>。</w:t>
                  </w:r>
                </w:p>
              </w:tc>
              <w:tc>
                <w:tcPr>
                  <w:tcW w:w="411" w:type="dxa"/>
                  <w:tcBorders>
                    <w:tl2br w:val="nil"/>
                    <w:tr2bl w:val="nil"/>
                  </w:tcBorders>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2、</w:t>
                  </w:r>
                  <w:r>
                    <w:rPr>
                      <w:rFonts w:hint="eastAsia" w:ascii="Times New Roman" w:hAnsi="Times New Roman" w:eastAsia="宋体" w:cs="Times New Roman"/>
                      <w:color w:val="auto"/>
                      <w:sz w:val="18"/>
                      <w:szCs w:val="18"/>
                      <w:highlight w:val="none"/>
                      <w:vertAlign w:val="baseline"/>
                      <w:lang w:val="en-US" w:eastAsia="zh-CN"/>
                    </w:rPr>
                    <w:t>坚持规范发展，推进产业结构优化</w:t>
                  </w:r>
                </w:p>
              </w:tc>
              <w:tc>
                <w:tcPr>
                  <w:tcW w:w="40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1．引导行业规范发展。各级发展改革、工业和信息化、生态环境、应急管理、市场监管部门要严格执行节能、环保、质量、安全技术等相关法律法规标准和《产业结构调整指导目录》中限制类、淘汰类目录，依法依规淘汰工艺装备落后、污染物排放不达标、生产安全无保障的落后产能。各级生态环境部门要严格落实主要污染物排放总量控制，依法依规制定污染防治方案，推动源头减排、过程控制和末端治理全过程深度治理。各级发展改革、工业和信息化部门要有效落实能源消耗总量和强度调控制度，以降碳为方向，加强能力建设，健全配套制度，推动能耗双控逐步转向碳排放总量和强度双控制度。各级工业和信息化部门要严格按照国家和省有关产业政策，依法依规淘汰无芯工频感应电炉、无磁轭（≥0.25吨）铝壳中频感应电炉等落后工艺装备。新建、改扩建项目单位产品的能耗、物耗、水耗、资源综合利用和污染物排放量等指标应符合相关法律法规标准要求。（省发展改革委、省工业和信息化厅、省生态环境厅、省应急厅、省市场监管局，各设区市人民政府按职责分工负责）。</w:t>
                  </w:r>
                </w:p>
              </w:tc>
              <w:tc>
                <w:tcPr>
                  <w:tcW w:w="19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本项目严格执行节能、环保、质量、安全技术等相关法律法规标准和《产业结构调整指导目录》等政策要求，不涉及落后产能。不涉及淘汰类工艺和装备。本项目备案、环评、排污许可、安评、节能审查等手续清晰、完备，项 目建设符合国家相关法律法规标准要求。本项目严格落实主要污染物排放总量控制、能源消耗总量和强度调控制度，污染物排放总量在如皋市范围内平衡，不属于不符合要求 的项目盲目发展和低水平重复建设。</w:t>
                  </w:r>
                </w:p>
              </w:tc>
              <w:tc>
                <w:tcPr>
                  <w:tcW w:w="4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19" w:hRule="atLeast"/>
                <w:jc w:val="center"/>
              </w:trPr>
              <w:tc>
                <w:tcPr>
                  <w:tcW w:w="7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3、</w:t>
                  </w:r>
                  <w:r>
                    <w:rPr>
                      <w:rFonts w:hint="eastAsia" w:ascii="Times New Roman" w:hAnsi="Times New Roman" w:eastAsia="宋体" w:cs="Times New Roman"/>
                      <w:color w:val="auto"/>
                      <w:sz w:val="18"/>
                      <w:szCs w:val="18"/>
                      <w:vertAlign w:val="baseline"/>
                      <w:lang w:val="en-US" w:eastAsia="zh-CN"/>
                    </w:rPr>
                    <w:t>培育优质企业，打造特色产业集群</w:t>
                  </w:r>
                </w:p>
              </w:tc>
              <w:tc>
                <w:tcPr>
                  <w:tcW w:w="40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1．积极培育优质企业。引导企业专注细分市场、深耕细分领域，在产品、技术、管理、模式等方面不断提升创新能力，强化专业化、差异化发展，在铸造和锻压行业梯度培育创新型中小企业、专精特新中小企业、专精特新“小巨人”企业、制造业单项冠军企业以及科技型中小企业、高新技术企业。（省工业和信息化厅、省科技厅按职责分工负责）</w:t>
                  </w:r>
                  <w:r>
                    <w:rPr>
                      <w:rFonts w:hint="eastAsia" w:cs="Times New Roman"/>
                      <w:color w:val="auto"/>
                      <w:sz w:val="18"/>
                      <w:szCs w:val="18"/>
                      <w:vertAlign w:val="baseline"/>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2．引导产业合理布局。强化铸造和锻压企业与装备制造企业协同布局，支持铸造和锻压企业围绕主机厂或重大项目配套生产。鼓励有条件的地区建设专业园区，引导具备条件的企业入园进区集聚发展，提升产业链供应链协同配套能力，构建布局合理、错位互补、供需联动、协同发展的产业格局。鼓励江阴、溧阳、武进、吴江、昆山、兴化等铸造和锻压企业集聚地区围绕产业布局培育铸造和锻压中小企业特色产业集群，鼓励企业兼并重组，推进集群规模化、集约化、差异化发展，推动与装备制造业产业链供应链深度互联和协同响应。（各设区市人民政府负责）</w:t>
                  </w:r>
                  <w:r>
                    <w:rPr>
                      <w:rFonts w:hint="eastAsia" w:cs="Times New Roman"/>
                      <w:color w:val="auto"/>
                      <w:sz w:val="18"/>
                      <w:szCs w:val="18"/>
                      <w:vertAlign w:val="baseline"/>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3．促进质量品牌提升。推广应用卓越绩效、精益生产等先进管理方法，提升企业内部管理和质量管控水平，保证产品性能稳定、质量优良。引导企业通过技术迭代和质量提升，增品种、提品质、创品牌，建立品牌发展战略，提升品牌形象和影响力。鼓励企业争创中国质量奖、省长质量奖等奖项。（省市场监管局负责）</w:t>
                  </w:r>
                  <w:r>
                    <w:rPr>
                      <w:rFonts w:hint="eastAsia" w:cs="Times New Roman"/>
                      <w:color w:val="auto"/>
                      <w:sz w:val="18"/>
                      <w:szCs w:val="18"/>
                      <w:vertAlign w:val="baseline"/>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4．加强服务体系建设。鼓励有条件的地区和各类市场主体围绕研发设计、检验检测、试验验证、3D打印服务、仓储物流、固废处理、人才培训、融资等领域推进铸造和锻压行业公共服务体系建设，鼓励行业协会等第三方服务机构开展行业诊断服务。强化知识产权保护和运用，鼓励企业开展高价值专利培育和布局，加快知识产权快速协同保护体系建设，推动铸造和锻压行业知识产权快速预审、快速确权和快速维权。鼓励企业积极参与铸造和锻压领域国际标准、国家标准制定。（省工业和信息化厅、省人力资源社会保障厅、省生态环境厅、省市场监管局、省地方金融监管局、省知识产权局，各设区市人民政府按职责分工负责）</w:t>
                  </w:r>
                  <w:r>
                    <w:rPr>
                      <w:rFonts w:hint="eastAsia" w:cs="Times New Roman"/>
                      <w:color w:val="auto"/>
                      <w:sz w:val="18"/>
                      <w:szCs w:val="18"/>
                      <w:vertAlign w:val="baseline"/>
                      <w:lang w:val="en-US" w:eastAsia="zh-CN"/>
                    </w:rPr>
                    <w:t>。</w:t>
                  </w:r>
                </w:p>
              </w:tc>
              <w:tc>
                <w:tcPr>
                  <w:tcW w:w="19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本项目采用一定的自动化、智能化生产工艺，符合要求</w:t>
                  </w:r>
                  <w:r>
                    <w:rPr>
                      <w:rFonts w:hint="eastAsia" w:cs="Times New Roman"/>
                      <w:color w:val="auto"/>
                      <w:sz w:val="18"/>
                      <w:szCs w:val="18"/>
                      <w:vertAlign w:val="baseline"/>
                      <w:lang w:val="en-US" w:eastAsia="zh-CN"/>
                    </w:rPr>
                    <w:t>。</w:t>
                  </w:r>
                </w:p>
              </w:tc>
              <w:tc>
                <w:tcPr>
                  <w:tcW w:w="4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vertAlign w:val="baseline"/>
                      <w:lang w:eastAsia="zh-CN"/>
                    </w:rPr>
                  </w:pPr>
                  <w:r>
                    <w:rPr>
                      <w:rFonts w:hint="default" w:ascii="Times New Roman" w:hAnsi="Times New Roman" w:eastAsia="宋体" w:cs="Times New Roman"/>
                      <w:color w:val="auto"/>
                      <w:sz w:val="18"/>
                      <w:szCs w:val="18"/>
                      <w:vertAlign w:val="baseli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71" w:hRule="atLeast"/>
                <w:jc w:val="center"/>
              </w:trPr>
              <w:tc>
                <w:tcPr>
                  <w:tcW w:w="7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4、推进智改数转，提升发展质量效益</w:t>
                  </w:r>
                </w:p>
              </w:tc>
              <w:tc>
                <w:tcPr>
                  <w:tcW w:w="40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1．加快中小企业数字化转型。在全省铸造和锻压企业推进智能化改造数字化转型免费诊断服务。支持企业利用数字化技术改造传统工艺装备及生产线，促进企业生产过程柔性化及系统服务集成化，提升精益生产、敏捷制造和精细管理水平。（省工业和信息化厅负责）</w:t>
                  </w:r>
                  <w:r>
                    <w:rPr>
                      <w:rFonts w:hint="eastAsia" w:cs="Times New Roman"/>
                      <w:color w:val="auto"/>
                      <w:sz w:val="18"/>
                      <w:szCs w:val="18"/>
                      <w:vertAlign w:val="baseline"/>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2．提高重点企业智能制造水平。引导重点企业探索开展远程监测、故障诊断、预测性维护、产品质量控制等服务，推进行业工艺革新、装备升级、管理优化和生产过程智能化，实现质量追溯和质量改进，提升智能制造水平。（省工业和信息化厅负责）</w:t>
                  </w:r>
                  <w:r>
                    <w:rPr>
                      <w:rFonts w:hint="eastAsia" w:cs="Times New Roman"/>
                      <w:color w:val="auto"/>
                      <w:sz w:val="18"/>
                      <w:szCs w:val="18"/>
                      <w:vertAlign w:val="baseline"/>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3．强化标准示范引领。强化铸造和锻压行业智能制造标准体系建设，鼓励企业开展智能制造能力成熟度自评估和两化融合贯标，梳理遴选一批智能制造优秀场景、示范车间、示范工厂、5G工厂等，培育一批系统解决方案供应商和服务机构，开发集成一批面向典型场景和生产环节的工业APP。（省工业和信息化厅、省市场监管局按职责分工负责）</w:t>
                  </w:r>
                  <w:r>
                    <w:rPr>
                      <w:rFonts w:hint="eastAsia" w:cs="Times New Roman"/>
                      <w:color w:val="auto"/>
                      <w:sz w:val="18"/>
                      <w:szCs w:val="18"/>
                      <w:vertAlign w:val="baseline"/>
                      <w:lang w:val="en-US" w:eastAsia="zh-CN"/>
                    </w:rPr>
                    <w:t>。</w:t>
                  </w:r>
                </w:p>
              </w:tc>
              <w:tc>
                <w:tcPr>
                  <w:tcW w:w="19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vertAlign w:val="baseline"/>
                      <w:lang w:val="en-US" w:eastAsia="zh-CN"/>
                    </w:rPr>
                    <w:t>本项目采用一定的自动化、智能化生产工艺，符合要求</w:t>
                  </w:r>
                  <w:r>
                    <w:rPr>
                      <w:rFonts w:hint="eastAsia" w:cs="Times New Roman"/>
                      <w:color w:val="auto"/>
                      <w:sz w:val="18"/>
                      <w:szCs w:val="18"/>
                      <w:vertAlign w:val="baseline"/>
                      <w:lang w:val="en-US" w:eastAsia="zh-CN"/>
                    </w:rPr>
                    <w:t>。</w:t>
                  </w:r>
                </w:p>
              </w:tc>
              <w:tc>
                <w:tcPr>
                  <w:tcW w:w="4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vertAlign w:val="baseline"/>
                      <w:lang w:eastAsia="zh-CN"/>
                    </w:rPr>
                  </w:pPr>
                  <w:r>
                    <w:rPr>
                      <w:rFonts w:hint="default" w:ascii="Times New Roman" w:hAnsi="Times New Roman" w:eastAsia="宋体" w:cs="Times New Roman"/>
                      <w:color w:val="auto"/>
                      <w:sz w:val="18"/>
                      <w:szCs w:val="18"/>
                      <w:vertAlign w:val="baseli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55" w:hRule="atLeast"/>
                <w:jc w:val="center"/>
              </w:trPr>
              <w:tc>
                <w:tcPr>
                  <w:tcW w:w="7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5、强化企业主体责任，提升绿色安全发展水平</w:t>
                  </w:r>
                </w:p>
              </w:tc>
              <w:tc>
                <w:tcPr>
                  <w:tcW w:w="40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1．加快绿色低碳转型。推进绿色生产方式贯穿生产全流程，开发绿色原辅材料应用、推广绿色工艺，积极创建绿色工厂、绿色园区。推动企业依法披露环境信息，接受社会监督。积极开展清洁生产，做好节能监察执法、节能诊断服务工作，深入挖掘节能潜力。鼓励企业采用高效节能工艺和设备。（省发展改革委、省工业和信息化厅，各设区市人民政府按职责分工负责）</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2．加大环保治理力度。铸造和锻压企业应当依法申领排污许可证，严格持证排污、按证排污并按排污许可证规定落实自行监测、记录报告、信息公开等要求。铸造企业应当严格执行《铸造工业大气污染物排放标准》（GB 39726-2020）及地方标准，加强无组织排放控制。不能稳定达标排放的，限期完成设施升级改造；不具备改造条件及改造后仍不能达标的，依法依规关停退出。（省生态环境厅，各设区市人民政府按职责分工负责）</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3．提升本质安全水平。常态化开展安全状况分析，防范安全风险。深入开展安全生产专项整治行动，督促各地做好隐患排查及整改。铸造和锻压企业严格执行《特种设备生产单位落实生产安全主体责任监督管理规定》《特种设备使用单位落实使用安全主体责任监督管理规定》。（省应急厅、省市场监管局，各设区市人民政府按职责分工负责）</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18"/>
                      <w:szCs w:val="18"/>
                      <w:vertAlign w:val="baseline"/>
                      <w:lang w:val="en-US" w:eastAsia="zh-CN"/>
                    </w:rPr>
                  </w:pPr>
                </w:p>
              </w:tc>
              <w:tc>
                <w:tcPr>
                  <w:tcW w:w="19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1.本项目造型/浇注产生的有机废气经有效收集，采用活性炭吸附处理后通过15m 高排气筒排放，各污染物均能达标排放。建设单位依法公开环境信息，接受社会监督。企业积极开展清洁生产，改造并采用高效节能工艺和设备。2.本项目已依法申领排污许可证，严格落实持证排污、按证排污并按排污许可证规定落实自行监测、台账记录、执行报告、信息公开等要求。本项目严格执行《铸造工业大气污染物排放标准》（GB39726-2020）及地方排放标准，加强无组织排放控制。3.建设单位设置了专门的安全部门，定期开展安全隐患排查，并及时整改，企业严格执行 《特种设备生产单位落实生产安全主体责任监督管理规定》《特种设备使用单位落实使用安全主体责任监督管理规定》</w:t>
                  </w:r>
                  <w:r>
                    <w:rPr>
                      <w:rFonts w:hint="eastAsia" w:cs="Times New Roman"/>
                      <w:color w:val="auto"/>
                      <w:sz w:val="18"/>
                      <w:szCs w:val="18"/>
                      <w:vertAlign w:val="baseline"/>
                      <w:lang w:val="en-US" w:eastAsia="zh-CN"/>
                    </w:rPr>
                    <w:t>。</w:t>
                  </w:r>
                </w:p>
              </w:tc>
              <w:tc>
                <w:tcPr>
                  <w:tcW w:w="4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FF0000"/>
                      <w:sz w:val="18"/>
                      <w:szCs w:val="18"/>
                      <w:vertAlign w:val="baseline"/>
                      <w:lang w:val="en-US" w:eastAsia="zh-CN"/>
                    </w:rPr>
                  </w:pPr>
                </w:p>
              </w:tc>
            </w:tr>
          </w:tbl>
          <w:p>
            <w:pPr>
              <w:pStyle w:val="3"/>
              <w:keepNext/>
              <w:keepLines/>
              <w:pageBreakBefore w:val="0"/>
              <w:widowControl w:val="0"/>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kern w:val="0"/>
                <w:sz w:val="21"/>
                <w:szCs w:val="21"/>
                <w:lang w:val="en-US" w:eastAsia="zh-CN" w:bidi="ar-SA"/>
              </w:rPr>
              <w:t>综上，本项目符合</w:t>
            </w:r>
            <w:r>
              <w:rPr>
                <w:rFonts w:hint="eastAsia" w:ascii="Times New Roman" w:hAnsi="Times New Roman" w:eastAsia="宋体" w:cs="Times New Roman"/>
                <w:b w:val="0"/>
                <w:bCs w:val="0"/>
                <w:color w:val="auto"/>
                <w:kern w:val="0"/>
                <w:sz w:val="21"/>
                <w:szCs w:val="21"/>
                <w:lang w:val="en-US" w:eastAsia="zh-CN" w:bidi="ar-SA"/>
              </w:rPr>
              <w:t>《关于印发&lt;关于推动全省铸造和锻压行业高质量发展的实施意见&gt;的通知》（苏工信装备〔2023〕403）</w:t>
            </w:r>
            <w:r>
              <w:rPr>
                <w:rFonts w:hint="default" w:ascii="Times New Roman" w:hAnsi="Times New Roman" w:eastAsia="宋体" w:cs="Times New Roman"/>
                <w:b w:val="0"/>
                <w:bCs w:val="0"/>
                <w:color w:val="auto"/>
                <w:kern w:val="0"/>
                <w:sz w:val="21"/>
                <w:szCs w:val="21"/>
                <w:lang w:val="en-US" w:eastAsia="zh-CN" w:bidi="ar-SA"/>
              </w:rPr>
              <w:t>的要求。</w:t>
            </w:r>
          </w:p>
          <w:p>
            <w:pPr>
              <w:adjustRightInd w:val="0"/>
              <w:snapToGrid w:val="0"/>
              <w:spacing w:line="500" w:lineRule="exact"/>
              <w:ind w:firstLine="422" w:firstLineChars="200"/>
              <w:rPr>
                <w:b/>
                <w:bCs/>
                <w:szCs w:val="21"/>
              </w:rPr>
            </w:pPr>
            <w:r>
              <w:rPr>
                <w:rFonts w:hint="eastAsia"/>
                <w:b/>
                <w:bCs/>
                <w:szCs w:val="21"/>
                <w:lang w:val="en-US" w:eastAsia="zh-CN"/>
              </w:rPr>
              <w:t>6</w:t>
            </w:r>
            <w:r>
              <w:rPr>
                <w:b/>
                <w:bCs/>
                <w:szCs w:val="21"/>
              </w:rPr>
              <w:t>、与《关于加强高耗能、高排放建设项目生态环境源头防控的指导意见》（环环评〔2021〕45号）相符性分析</w:t>
            </w:r>
          </w:p>
          <w:p>
            <w:pPr>
              <w:adjustRightInd w:val="0"/>
              <w:snapToGrid w:val="0"/>
              <w:spacing w:line="500" w:lineRule="exact"/>
              <w:ind w:firstLine="420" w:firstLineChars="200"/>
              <w:rPr>
                <w:color w:val="auto"/>
              </w:rPr>
            </w:pPr>
            <w:r>
              <w:rPr>
                <w:color w:val="auto"/>
                <w:kern w:val="0"/>
                <w:szCs w:val="21"/>
              </w:rPr>
              <w:t>对照《关于加强高耗能、高排放建设项目生态环境源头防控的指导意见》（环环评〔2021〕45号），本项目与</w:t>
            </w:r>
            <w:bookmarkStart w:id="3" w:name="OLE_LINK131"/>
            <w:r>
              <w:rPr>
                <w:color w:val="auto"/>
                <w:kern w:val="0"/>
                <w:szCs w:val="21"/>
              </w:rPr>
              <w:t>《关于加强高耗能、高排放建设项目生态环境源头防控的指导意见》（环环评〔2021〕45号）相符性分析</w:t>
            </w:r>
            <w:bookmarkEnd w:id="3"/>
            <w:r>
              <w:rPr>
                <w:color w:val="auto"/>
                <w:kern w:val="0"/>
                <w:szCs w:val="21"/>
              </w:rPr>
              <w:t>见表1-</w:t>
            </w:r>
            <w:r>
              <w:rPr>
                <w:rFonts w:hint="eastAsia"/>
                <w:color w:val="auto"/>
                <w:kern w:val="0"/>
                <w:szCs w:val="21"/>
                <w:lang w:val="en-US" w:eastAsia="zh-CN"/>
              </w:rPr>
              <w:t>10</w:t>
            </w:r>
            <w:r>
              <w:rPr>
                <w:color w:val="auto"/>
                <w:kern w:val="0"/>
                <w:szCs w:val="21"/>
              </w:rPr>
              <w:t>。</w:t>
            </w:r>
          </w:p>
          <w:p>
            <w:pPr>
              <w:spacing w:line="500" w:lineRule="exact"/>
              <w:ind w:firstLine="422" w:firstLineChars="200"/>
              <w:jc w:val="center"/>
              <w:rPr>
                <w:b/>
                <w:color w:val="auto"/>
                <w:szCs w:val="21"/>
              </w:rPr>
            </w:pPr>
            <w:r>
              <w:rPr>
                <w:b/>
                <w:color w:val="auto"/>
                <w:szCs w:val="21"/>
              </w:rPr>
              <w:t>表1-</w:t>
            </w:r>
            <w:r>
              <w:rPr>
                <w:rFonts w:hint="eastAsia"/>
                <w:b/>
                <w:color w:val="auto"/>
                <w:szCs w:val="21"/>
                <w:lang w:val="en-US" w:eastAsia="zh-CN"/>
              </w:rPr>
              <w:t>11</w:t>
            </w:r>
            <w:r>
              <w:rPr>
                <w:b/>
                <w:color w:val="auto"/>
                <w:szCs w:val="21"/>
              </w:rPr>
              <w:t xml:space="preserve">  项目与环环评〔2021〕45号相符性分析</w:t>
            </w:r>
          </w:p>
          <w:tbl>
            <w:tblPr>
              <w:tblStyle w:val="50"/>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74"/>
              <w:gridCol w:w="3801"/>
              <w:gridCol w:w="24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3" w:hRule="atLeast"/>
                <w:tblHeader/>
              </w:trPr>
              <w:tc>
                <w:tcPr>
                  <w:tcW w:w="447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kern w:val="0"/>
                      <w:sz w:val="18"/>
                      <w:szCs w:val="18"/>
                    </w:rPr>
                  </w:pPr>
                  <w:r>
                    <w:rPr>
                      <w:rFonts w:hint="default" w:ascii="Times New Roman" w:hAnsi="Times New Roman" w:eastAsia="宋体" w:cs="Times New Roman"/>
                      <w:b/>
                      <w:color w:val="auto"/>
                      <w:kern w:val="0"/>
                      <w:sz w:val="18"/>
                      <w:szCs w:val="18"/>
                    </w:rPr>
                    <w:t>文件要求</w:t>
                  </w:r>
                </w:p>
              </w:tc>
              <w:tc>
                <w:tcPr>
                  <w:tcW w:w="24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kern w:val="0"/>
                      <w:sz w:val="18"/>
                      <w:szCs w:val="18"/>
                    </w:rPr>
                  </w:pPr>
                  <w:r>
                    <w:rPr>
                      <w:rFonts w:hint="default" w:ascii="Times New Roman" w:hAnsi="Times New Roman" w:eastAsia="宋体" w:cs="Times New Roman"/>
                      <w:b/>
                      <w:color w:val="auto"/>
                      <w:kern w:val="0"/>
                      <w:sz w:val="18"/>
                      <w:szCs w:val="18"/>
                    </w:rPr>
                    <w:t>本项目情况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88" w:hRule="atLeast"/>
              </w:trPr>
              <w:tc>
                <w:tcPr>
                  <w:tcW w:w="67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一、加强生态环境分区管控和规划约束</w:t>
                  </w:r>
                </w:p>
              </w:tc>
              <w:tc>
                <w:tcPr>
                  <w:tcW w:w="38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(一)深入实施</w:t>
                  </w:r>
                  <w:r>
                    <w:rPr>
                      <w:rFonts w:hint="eastAsia" w:ascii="Times New Roman" w:hAnsi="Times New Roman" w:eastAsia="宋体" w:cs="Times New Roman"/>
                      <w:color w:val="auto"/>
                      <w:kern w:val="0"/>
                      <w:sz w:val="18"/>
                      <w:szCs w:val="18"/>
                      <w:lang w:eastAsia="zh-CN"/>
                    </w:rPr>
                    <w:t>“</w:t>
                  </w:r>
                  <w:r>
                    <w:rPr>
                      <w:rFonts w:hint="default" w:ascii="Times New Roman" w:hAnsi="Times New Roman" w:eastAsia="宋体" w:cs="Times New Roman"/>
                      <w:color w:val="auto"/>
                      <w:kern w:val="0"/>
                      <w:sz w:val="18"/>
                      <w:szCs w:val="18"/>
                    </w:rPr>
                    <w:t>三线一单</w:t>
                  </w:r>
                  <w:r>
                    <w:rPr>
                      <w:rFonts w:hint="eastAsia" w:ascii="Times New Roman" w:hAnsi="Times New Roman" w:eastAsia="宋体" w:cs="Times New Roman"/>
                      <w:color w:val="auto"/>
                      <w:kern w:val="0"/>
                      <w:sz w:val="18"/>
                      <w:szCs w:val="18"/>
                      <w:lang w:eastAsia="zh-CN"/>
                    </w:rPr>
                    <w:t>”</w:t>
                  </w:r>
                  <w:r>
                    <w:rPr>
                      <w:rFonts w:hint="default" w:ascii="Times New Roman" w:hAnsi="Times New Roman" w:eastAsia="宋体" w:cs="Times New Roman"/>
                      <w:color w:val="auto"/>
                      <w:kern w:val="0"/>
                      <w:sz w:val="18"/>
                      <w:szCs w:val="18"/>
                    </w:rPr>
                    <w:t>。各级生态环境部门应加快推进</w:t>
                  </w:r>
                  <w:r>
                    <w:rPr>
                      <w:rFonts w:hint="eastAsia" w:ascii="Times New Roman" w:hAnsi="Times New Roman" w:eastAsia="宋体" w:cs="Times New Roman"/>
                      <w:color w:val="auto"/>
                      <w:kern w:val="0"/>
                      <w:sz w:val="18"/>
                      <w:szCs w:val="18"/>
                      <w:lang w:eastAsia="zh-CN"/>
                    </w:rPr>
                    <w:t>“</w:t>
                  </w:r>
                  <w:r>
                    <w:rPr>
                      <w:rFonts w:hint="default" w:ascii="Times New Roman" w:hAnsi="Times New Roman" w:eastAsia="宋体" w:cs="Times New Roman"/>
                      <w:color w:val="auto"/>
                      <w:kern w:val="0"/>
                      <w:sz w:val="18"/>
                      <w:szCs w:val="18"/>
                    </w:rPr>
                    <w:t>三线一单</w:t>
                  </w:r>
                  <w:r>
                    <w:rPr>
                      <w:rFonts w:hint="eastAsia" w:ascii="Times New Roman" w:hAnsi="Times New Roman" w:eastAsia="宋体" w:cs="Times New Roman"/>
                      <w:color w:val="auto"/>
                      <w:kern w:val="0"/>
                      <w:sz w:val="18"/>
                      <w:szCs w:val="18"/>
                      <w:lang w:eastAsia="zh-CN"/>
                    </w:rPr>
                    <w:t>”</w:t>
                  </w:r>
                  <w:r>
                    <w:rPr>
                      <w:rFonts w:hint="default" w:ascii="Times New Roman" w:hAnsi="Times New Roman" w:eastAsia="宋体" w:cs="Times New Roman"/>
                      <w:color w:val="auto"/>
                      <w:kern w:val="0"/>
                      <w:sz w:val="18"/>
                      <w:szCs w:val="18"/>
                    </w:rPr>
                    <w:t>成果在“两高”行业产业布局和结构调整、重大项目选址中的应用。地方生态环境部门组织</w:t>
                  </w:r>
                  <w:r>
                    <w:rPr>
                      <w:rFonts w:hint="eastAsia" w:ascii="Times New Roman" w:hAnsi="Times New Roman" w:eastAsia="宋体" w:cs="Times New Roman"/>
                      <w:color w:val="auto"/>
                      <w:kern w:val="0"/>
                      <w:sz w:val="18"/>
                      <w:szCs w:val="18"/>
                      <w:lang w:eastAsia="zh-CN"/>
                    </w:rPr>
                    <w:t>“</w:t>
                  </w:r>
                  <w:r>
                    <w:rPr>
                      <w:rFonts w:hint="default" w:ascii="Times New Roman" w:hAnsi="Times New Roman" w:eastAsia="宋体" w:cs="Times New Roman"/>
                      <w:color w:val="auto"/>
                      <w:kern w:val="0"/>
                      <w:sz w:val="18"/>
                      <w:szCs w:val="18"/>
                    </w:rPr>
                    <w:t>三线一单</w:t>
                  </w:r>
                  <w:r>
                    <w:rPr>
                      <w:rFonts w:hint="eastAsia" w:ascii="Times New Roman" w:hAnsi="Times New Roman" w:eastAsia="宋体" w:cs="Times New Roman"/>
                      <w:color w:val="auto"/>
                      <w:kern w:val="0"/>
                      <w:sz w:val="18"/>
                      <w:szCs w:val="18"/>
                      <w:lang w:eastAsia="zh-CN"/>
                    </w:rPr>
                    <w:t>”</w:t>
                  </w:r>
                  <w:r>
                    <w:rPr>
                      <w:rFonts w:hint="default" w:ascii="Times New Roman" w:hAnsi="Times New Roman" w:eastAsia="宋体" w:cs="Times New Roman"/>
                      <w:color w:val="auto"/>
                      <w:kern w:val="0"/>
                      <w:sz w:val="18"/>
                      <w:szCs w:val="18"/>
                    </w:rPr>
                    <w:t>地市落地细化及后续更新调整时，应在生态环境准入清单中深化</w:t>
                  </w:r>
                  <w:r>
                    <w:rPr>
                      <w:rFonts w:hint="eastAsia" w:ascii="Times New Roman" w:hAnsi="Times New Roman" w:eastAsia="宋体" w:cs="Times New Roman"/>
                      <w:color w:val="auto"/>
                      <w:kern w:val="0"/>
                      <w:sz w:val="18"/>
                      <w:szCs w:val="18"/>
                      <w:lang w:eastAsia="zh-CN"/>
                    </w:rPr>
                    <w:t>“</w:t>
                  </w:r>
                  <w:r>
                    <w:rPr>
                      <w:rFonts w:hint="default" w:ascii="Times New Roman" w:hAnsi="Times New Roman" w:eastAsia="宋体" w:cs="Times New Roman"/>
                      <w:color w:val="auto"/>
                      <w:kern w:val="0"/>
                      <w:sz w:val="18"/>
                      <w:szCs w:val="18"/>
                    </w:rPr>
                    <w:t>两高</w:t>
                  </w:r>
                  <w:r>
                    <w:rPr>
                      <w:rFonts w:hint="eastAsia" w:ascii="Times New Roman" w:hAnsi="Times New Roman" w:eastAsia="宋体" w:cs="Times New Roman"/>
                      <w:color w:val="auto"/>
                      <w:kern w:val="0"/>
                      <w:sz w:val="18"/>
                      <w:szCs w:val="18"/>
                      <w:lang w:eastAsia="zh-CN"/>
                    </w:rPr>
                    <w:t>”</w:t>
                  </w:r>
                  <w:r>
                    <w:rPr>
                      <w:rFonts w:hint="default" w:ascii="Times New Roman" w:hAnsi="Times New Roman" w:eastAsia="宋体" w:cs="Times New Roman"/>
                      <w:color w:val="auto"/>
                      <w:kern w:val="0"/>
                      <w:sz w:val="18"/>
                      <w:szCs w:val="18"/>
                    </w:rPr>
                    <w:t>项目环境准入及管控要求；承接钢铁、电解铝等产业转移地区应严格落实生态环境分区管控要求，将环境质量底线作为硬约束。</w:t>
                  </w:r>
                </w:p>
              </w:tc>
              <w:tc>
                <w:tcPr>
                  <w:tcW w:w="24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本项目选址位于</w:t>
                  </w:r>
                  <w:r>
                    <w:rPr>
                      <w:rFonts w:hint="default" w:ascii="Times New Roman" w:hAnsi="Times New Roman" w:eastAsia="宋体" w:cs="Times New Roman"/>
                      <w:color w:val="auto"/>
                      <w:sz w:val="18"/>
                      <w:szCs w:val="18"/>
                      <w:lang w:val="en-US" w:eastAsia="zh-CN"/>
                    </w:rPr>
                    <w:t>智能装备制造产业园（北）</w:t>
                  </w:r>
                  <w:r>
                    <w:rPr>
                      <w:rFonts w:hint="eastAsia" w:cs="Times New Roman"/>
                      <w:color w:val="auto"/>
                      <w:sz w:val="18"/>
                      <w:szCs w:val="18"/>
                      <w:lang w:val="en-US" w:eastAsia="zh-CN"/>
                    </w:rPr>
                    <w:t>内</w:t>
                  </w:r>
                  <w:r>
                    <w:rPr>
                      <w:rFonts w:hint="default" w:ascii="Times New Roman" w:hAnsi="Times New Roman" w:eastAsia="宋体" w:cs="Times New Roman"/>
                      <w:color w:val="auto"/>
                      <w:kern w:val="0"/>
                      <w:sz w:val="18"/>
                      <w:szCs w:val="18"/>
                    </w:rPr>
                    <w:t>，属于重点管控单元，满足</w:t>
                  </w:r>
                  <w:r>
                    <w:rPr>
                      <w:rFonts w:hint="default" w:ascii="Times New Roman" w:hAnsi="Times New Roman" w:eastAsia="宋体" w:cs="Times New Roman"/>
                      <w:color w:val="auto"/>
                      <w:sz w:val="18"/>
                      <w:szCs w:val="18"/>
                      <w:lang w:val="en-US" w:eastAsia="zh-CN"/>
                    </w:rPr>
                    <w:t>《如皋市“三线一单”生态环境分区管控实施方案》生态</w:t>
                  </w:r>
                  <w:r>
                    <w:rPr>
                      <w:rFonts w:hint="default" w:ascii="Times New Roman" w:hAnsi="Times New Roman" w:eastAsia="宋体" w:cs="Times New Roman"/>
                      <w:color w:val="auto"/>
                      <w:kern w:val="0"/>
                      <w:sz w:val="18"/>
                      <w:szCs w:val="18"/>
                    </w:rPr>
                    <w:t>环境总体准入管控要求。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55" w:hRule="atLeast"/>
              </w:trPr>
              <w:tc>
                <w:tcPr>
                  <w:tcW w:w="67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rPr>
                  </w:pPr>
                </w:p>
              </w:tc>
              <w:tc>
                <w:tcPr>
                  <w:tcW w:w="38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二)强化规划环评效力。各级生态环境部门应严格审查涉“两高”行业的有关综合性规划和工业、能源等专项规划环评，特别对为上马“两高”项目而修编的规划，在环评审查中应严格控制“两高”行业发展规模，优化规划布局、产业结构与实施时序。以“两高”行业为主导产业的园区规划环评应增加碳排放情况与减排潜力分析，推动园区绿色低碳发展。推动煤电能源基地、现代煤化工示范区、石化产业基地等开展规划环境影响跟踪评价，完善生态环境保护措施并适时优化调整规划。</w:t>
                  </w:r>
                </w:p>
              </w:tc>
              <w:tc>
                <w:tcPr>
                  <w:tcW w:w="24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本项目</w:t>
                  </w:r>
                  <w:r>
                    <w:rPr>
                      <w:rFonts w:hint="eastAsia" w:cs="Times New Roman"/>
                      <w:color w:val="auto"/>
                      <w:kern w:val="0"/>
                      <w:sz w:val="18"/>
                      <w:szCs w:val="18"/>
                      <w:lang w:eastAsia="zh-CN"/>
                    </w:rPr>
                    <w:t>不</w:t>
                  </w:r>
                  <w:r>
                    <w:rPr>
                      <w:rFonts w:hint="default" w:ascii="Times New Roman" w:hAnsi="Times New Roman" w:eastAsia="宋体" w:cs="Times New Roman"/>
                      <w:color w:val="auto"/>
                      <w:kern w:val="0"/>
                      <w:sz w:val="18"/>
                      <w:szCs w:val="18"/>
                    </w:rPr>
                    <w:t>属于“两高”行业，选址位于</w:t>
                  </w:r>
                  <w:r>
                    <w:rPr>
                      <w:rFonts w:hint="default" w:ascii="Times New Roman" w:hAnsi="Times New Roman" w:eastAsia="宋体" w:cs="Times New Roman"/>
                      <w:color w:val="auto"/>
                      <w:sz w:val="18"/>
                      <w:szCs w:val="18"/>
                      <w:lang w:val="en-US" w:eastAsia="zh-CN"/>
                    </w:rPr>
                    <w:t>智能装备制造产业园（北）</w:t>
                  </w:r>
                  <w:r>
                    <w:rPr>
                      <w:rFonts w:hint="eastAsia" w:cs="Times New Roman"/>
                      <w:color w:val="auto"/>
                      <w:sz w:val="18"/>
                      <w:szCs w:val="18"/>
                      <w:lang w:val="en-US" w:eastAsia="zh-CN"/>
                    </w:rPr>
                    <w:t>内</w:t>
                  </w:r>
                  <w:r>
                    <w:rPr>
                      <w:rFonts w:hint="default" w:ascii="Times New Roman" w:hAnsi="Times New Roman" w:eastAsia="宋体" w:cs="Times New Roman"/>
                      <w:color w:val="auto"/>
                      <w:kern w:val="0"/>
                      <w:sz w:val="18"/>
                      <w:szCs w:val="18"/>
                    </w:rPr>
                    <w:t>。本项目建设符合规划环评中的生态环境准入清单要求。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99" w:hRule="atLeast"/>
              </w:trPr>
              <w:tc>
                <w:tcPr>
                  <w:tcW w:w="6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二、严格</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“两高”项目环评审批</w:t>
                  </w:r>
                </w:p>
              </w:tc>
              <w:tc>
                <w:tcPr>
                  <w:tcW w:w="38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三)严把建设项目环境准入关。新建、改建、扩建“两高”项目须符合生态环境保护法律法规和相关法定规划，满足重点污染物排放总量控制、碳排放达峰目标、生态环境准入清单、相关规划环评和相应行业建设项目环境准入条件、环评文件审批原则要求。石化、现代煤化工项目应纳入国家产业规划。新建、扩建石化、化工、焦化、有色金属冶炼、平板玻璃项目应布设在依法合规设立并经规划环评的产业园区。各级生态环境部门和行政审批部门要严格把关，对于不符合相关法律法规的，依法不予审批。</w:t>
                  </w:r>
                </w:p>
              </w:tc>
              <w:tc>
                <w:tcPr>
                  <w:tcW w:w="24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本项目属于</w:t>
                  </w:r>
                  <w:r>
                    <w:rPr>
                      <w:rFonts w:hint="eastAsia" w:cs="Times New Roman"/>
                      <w:color w:val="auto"/>
                      <w:kern w:val="0"/>
                      <w:sz w:val="18"/>
                      <w:szCs w:val="18"/>
                      <w:lang w:eastAsia="zh-CN"/>
                    </w:rPr>
                    <w:t>改建</w:t>
                  </w:r>
                  <w:r>
                    <w:rPr>
                      <w:rFonts w:hint="default" w:ascii="Times New Roman" w:hAnsi="Times New Roman" w:eastAsia="宋体" w:cs="Times New Roman"/>
                      <w:color w:val="auto"/>
                      <w:kern w:val="0"/>
                      <w:sz w:val="18"/>
                      <w:szCs w:val="18"/>
                    </w:rPr>
                    <w:t>“两高”项目，符合生态环境保护法律法规和相关法定规划；本项目严格落实污染物排放总量控制制度，新增的污染物总量在如皋市范围内平衡；本项目符合园区规划环评及其审查意见、生态环境准入清单的要求；符合《省生态环境厅关于进一步加强建设项目环评审批和服务工作的指导意见》（苏环办[2020]225号）、《省生态环境厅关于印发化工、印染行业建设项目环境影响评价文件审批原则的通知》（苏环办[2021]20号）等审批原则的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48" w:hRule="atLeast"/>
              </w:trPr>
              <w:tc>
                <w:tcPr>
                  <w:tcW w:w="67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三、推进</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“两高”行业减污降碳协同控制</w:t>
                  </w:r>
                </w:p>
              </w:tc>
              <w:tc>
                <w:tcPr>
                  <w:tcW w:w="38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四)落实区域削减要求。新建“两高”项目应按照《关于加强重点行业建设项目区域削减措施监督管理的通知》要求，依据区域环境质量改善目标，制定配套区域污染物削减方案，采取有效的污染物区域削减措施，腾出足够的环境容量。国家大气污染防治重点区域（以下称重点区域）内新建耗煤项目还应严格按规定采取煤炭消费减量替代措施，不得使用高污染燃料作为煤炭减量替代措施。</w:t>
                  </w:r>
                </w:p>
              </w:tc>
              <w:tc>
                <w:tcPr>
                  <w:tcW w:w="24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本项目</w:t>
                  </w:r>
                  <w:r>
                    <w:rPr>
                      <w:rFonts w:hint="eastAsia" w:cs="Times New Roman"/>
                      <w:color w:val="auto"/>
                      <w:kern w:val="0"/>
                      <w:sz w:val="18"/>
                      <w:szCs w:val="18"/>
                      <w:lang w:eastAsia="zh-CN"/>
                    </w:rPr>
                    <w:t>不</w:t>
                  </w:r>
                  <w:r>
                    <w:rPr>
                      <w:rFonts w:hint="default" w:ascii="Times New Roman" w:hAnsi="Times New Roman" w:eastAsia="宋体" w:cs="Times New Roman"/>
                      <w:color w:val="auto"/>
                      <w:kern w:val="0"/>
                      <w:sz w:val="18"/>
                      <w:szCs w:val="18"/>
                    </w:rPr>
                    <w:t>属于“两高”行业。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38" w:hRule="atLeast"/>
              </w:trPr>
              <w:tc>
                <w:tcPr>
                  <w:tcW w:w="67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rPr>
                  </w:pPr>
                </w:p>
              </w:tc>
              <w:tc>
                <w:tcPr>
                  <w:tcW w:w="38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六)提升清洁生产和污染防治水平。新建、扩建“两高”项目应采用先进适用的工艺技术和装备，单位产品物耗、能耗、水耗等达到清洁生产先进水平，依法制定并严格落实防治土壤与地下水污染的措施。国家或地方已出台超低排放要求的“两高”行业建设项目应满足超低排放要求。鼓励使用清洁燃料，重点区域建设项目原则上不新建燃煤自备锅炉。鼓励重点区域高炉-转炉长流程钢铁企业转型为电炉短流程企业。大宗物料优先采用铁路、管道或水路运输，短途接驳优先使用新能源车辆运输。</w:t>
                  </w:r>
                </w:p>
              </w:tc>
              <w:tc>
                <w:tcPr>
                  <w:tcW w:w="24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本项目采用先进适用的工艺技术和装备，单位产品物耗、能耗、水耗等达到清洁生产国际先进水平，并依法制定并严格落实防治土壤与地下水污染的措施。本项目</w:t>
                  </w:r>
                  <w:r>
                    <w:rPr>
                      <w:rFonts w:hint="eastAsia" w:cs="Times New Roman"/>
                      <w:color w:val="auto"/>
                      <w:kern w:val="0"/>
                      <w:sz w:val="18"/>
                      <w:szCs w:val="18"/>
                      <w:lang w:eastAsia="zh-CN"/>
                    </w:rPr>
                    <w:t>使用</w:t>
                  </w:r>
                  <w:r>
                    <w:rPr>
                      <w:rFonts w:hint="default" w:ascii="Times New Roman" w:hAnsi="Times New Roman" w:eastAsia="宋体" w:cs="Times New Roman"/>
                      <w:color w:val="auto"/>
                      <w:kern w:val="0"/>
                      <w:sz w:val="18"/>
                      <w:szCs w:val="18"/>
                    </w:rPr>
                    <w:t>清洁燃料</w:t>
                  </w:r>
                  <w:r>
                    <w:rPr>
                      <w:rFonts w:hint="eastAsia" w:cs="Times New Roman"/>
                      <w:color w:val="auto"/>
                      <w:kern w:val="0"/>
                      <w:sz w:val="18"/>
                      <w:szCs w:val="18"/>
                      <w:lang w:eastAsia="zh-CN"/>
                    </w:rPr>
                    <w:t>天然气、电，</w:t>
                  </w:r>
                  <w:r>
                    <w:rPr>
                      <w:rFonts w:hint="default" w:ascii="Times New Roman" w:hAnsi="Times New Roman" w:eastAsia="宋体" w:cs="Times New Roman"/>
                      <w:color w:val="auto"/>
                      <w:kern w:val="0"/>
                      <w:sz w:val="18"/>
                      <w:szCs w:val="18"/>
                    </w:rPr>
                    <w:t>不新建燃煤自备锅炉。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29" w:hRule="atLeast"/>
              </w:trPr>
              <w:tc>
                <w:tcPr>
                  <w:tcW w:w="6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四、依排污许可证强化监管执法</w:t>
                  </w:r>
                </w:p>
              </w:tc>
              <w:tc>
                <w:tcPr>
                  <w:tcW w:w="38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八)加强排污许可证管理。地方生态环境部门和行政审批部门在“两高”企业排污许可证核发审查过程中，应全面核实环评及批复文件中各项生态环境保护措施及区域削减措施落实情况，对实行排污许可重点管理的“两高”企业加强现场核查，对不符合条件的依法不予许可。加强“两高”企业排污许可证质量和执行报告提交情况检查，督促企业做好台账记录、执行报告、自行监测、环境信息公开等工作。对于持有排污限期整改通知书或排污许可证中存在整改事项的“两高”企业，密切跟踪整改落实情况，发现未按期完成整改、存在无证排污行为的，依法从严查处。</w:t>
                  </w:r>
                </w:p>
              </w:tc>
              <w:tc>
                <w:tcPr>
                  <w:tcW w:w="24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本项目实施后严格按照排污许可证要求排污，做好台账记录、执行报告、自行监测、环境信息公开等工作。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9" w:hRule="atLeast"/>
              </w:trPr>
              <w:tc>
                <w:tcPr>
                  <w:tcW w:w="6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五、保障政策落地见效</w:t>
                  </w:r>
                </w:p>
              </w:tc>
              <w:tc>
                <w:tcPr>
                  <w:tcW w:w="38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十二)强化责任追究。“两高”项目建设单位应认真履行生态环境保护主体责任。对未依法报批环评文件即擅自开工建设的“两高”项目，或未依法重新报批环评文件擅自发生重大变动的，地方生态环境部门应责令立即停止建设，依法严肃查处；对不满足生态环境准入条件的，依法责令恢复原状。对不落实环评及“三同时”要求的“两高”项目，应责令按要求整改；造成重大环境污染或生态破坏的，依法责令停止生产或使用，或依法报经有批准权的人民政府责令关闭。对审批及监管部门工作人员不依法履职、把关不严的，依法给予处分，造成重大损失或影响的，依法追究相关责任人责任。地方政府落实“两高”项目生态环境防控措施不力问题突出的，依法实施区域限批，纳入中央和省级生态环境保护督察。</w:t>
                  </w:r>
                </w:p>
              </w:tc>
              <w:tc>
                <w:tcPr>
                  <w:tcW w:w="24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本项目</w:t>
                  </w:r>
                  <w:r>
                    <w:rPr>
                      <w:rFonts w:hint="eastAsia" w:cs="Times New Roman"/>
                      <w:color w:val="auto"/>
                      <w:kern w:val="0"/>
                      <w:sz w:val="18"/>
                      <w:szCs w:val="18"/>
                      <w:lang w:eastAsia="zh-CN"/>
                    </w:rPr>
                    <w:t>不</w:t>
                  </w:r>
                  <w:r>
                    <w:rPr>
                      <w:rFonts w:hint="default" w:ascii="Times New Roman" w:hAnsi="Times New Roman" w:eastAsia="宋体" w:cs="Times New Roman"/>
                      <w:color w:val="auto"/>
                      <w:kern w:val="0"/>
                      <w:sz w:val="18"/>
                      <w:szCs w:val="18"/>
                    </w:rPr>
                    <w:t>属于“两高”行业。</w:t>
                  </w:r>
                </w:p>
              </w:tc>
            </w:tr>
          </w:tbl>
          <w:p>
            <w:pPr>
              <w:adjustRightInd w:val="0"/>
              <w:snapToGrid w:val="0"/>
              <w:spacing w:line="500" w:lineRule="exact"/>
              <w:ind w:firstLine="422" w:firstLineChars="200"/>
              <w:rPr>
                <w:rFonts w:hint="default" w:ascii="Times New Roman" w:hAnsi="Times New Roman" w:eastAsia="宋体" w:cs="Times New Roman"/>
                <w:b/>
                <w:szCs w:val="21"/>
              </w:rPr>
            </w:pPr>
            <w:r>
              <w:rPr>
                <w:rFonts w:hint="eastAsia" w:cs="Times New Roman"/>
                <w:b/>
                <w:bCs/>
                <w:szCs w:val="21"/>
                <w:lang w:val="en-US" w:eastAsia="zh-CN"/>
              </w:rPr>
              <w:t>7</w:t>
            </w:r>
            <w:r>
              <w:rPr>
                <w:rFonts w:hint="default" w:ascii="Times New Roman" w:hAnsi="Times New Roman" w:eastAsia="宋体" w:cs="Times New Roman"/>
                <w:b/>
                <w:bCs/>
                <w:szCs w:val="21"/>
              </w:rPr>
              <w:t>、与《南通市关于加大污染减排力度推进重点行业绿色发展的指导意见》的（通办〔2024〕6号）的相符性分析</w:t>
            </w:r>
          </w:p>
          <w:p>
            <w:pPr>
              <w:spacing w:line="500" w:lineRule="exact"/>
              <w:ind w:firstLine="422" w:firstLineChars="200"/>
              <w:jc w:val="center"/>
              <w:rPr>
                <w:rFonts w:hint="default" w:ascii="Times New Roman" w:hAnsi="Times New Roman" w:eastAsia="宋体" w:cs="Times New Roman"/>
                <w:b/>
                <w:szCs w:val="21"/>
              </w:rPr>
            </w:pPr>
            <w:r>
              <w:rPr>
                <w:rFonts w:hint="default" w:ascii="Times New Roman" w:hAnsi="Times New Roman" w:eastAsia="宋体" w:cs="Times New Roman"/>
                <w:b/>
                <w:szCs w:val="21"/>
              </w:rPr>
              <w:t>表1-</w:t>
            </w:r>
            <w:r>
              <w:rPr>
                <w:rFonts w:hint="eastAsia" w:cs="Times New Roman"/>
                <w:b/>
                <w:szCs w:val="21"/>
                <w:lang w:val="en-US" w:eastAsia="zh-CN"/>
              </w:rPr>
              <w:t>12</w:t>
            </w:r>
            <w:r>
              <w:rPr>
                <w:rFonts w:hint="default" w:ascii="Times New Roman" w:hAnsi="Times New Roman" w:eastAsia="宋体" w:cs="Times New Roman"/>
                <w:b/>
                <w:szCs w:val="21"/>
              </w:rPr>
              <w:t xml:space="preserve"> 与《南通市关于加大污染减排力度推进重点行业绿色发展的指导意见》（通办〔202</w:t>
            </w:r>
            <w:r>
              <w:rPr>
                <w:rFonts w:hint="default" w:ascii="Times New Roman" w:hAnsi="Times New Roman" w:eastAsia="宋体" w:cs="Times New Roman"/>
                <w:b/>
                <w:szCs w:val="21"/>
                <w:lang w:val="en-US" w:eastAsia="zh-CN"/>
              </w:rPr>
              <w:t>4</w:t>
            </w:r>
            <w:r>
              <w:rPr>
                <w:rFonts w:hint="default" w:ascii="Times New Roman" w:hAnsi="Times New Roman" w:eastAsia="宋体" w:cs="Times New Roman"/>
                <w:b/>
                <w:szCs w:val="21"/>
              </w:rPr>
              <w:t>〕</w:t>
            </w:r>
            <w:r>
              <w:rPr>
                <w:rFonts w:hint="default" w:ascii="Times New Roman" w:hAnsi="Times New Roman" w:eastAsia="宋体" w:cs="Times New Roman"/>
                <w:b/>
                <w:szCs w:val="21"/>
                <w:lang w:val="en-US" w:eastAsia="zh-CN"/>
              </w:rPr>
              <w:t>6</w:t>
            </w:r>
            <w:r>
              <w:rPr>
                <w:rFonts w:hint="default" w:ascii="Times New Roman" w:hAnsi="Times New Roman" w:eastAsia="宋体" w:cs="Times New Roman"/>
                <w:b/>
                <w:szCs w:val="21"/>
              </w:rPr>
              <w:t>号）的相符性分析</w:t>
            </w:r>
          </w:p>
          <w:tbl>
            <w:tblPr>
              <w:tblStyle w:val="21"/>
              <w:tblW w:w="697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37"/>
              <w:gridCol w:w="698"/>
              <w:gridCol w:w="3734"/>
              <w:gridCol w:w="1287"/>
              <w:gridCol w:w="7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537" w:type="dxa"/>
                  <w:noWrap/>
                  <w:vAlign w:val="center"/>
                </w:tcPr>
                <w:p>
                  <w:pPr>
                    <w:tabs>
                      <w:tab w:val="left" w:pos="6379"/>
                    </w:tabs>
                    <w:overflowPunct w:val="0"/>
                    <w:adjustRightInd w:val="0"/>
                    <w:snapToGrid w:val="0"/>
                    <w:jc w:val="center"/>
                    <w:rPr>
                      <w:rFonts w:hint="default" w:ascii="Times New Roman" w:hAnsi="Times New Roman" w:eastAsia="宋体" w:cs="Times New Roman"/>
                      <w:bCs/>
                      <w:sz w:val="18"/>
                      <w:szCs w:val="21"/>
                    </w:rPr>
                  </w:pPr>
                  <w:r>
                    <w:rPr>
                      <w:rFonts w:hint="default" w:ascii="Times New Roman" w:hAnsi="Times New Roman" w:eastAsia="宋体" w:cs="Times New Roman"/>
                      <w:bCs/>
                      <w:sz w:val="18"/>
                      <w:szCs w:val="21"/>
                    </w:rPr>
                    <w:t>序号</w:t>
                  </w:r>
                </w:p>
              </w:tc>
              <w:tc>
                <w:tcPr>
                  <w:tcW w:w="698" w:type="dxa"/>
                  <w:noWrap/>
                  <w:vAlign w:val="center"/>
                </w:tcPr>
                <w:p>
                  <w:pPr>
                    <w:tabs>
                      <w:tab w:val="left" w:pos="6379"/>
                    </w:tabs>
                    <w:overflowPunct w:val="0"/>
                    <w:adjustRightInd w:val="0"/>
                    <w:snapToGrid w:val="0"/>
                    <w:jc w:val="center"/>
                    <w:rPr>
                      <w:rFonts w:hint="default" w:ascii="Times New Roman" w:hAnsi="Times New Roman" w:eastAsia="宋体" w:cs="Times New Roman"/>
                      <w:bCs/>
                      <w:sz w:val="18"/>
                      <w:szCs w:val="21"/>
                    </w:rPr>
                  </w:pPr>
                  <w:r>
                    <w:rPr>
                      <w:rFonts w:hint="default" w:ascii="Times New Roman" w:hAnsi="Times New Roman" w:eastAsia="宋体" w:cs="Times New Roman"/>
                      <w:bCs/>
                      <w:sz w:val="18"/>
                      <w:szCs w:val="21"/>
                    </w:rPr>
                    <w:t>类别</w:t>
                  </w:r>
                </w:p>
              </w:tc>
              <w:tc>
                <w:tcPr>
                  <w:tcW w:w="3734" w:type="dxa"/>
                  <w:noWrap/>
                  <w:vAlign w:val="center"/>
                </w:tcPr>
                <w:p>
                  <w:pPr>
                    <w:tabs>
                      <w:tab w:val="left" w:pos="6379"/>
                    </w:tabs>
                    <w:overflowPunct w:val="0"/>
                    <w:adjustRightInd w:val="0"/>
                    <w:snapToGrid w:val="0"/>
                    <w:jc w:val="center"/>
                    <w:rPr>
                      <w:rFonts w:hint="default" w:ascii="Times New Roman" w:hAnsi="Times New Roman" w:eastAsia="宋体" w:cs="Times New Roman"/>
                      <w:bCs/>
                      <w:sz w:val="18"/>
                      <w:szCs w:val="21"/>
                    </w:rPr>
                  </w:pPr>
                  <w:r>
                    <w:rPr>
                      <w:rFonts w:hint="default" w:ascii="Times New Roman" w:hAnsi="Times New Roman" w:eastAsia="宋体" w:cs="Times New Roman"/>
                      <w:bCs/>
                      <w:sz w:val="18"/>
                      <w:szCs w:val="21"/>
                    </w:rPr>
                    <w:t>方案相关内容</w:t>
                  </w:r>
                </w:p>
              </w:tc>
              <w:tc>
                <w:tcPr>
                  <w:tcW w:w="1287" w:type="dxa"/>
                  <w:noWrap/>
                  <w:vAlign w:val="center"/>
                </w:tcPr>
                <w:p>
                  <w:pPr>
                    <w:tabs>
                      <w:tab w:val="left" w:pos="6379"/>
                    </w:tabs>
                    <w:overflowPunct w:val="0"/>
                    <w:adjustRightInd w:val="0"/>
                    <w:snapToGrid w:val="0"/>
                    <w:jc w:val="center"/>
                    <w:rPr>
                      <w:rFonts w:hint="default" w:ascii="Times New Roman" w:hAnsi="Times New Roman" w:eastAsia="宋体" w:cs="Times New Roman"/>
                      <w:bCs/>
                      <w:sz w:val="18"/>
                      <w:szCs w:val="21"/>
                    </w:rPr>
                  </w:pPr>
                  <w:r>
                    <w:rPr>
                      <w:rFonts w:hint="default" w:ascii="Times New Roman" w:hAnsi="Times New Roman" w:eastAsia="宋体" w:cs="Times New Roman"/>
                      <w:bCs/>
                      <w:sz w:val="18"/>
                      <w:szCs w:val="21"/>
                    </w:rPr>
                    <w:t>本项目情况</w:t>
                  </w:r>
                </w:p>
              </w:tc>
              <w:tc>
                <w:tcPr>
                  <w:tcW w:w="722" w:type="dxa"/>
                  <w:noWrap/>
                  <w:vAlign w:val="center"/>
                </w:tcPr>
                <w:p>
                  <w:pPr>
                    <w:tabs>
                      <w:tab w:val="left" w:pos="6379"/>
                    </w:tabs>
                    <w:overflowPunct w:val="0"/>
                    <w:adjustRightInd w:val="0"/>
                    <w:snapToGrid w:val="0"/>
                    <w:jc w:val="center"/>
                    <w:rPr>
                      <w:rFonts w:hint="default" w:ascii="Times New Roman" w:hAnsi="Times New Roman" w:eastAsia="宋体" w:cs="Times New Roman"/>
                      <w:bCs/>
                      <w:sz w:val="18"/>
                      <w:szCs w:val="21"/>
                    </w:rPr>
                  </w:pPr>
                  <w:r>
                    <w:rPr>
                      <w:rFonts w:hint="default" w:ascii="Times New Roman" w:hAnsi="Times New Roman" w:eastAsia="宋体" w:cs="Times New Roman"/>
                      <w:bCs/>
                      <w:sz w:val="18"/>
                      <w:szCs w:val="21"/>
                    </w:rPr>
                    <w:t>相符性分析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61" w:hRule="atLeast"/>
                <w:jc w:val="center"/>
              </w:trPr>
              <w:tc>
                <w:tcPr>
                  <w:tcW w:w="537" w:type="dxa"/>
                  <w:noWrap/>
                  <w:vAlign w:val="center"/>
                </w:tcPr>
                <w:p>
                  <w:pPr>
                    <w:tabs>
                      <w:tab w:val="left" w:pos="6379"/>
                    </w:tabs>
                    <w:overflowPunct w:val="0"/>
                    <w:adjustRightInd w:val="0"/>
                    <w:snapToGrid w:val="0"/>
                    <w:jc w:val="center"/>
                    <w:rPr>
                      <w:rFonts w:hint="default" w:ascii="Times New Roman" w:hAnsi="Times New Roman" w:eastAsia="宋体" w:cs="Times New Roman"/>
                      <w:kern w:val="2"/>
                      <w:sz w:val="18"/>
                      <w:szCs w:val="21"/>
                      <w:lang w:val="en-US" w:eastAsia="zh-CN" w:bidi="ar-SA"/>
                    </w:rPr>
                  </w:pPr>
                  <w:r>
                    <w:rPr>
                      <w:rFonts w:hint="default" w:ascii="Times New Roman" w:hAnsi="Times New Roman" w:eastAsia="宋体" w:cs="Times New Roman"/>
                      <w:sz w:val="18"/>
                      <w:szCs w:val="21"/>
                      <w:lang w:val="en-US" w:eastAsia="zh-CN"/>
                    </w:rPr>
                    <w:t>1</w:t>
                  </w:r>
                </w:p>
              </w:tc>
              <w:tc>
                <w:tcPr>
                  <w:tcW w:w="698" w:type="dxa"/>
                  <w:noWrap/>
                  <w:vAlign w:val="center"/>
                </w:tcPr>
                <w:p>
                  <w:pPr>
                    <w:tabs>
                      <w:tab w:val="left" w:pos="6379"/>
                    </w:tabs>
                    <w:overflowPunct w:val="0"/>
                    <w:adjustRightInd w:val="0"/>
                    <w:snapToGrid w:val="0"/>
                    <w:jc w:val="center"/>
                    <w:rPr>
                      <w:rFonts w:hint="default" w:ascii="Times New Roman" w:hAnsi="Times New Roman" w:eastAsia="宋体" w:cs="Times New Roman"/>
                      <w:sz w:val="18"/>
                      <w:szCs w:val="21"/>
                    </w:rPr>
                  </w:pPr>
                  <w:r>
                    <w:rPr>
                      <w:rFonts w:hint="default" w:ascii="Times New Roman" w:hAnsi="Times New Roman" w:eastAsia="宋体" w:cs="Times New Roman"/>
                      <w:sz w:val="18"/>
                      <w:szCs w:val="21"/>
                    </w:rPr>
                    <w:t>优化空间布局</w:t>
                  </w:r>
                </w:p>
              </w:tc>
              <w:tc>
                <w:tcPr>
                  <w:tcW w:w="3734" w:type="dxa"/>
                  <w:noWrap/>
                  <w:vAlign w:val="center"/>
                </w:tcPr>
                <w:p>
                  <w:pPr>
                    <w:tabs>
                      <w:tab w:val="left" w:pos="6379"/>
                    </w:tabs>
                    <w:overflowPunct w:val="0"/>
                    <w:adjustRightInd w:val="0"/>
                    <w:snapToGrid w:val="0"/>
                    <w:jc w:val="center"/>
                    <w:rPr>
                      <w:rFonts w:hint="default" w:ascii="Times New Roman" w:hAnsi="Times New Roman" w:eastAsia="宋体" w:cs="Times New Roman"/>
                      <w:sz w:val="18"/>
                      <w:szCs w:val="21"/>
                    </w:rPr>
                  </w:pPr>
                  <w:r>
                    <w:rPr>
                      <w:rFonts w:hint="default" w:ascii="Times New Roman" w:hAnsi="Times New Roman" w:eastAsia="宋体" w:cs="Times New Roman"/>
                      <w:sz w:val="18"/>
                      <w:szCs w:val="21"/>
                    </w:rPr>
                    <w:t>严格落实长江经济带“共抓大保护、不搞大开发”要求，坚持生态优先、绿色发展，突出沿江向沿海布局、区外分散向园区集聚的总体方向。结合国土空间规划编制，优化重点产业空间格局；协调江海河关系，加大生态保护力度，凸显江海生态资源特色，建设品质优良的长江口生态区；综合考量不同区域资源环境承载能力，兼顾不同领域和行业发展特点，注重差异化发展，引导不同区域打造特色产业园区。</w:t>
                  </w:r>
                </w:p>
              </w:tc>
              <w:tc>
                <w:tcPr>
                  <w:tcW w:w="1287" w:type="dxa"/>
                  <w:noWrap/>
                  <w:vAlign w:val="center"/>
                </w:tcPr>
                <w:p>
                  <w:pPr>
                    <w:tabs>
                      <w:tab w:val="left" w:pos="6379"/>
                    </w:tabs>
                    <w:overflowPunct w:val="0"/>
                    <w:adjustRightInd w:val="0"/>
                    <w:snapToGrid w:val="0"/>
                    <w:jc w:val="center"/>
                    <w:rPr>
                      <w:rFonts w:hint="default" w:ascii="Times New Roman" w:hAnsi="Times New Roman" w:eastAsia="宋体" w:cs="Times New Roman"/>
                      <w:sz w:val="18"/>
                      <w:szCs w:val="21"/>
                    </w:rPr>
                  </w:pPr>
                  <w:r>
                    <w:rPr>
                      <w:rFonts w:hint="default" w:ascii="Times New Roman" w:hAnsi="Times New Roman" w:eastAsia="宋体" w:cs="Times New Roman"/>
                      <w:sz w:val="18"/>
                      <w:szCs w:val="21"/>
                    </w:rPr>
                    <w:t>本项</w:t>
                  </w:r>
                  <w:r>
                    <w:rPr>
                      <w:rFonts w:hint="default" w:ascii="Times New Roman" w:hAnsi="Times New Roman" w:eastAsia="宋体" w:cs="Times New Roman"/>
                      <w:sz w:val="18"/>
                      <w:szCs w:val="21"/>
                      <w:lang w:eastAsia="zh-CN"/>
                    </w:rPr>
                    <w:t>目位于</w:t>
                  </w:r>
                  <w:r>
                    <w:rPr>
                      <w:rFonts w:hint="eastAsia" w:ascii="Times New Roman" w:hAnsi="Times New Roman" w:eastAsia="宋体" w:cs="Times New Roman"/>
                      <w:sz w:val="18"/>
                      <w:szCs w:val="21"/>
                      <w:lang w:val="en-US" w:eastAsia="zh-CN"/>
                    </w:rPr>
                    <w:t>如皋市长江镇创业路8号</w:t>
                  </w:r>
                  <w:r>
                    <w:rPr>
                      <w:rFonts w:hint="default" w:ascii="Times New Roman" w:hAnsi="Times New Roman" w:eastAsia="宋体" w:cs="Times New Roman"/>
                      <w:sz w:val="18"/>
                      <w:szCs w:val="21"/>
                      <w:lang w:eastAsia="zh-CN"/>
                    </w:rPr>
                    <w:t>，不涉及生态红线，符合国土空间规划</w:t>
                  </w:r>
                  <w:r>
                    <w:rPr>
                      <w:rFonts w:hint="default" w:ascii="Times New Roman" w:hAnsi="Times New Roman" w:eastAsia="宋体" w:cs="Times New Roman"/>
                      <w:sz w:val="18"/>
                      <w:szCs w:val="21"/>
                    </w:rPr>
                    <w:t>。</w:t>
                  </w:r>
                </w:p>
              </w:tc>
              <w:tc>
                <w:tcPr>
                  <w:tcW w:w="722" w:type="dxa"/>
                  <w:noWrap/>
                  <w:vAlign w:val="center"/>
                </w:tcPr>
                <w:p>
                  <w:pPr>
                    <w:tabs>
                      <w:tab w:val="left" w:pos="6379"/>
                    </w:tabs>
                    <w:overflowPunct w:val="0"/>
                    <w:adjustRightInd w:val="0"/>
                    <w:snapToGrid w:val="0"/>
                    <w:jc w:val="center"/>
                    <w:rPr>
                      <w:rFonts w:hint="default" w:ascii="Times New Roman" w:hAnsi="Times New Roman" w:eastAsia="宋体" w:cs="Times New Roman"/>
                      <w:sz w:val="18"/>
                      <w:szCs w:val="21"/>
                    </w:rPr>
                  </w:pPr>
                  <w:r>
                    <w:rPr>
                      <w:rFonts w:hint="default" w:ascii="Times New Roman" w:hAnsi="Times New Roman" w:eastAsia="宋体" w:cs="Times New Roman"/>
                      <w:sz w:val="18"/>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01" w:hRule="atLeast"/>
                <w:jc w:val="center"/>
              </w:trPr>
              <w:tc>
                <w:tcPr>
                  <w:tcW w:w="537" w:type="dxa"/>
                  <w:noWrap/>
                  <w:vAlign w:val="center"/>
                </w:tcPr>
                <w:p>
                  <w:pPr>
                    <w:tabs>
                      <w:tab w:val="left" w:pos="6379"/>
                    </w:tabs>
                    <w:overflowPunct w:val="0"/>
                    <w:adjustRightInd w:val="0"/>
                    <w:snapToGrid w:val="0"/>
                    <w:jc w:val="center"/>
                    <w:rPr>
                      <w:rFonts w:hint="default" w:ascii="Times New Roman" w:hAnsi="Times New Roman" w:eastAsia="宋体" w:cs="Times New Roman"/>
                      <w:kern w:val="2"/>
                      <w:sz w:val="18"/>
                      <w:szCs w:val="21"/>
                      <w:lang w:val="en-US" w:eastAsia="zh-CN" w:bidi="ar-SA"/>
                    </w:rPr>
                  </w:pPr>
                  <w:r>
                    <w:rPr>
                      <w:rFonts w:hint="default" w:ascii="Times New Roman" w:hAnsi="Times New Roman" w:eastAsia="宋体" w:cs="Times New Roman"/>
                      <w:sz w:val="18"/>
                      <w:szCs w:val="21"/>
                      <w:lang w:val="en-US" w:eastAsia="zh-CN"/>
                    </w:rPr>
                    <w:t>2</w:t>
                  </w:r>
                </w:p>
              </w:tc>
              <w:tc>
                <w:tcPr>
                  <w:tcW w:w="698" w:type="dxa"/>
                  <w:noWrap/>
                  <w:vAlign w:val="center"/>
                </w:tcPr>
                <w:p>
                  <w:pPr>
                    <w:tabs>
                      <w:tab w:val="left" w:pos="6379"/>
                    </w:tabs>
                    <w:overflowPunct w:val="0"/>
                    <w:adjustRightInd w:val="0"/>
                    <w:snapToGrid w:val="0"/>
                    <w:jc w:val="center"/>
                    <w:rPr>
                      <w:rFonts w:hint="default" w:ascii="Times New Roman" w:hAnsi="Times New Roman" w:eastAsia="宋体" w:cs="Times New Roman"/>
                      <w:sz w:val="18"/>
                      <w:szCs w:val="21"/>
                      <w:lang w:eastAsia="zh-CN"/>
                    </w:rPr>
                  </w:pPr>
                  <w:r>
                    <w:rPr>
                      <w:rFonts w:hint="default" w:ascii="Times New Roman" w:hAnsi="Times New Roman" w:eastAsia="宋体" w:cs="Times New Roman"/>
                      <w:sz w:val="18"/>
                      <w:szCs w:val="21"/>
                      <w:lang w:eastAsia="zh-CN"/>
                    </w:rPr>
                    <w:t>打造绿色产业</w:t>
                  </w:r>
                </w:p>
              </w:tc>
              <w:tc>
                <w:tcPr>
                  <w:tcW w:w="3734" w:type="dxa"/>
                  <w:noWrap/>
                  <w:vAlign w:val="center"/>
                </w:tcPr>
                <w:p>
                  <w:pPr>
                    <w:tabs>
                      <w:tab w:val="left" w:pos="6379"/>
                    </w:tabs>
                    <w:overflowPunct w:val="0"/>
                    <w:adjustRightInd w:val="0"/>
                    <w:snapToGrid w:val="0"/>
                    <w:jc w:val="center"/>
                    <w:rPr>
                      <w:rFonts w:hint="default" w:ascii="Times New Roman" w:hAnsi="Times New Roman" w:eastAsia="宋体" w:cs="Times New Roman"/>
                      <w:sz w:val="18"/>
                      <w:szCs w:val="21"/>
                    </w:rPr>
                  </w:pPr>
                  <w:r>
                    <w:rPr>
                      <w:rFonts w:hint="default" w:ascii="Times New Roman" w:hAnsi="Times New Roman" w:eastAsia="宋体" w:cs="Times New Roman"/>
                      <w:sz w:val="18"/>
                      <w:szCs w:val="21"/>
                    </w:rPr>
                    <w:t>扎实推进产业倍增三年行动，围绕传统产业焕新、新兴产业壮大、未来产业培育，进一步明确产业发展方向，加快形成新质生产力。突出强链补链延链，以创新驱动、项目支撑、集群发展加快推进制造强市建设。推动制造业绿色化发展，推动传统产业转型升级，推动重点领域企业积极采用绿色工艺技术装备实施节能降碳改造升级，建立健全碳排放管理机制和产品碳足迹管理体系。以打造环境友好型、资源节约型现代化企业为目标，实施钢铁、化工、建材、煤电、纺织、造纸等产业改造提升，深度推进传统制造业节能减排、两化融合、产品结构调整和工艺技术创新。推行高效能、低能耗、可循环、少排放的绿色生产模式。优化能源结构，减少煤炭消费比重。完善政策措施，充分发挥市场机制的决定性作用，加快碳市场建设，降低经济的碳强度。</w:t>
                  </w:r>
                </w:p>
              </w:tc>
              <w:tc>
                <w:tcPr>
                  <w:tcW w:w="1287" w:type="dxa"/>
                  <w:noWrap/>
                  <w:vAlign w:val="center"/>
                </w:tcPr>
                <w:p>
                  <w:pPr>
                    <w:tabs>
                      <w:tab w:val="left" w:pos="6379"/>
                    </w:tabs>
                    <w:overflowPunct w:val="0"/>
                    <w:adjustRightInd w:val="0"/>
                    <w:snapToGrid w:val="0"/>
                    <w:jc w:val="center"/>
                    <w:rPr>
                      <w:rFonts w:hint="default" w:ascii="Times New Roman" w:hAnsi="Times New Roman" w:eastAsia="宋体" w:cs="Times New Roman"/>
                      <w:sz w:val="18"/>
                      <w:szCs w:val="21"/>
                      <w:lang w:eastAsia="zh-CN"/>
                    </w:rPr>
                  </w:pPr>
                  <w:r>
                    <w:rPr>
                      <w:rFonts w:hint="default" w:ascii="Times New Roman" w:hAnsi="Times New Roman" w:eastAsia="宋体" w:cs="Times New Roman"/>
                      <w:sz w:val="18"/>
                      <w:szCs w:val="21"/>
                      <w:lang w:eastAsia="zh-CN"/>
                    </w:rPr>
                    <w:t>本项目不属于钢铁、化工。建材、煤电、纺织、造纸行业，项目使用清洁能源，不使用煤炭等。</w:t>
                  </w:r>
                </w:p>
              </w:tc>
              <w:tc>
                <w:tcPr>
                  <w:tcW w:w="722" w:type="dxa"/>
                  <w:noWrap/>
                  <w:vAlign w:val="center"/>
                </w:tcPr>
                <w:p>
                  <w:pPr>
                    <w:tabs>
                      <w:tab w:val="left" w:pos="6379"/>
                    </w:tabs>
                    <w:overflowPunct w:val="0"/>
                    <w:adjustRightInd w:val="0"/>
                    <w:snapToGrid w:val="0"/>
                    <w:jc w:val="center"/>
                    <w:rPr>
                      <w:rFonts w:hint="default" w:ascii="Times New Roman" w:hAnsi="Times New Roman" w:eastAsia="宋体" w:cs="Times New Roman"/>
                      <w:sz w:val="18"/>
                      <w:szCs w:val="21"/>
                    </w:rPr>
                  </w:pPr>
                  <w:r>
                    <w:rPr>
                      <w:rFonts w:hint="default" w:ascii="Times New Roman" w:hAnsi="Times New Roman" w:eastAsia="宋体" w:cs="Times New Roman"/>
                      <w:sz w:val="18"/>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6" w:hRule="atLeast"/>
                <w:jc w:val="center"/>
              </w:trPr>
              <w:tc>
                <w:tcPr>
                  <w:tcW w:w="537" w:type="dxa"/>
                  <w:noWrap/>
                  <w:vAlign w:val="center"/>
                </w:tcPr>
                <w:p>
                  <w:pPr>
                    <w:tabs>
                      <w:tab w:val="left" w:pos="6379"/>
                    </w:tabs>
                    <w:overflowPunct w:val="0"/>
                    <w:adjustRightInd w:val="0"/>
                    <w:snapToGrid w:val="0"/>
                    <w:jc w:val="center"/>
                    <w:rPr>
                      <w:rFonts w:hint="default" w:ascii="Times New Roman" w:hAnsi="Times New Roman" w:eastAsia="宋体" w:cs="Times New Roman"/>
                      <w:kern w:val="2"/>
                      <w:sz w:val="18"/>
                      <w:szCs w:val="21"/>
                      <w:lang w:val="en-US" w:eastAsia="zh-CN" w:bidi="ar-SA"/>
                    </w:rPr>
                  </w:pPr>
                  <w:r>
                    <w:rPr>
                      <w:rFonts w:hint="default" w:ascii="Times New Roman" w:hAnsi="Times New Roman" w:eastAsia="宋体" w:cs="Times New Roman"/>
                      <w:sz w:val="18"/>
                      <w:szCs w:val="21"/>
                      <w:lang w:val="en-US" w:eastAsia="zh-CN"/>
                    </w:rPr>
                    <w:t>3</w:t>
                  </w:r>
                </w:p>
              </w:tc>
              <w:tc>
                <w:tcPr>
                  <w:tcW w:w="698" w:type="dxa"/>
                  <w:noWrap/>
                  <w:vAlign w:val="center"/>
                </w:tcPr>
                <w:p>
                  <w:pPr>
                    <w:tabs>
                      <w:tab w:val="left" w:pos="6379"/>
                    </w:tabs>
                    <w:overflowPunct w:val="0"/>
                    <w:adjustRightInd w:val="0"/>
                    <w:snapToGrid w:val="0"/>
                    <w:jc w:val="center"/>
                    <w:rPr>
                      <w:rFonts w:hint="default" w:ascii="Times New Roman" w:hAnsi="Times New Roman" w:eastAsia="宋体" w:cs="Times New Roman"/>
                      <w:sz w:val="18"/>
                      <w:szCs w:val="21"/>
                    </w:rPr>
                  </w:pPr>
                  <w:r>
                    <w:rPr>
                      <w:rFonts w:hint="default" w:ascii="Times New Roman" w:hAnsi="Times New Roman" w:eastAsia="宋体" w:cs="Times New Roman"/>
                      <w:sz w:val="18"/>
                      <w:szCs w:val="21"/>
                    </w:rPr>
                    <w:t>建设生态园区</w:t>
                  </w:r>
                </w:p>
              </w:tc>
              <w:tc>
                <w:tcPr>
                  <w:tcW w:w="3734" w:type="dxa"/>
                  <w:noWrap/>
                  <w:vAlign w:val="center"/>
                </w:tcPr>
                <w:p>
                  <w:pPr>
                    <w:tabs>
                      <w:tab w:val="left" w:pos="6379"/>
                    </w:tabs>
                    <w:overflowPunct w:val="0"/>
                    <w:adjustRightInd w:val="0"/>
                    <w:snapToGrid w:val="0"/>
                    <w:jc w:val="center"/>
                    <w:rPr>
                      <w:rFonts w:hint="default" w:ascii="Times New Roman" w:hAnsi="Times New Roman" w:eastAsia="宋体" w:cs="Times New Roman"/>
                      <w:sz w:val="18"/>
                      <w:szCs w:val="21"/>
                    </w:rPr>
                  </w:pPr>
                  <w:r>
                    <w:rPr>
                      <w:rFonts w:hint="default" w:ascii="Times New Roman" w:hAnsi="Times New Roman" w:eastAsia="宋体" w:cs="Times New Roman"/>
                      <w:sz w:val="18"/>
                      <w:szCs w:val="21"/>
                    </w:rPr>
                    <w:t>推动园区产业向“专精特新”方向发展。引导每个省级以上园区重点打造1～2 个特色主导产业、1～2个新兴产业。实施园区循环化改造，推动企业循环式生产、产业循环式组合，搭建资源共享、废物处理公共平台，提高能源资源综合利用效率。推动园区基础公共设施共建共享、能源梯级利用、资源循环利用和污染物集中安全处置等。因地制宜布局污水资源化利用设施，提高水重复利用率。强化工业园区用能管理，鼓励优先利用可再生能源，支持园区探索开展环境管家、绿色联盟、产业共生等创新发展模式，推广绿色整体服务和全过程服务。</w:t>
                  </w:r>
                </w:p>
              </w:tc>
              <w:tc>
                <w:tcPr>
                  <w:tcW w:w="1287" w:type="dxa"/>
                  <w:noWrap/>
                  <w:vAlign w:val="center"/>
                </w:tcPr>
                <w:p>
                  <w:pPr>
                    <w:tabs>
                      <w:tab w:val="left" w:pos="6379"/>
                    </w:tabs>
                    <w:overflowPunct w:val="0"/>
                    <w:adjustRightInd w:val="0"/>
                    <w:snapToGrid w:val="0"/>
                    <w:jc w:val="center"/>
                    <w:rPr>
                      <w:rFonts w:hint="default" w:ascii="Times New Roman" w:hAnsi="Times New Roman" w:eastAsia="宋体" w:cs="Times New Roman"/>
                      <w:sz w:val="18"/>
                      <w:szCs w:val="21"/>
                    </w:rPr>
                  </w:pPr>
                  <w:r>
                    <w:rPr>
                      <w:rFonts w:hint="default" w:ascii="Times New Roman" w:hAnsi="Times New Roman" w:eastAsia="宋体" w:cs="Times New Roman"/>
                      <w:sz w:val="18"/>
                      <w:szCs w:val="21"/>
                    </w:rPr>
                    <w:t>/</w:t>
                  </w:r>
                </w:p>
              </w:tc>
              <w:tc>
                <w:tcPr>
                  <w:tcW w:w="722" w:type="dxa"/>
                  <w:noWrap/>
                  <w:vAlign w:val="center"/>
                </w:tcPr>
                <w:p>
                  <w:pPr>
                    <w:tabs>
                      <w:tab w:val="left" w:pos="6379"/>
                    </w:tabs>
                    <w:overflowPunct w:val="0"/>
                    <w:adjustRightInd w:val="0"/>
                    <w:snapToGrid w:val="0"/>
                    <w:jc w:val="center"/>
                    <w:rPr>
                      <w:rFonts w:hint="default" w:ascii="Times New Roman" w:hAnsi="Times New Roman" w:eastAsia="宋体" w:cs="Times New Roman"/>
                      <w:sz w:val="18"/>
                      <w:szCs w:val="21"/>
                    </w:rPr>
                  </w:pPr>
                  <w:r>
                    <w:rPr>
                      <w:rFonts w:hint="default" w:ascii="Times New Roman" w:hAnsi="Times New Roman" w:eastAsia="宋体" w:cs="Times New Roman"/>
                      <w:sz w:val="18"/>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50" w:hRule="atLeast"/>
                <w:jc w:val="center"/>
              </w:trPr>
              <w:tc>
                <w:tcPr>
                  <w:tcW w:w="537" w:type="dxa"/>
                  <w:noWrap/>
                  <w:vAlign w:val="center"/>
                </w:tcPr>
                <w:p>
                  <w:pPr>
                    <w:tabs>
                      <w:tab w:val="left" w:pos="6379"/>
                    </w:tabs>
                    <w:overflowPunct w:val="0"/>
                    <w:adjustRightInd w:val="0"/>
                    <w:snapToGrid w:val="0"/>
                    <w:jc w:val="center"/>
                    <w:rPr>
                      <w:rFonts w:hint="default" w:ascii="Times New Roman" w:hAnsi="Times New Roman" w:eastAsia="宋体" w:cs="Times New Roman"/>
                      <w:kern w:val="2"/>
                      <w:sz w:val="18"/>
                      <w:szCs w:val="21"/>
                      <w:lang w:val="en-US" w:eastAsia="zh-CN" w:bidi="ar-SA"/>
                    </w:rPr>
                  </w:pPr>
                  <w:r>
                    <w:rPr>
                      <w:rFonts w:hint="default" w:ascii="Times New Roman" w:hAnsi="Times New Roman" w:eastAsia="宋体" w:cs="Times New Roman"/>
                      <w:sz w:val="18"/>
                      <w:szCs w:val="21"/>
                      <w:lang w:val="en-US" w:eastAsia="zh-CN"/>
                    </w:rPr>
                    <w:t>4</w:t>
                  </w:r>
                </w:p>
              </w:tc>
              <w:tc>
                <w:tcPr>
                  <w:tcW w:w="698" w:type="dxa"/>
                  <w:noWrap/>
                  <w:vAlign w:val="center"/>
                </w:tcPr>
                <w:p>
                  <w:pPr>
                    <w:tabs>
                      <w:tab w:val="left" w:pos="6379"/>
                    </w:tabs>
                    <w:overflowPunct w:val="0"/>
                    <w:adjustRightInd w:val="0"/>
                    <w:snapToGrid w:val="0"/>
                    <w:jc w:val="center"/>
                    <w:rPr>
                      <w:rFonts w:hint="default" w:ascii="Times New Roman" w:hAnsi="Times New Roman" w:eastAsia="宋体" w:cs="Times New Roman"/>
                      <w:sz w:val="18"/>
                      <w:szCs w:val="21"/>
                      <w:lang w:eastAsia="zh-CN"/>
                    </w:rPr>
                  </w:pPr>
                  <w:r>
                    <w:rPr>
                      <w:rFonts w:hint="default" w:ascii="Times New Roman" w:hAnsi="Times New Roman" w:eastAsia="宋体" w:cs="Times New Roman"/>
                      <w:sz w:val="18"/>
                      <w:szCs w:val="21"/>
                      <w:lang w:eastAsia="zh-CN"/>
                    </w:rPr>
                    <w:t>推进清洁生产</w:t>
                  </w:r>
                </w:p>
              </w:tc>
              <w:tc>
                <w:tcPr>
                  <w:tcW w:w="3734" w:type="dxa"/>
                  <w:noWrap/>
                  <w:vAlign w:val="center"/>
                </w:tcPr>
                <w:p>
                  <w:pPr>
                    <w:tabs>
                      <w:tab w:val="left" w:pos="6379"/>
                    </w:tabs>
                    <w:overflowPunct w:val="0"/>
                    <w:adjustRightInd w:val="0"/>
                    <w:snapToGrid w:val="0"/>
                    <w:jc w:val="both"/>
                    <w:rPr>
                      <w:rFonts w:hint="default" w:ascii="Times New Roman" w:hAnsi="Times New Roman" w:eastAsia="宋体" w:cs="Times New Roman"/>
                      <w:sz w:val="18"/>
                      <w:szCs w:val="21"/>
                    </w:rPr>
                  </w:pPr>
                  <w:r>
                    <w:rPr>
                      <w:rFonts w:hint="default" w:ascii="Times New Roman" w:hAnsi="Times New Roman" w:eastAsia="宋体" w:cs="Times New Roman"/>
                      <w:sz w:val="18"/>
                      <w:szCs w:val="21"/>
                    </w:rPr>
                    <w:t>在重点行业现有企业全面推行强制性清洁生产审核，提高精细化管理水平，推广节水技术，改进生产工艺，降低能耗、减少污染排放。鼓励集成电路封装、电子专用材料制造等重点排放企业开展中水回用示范工程，力争将非金属传统行业环境绩效提升至清洁生产Ⅰ级标准。将国际国内清洁生产一流标准作为新项目招引、落户的关键因素。</w:t>
                  </w:r>
                </w:p>
              </w:tc>
              <w:tc>
                <w:tcPr>
                  <w:tcW w:w="1287" w:type="dxa"/>
                  <w:noWrap/>
                  <w:vAlign w:val="center"/>
                </w:tcPr>
                <w:p>
                  <w:pPr>
                    <w:tabs>
                      <w:tab w:val="left" w:pos="6379"/>
                    </w:tabs>
                    <w:overflowPunct w:val="0"/>
                    <w:adjustRightInd w:val="0"/>
                    <w:snapToGrid w:val="0"/>
                    <w:jc w:val="center"/>
                    <w:rPr>
                      <w:rFonts w:hint="default" w:ascii="Times New Roman" w:hAnsi="Times New Roman" w:eastAsia="宋体" w:cs="Times New Roman"/>
                      <w:sz w:val="18"/>
                      <w:szCs w:val="21"/>
                    </w:rPr>
                  </w:pPr>
                  <w:r>
                    <w:rPr>
                      <w:rFonts w:hint="default" w:ascii="Times New Roman" w:hAnsi="Times New Roman" w:eastAsia="宋体" w:cs="Times New Roman"/>
                      <w:sz w:val="18"/>
                      <w:szCs w:val="21"/>
                    </w:rPr>
                    <w:t>项目产生“三废”均有效治理；不涉及“散乱污”问题。</w:t>
                  </w:r>
                </w:p>
              </w:tc>
              <w:tc>
                <w:tcPr>
                  <w:tcW w:w="722" w:type="dxa"/>
                  <w:noWrap/>
                  <w:vAlign w:val="center"/>
                </w:tcPr>
                <w:p>
                  <w:pPr>
                    <w:tabs>
                      <w:tab w:val="left" w:pos="6379"/>
                    </w:tabs>
                    <w:overflowPunct w:val="0"/>
                    <w:adjustRightInd w:val="0"/>
                    <w:snapToGrid w:val="0"/>
                    <w:jc w:val="center"/>
                    <w:rPr>
                      <w:rFonts w:hint="default" w:ascii="Times New Roman" w:hAnsi="Times New Roman" w:eastAsia="宋体" w:cs="Times New Roman"/>
                      <w:sz w:val="18"/>
                      <w:szCs w:val="21"/>
                      <w:lang w:eastAsia="zh-CN"/>
                    </w:rPr>
                  </w:pPr>
                  <w:r>
                    <w:rPr>
                      <w:rFonts w:hint="default" w:ascii="Times New Roman" w:hAnsi="Times New Roman" w:eastAsia="宋体" w:cs="Times New Roman"/>
                      <w:sz w:val="18"/>
                      <w:szCs w:val="21"/>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537" w:type="dxa"/>
                  <w:noWrap/>
                  <w:vAlign w:val="center"/>
                </w:tcPr>
                <w:p>
                  <w:pPr>
                    <w:tabs>
                      <w:tab w:val="left" w:pos="6379"/>
                    </w:tabs>
                    <w:overflowPunct w:val="0"/>
                    <w:adjustRightInd w:val="0"/>
                    <w:snapToGrid w:val="0"/>
                    <w:jc w:val="center"/>
                    <w:rPr>
                      <w:rFonts w:hint="default" w:ascii="Times New Roman" w:hAnsi="Times New Roman" w:eastAsia="宋体" w:cs="Times New Roman"/>
                      <w:kern w:val="2"/>
                      <w:sz w:val="18"/>
                      <w:szCs w:val="21"/>
                      <w:lang w:val="en-US" w:eastAsia="zh-CN" w:bidi="ar-SA"/>
                    </w:rPr>
                  </w:pPr>
                  <w:r>
                    <w:rPr>
                      <w:rFonts w:hint="default" w:ascii="Times New Roman" w:hAnsi="Times New Roman" w:eastAsia="宋体" w:cs="Times New Roman"/>
                      <w:sz w:val="18"/>
                      <w:szCs w:val="21"/>
                      <w:lang w:val="en-US" w:eastAsia="zh-CN"/>
                    </w:rPr>
                    <w:t>5</w:t>
                  </w:r>
                </w:p>
              </w:tc>
              <w:tc>
                <w:tcPr>
                  <w:tcW w:w="698" w:type="dxa"/>
                  <w:noWrap/>
                  <w:vAlign w:val="center"/>
                </w:tcPr>
                <w:p>
                  <w:pPr>
                    <w:tabs>
                      <w:tab w:val="left" w:pos="6379"/>
                    </w:tabs>
                    <w:overflowPunct w:val="0"/>
                    <w:adjustRightInd w:val="0"/>
                    <w:snapToGrid w:val="0"/>
                    <w:jc w:val="center"/>
                    <w:rPr>
                      <w:rFonts w:hint="default" w:ascii="Times New Roman" w:hAnsi="Times New Roman" w:eastAsia="宋体" w:cs="Times New Roman"/>
                      <w:sz w:val="18"/>
                      <w:szCs w:val="21"/>
                    </w:rPr>
                  </w:pPr>
                  <w:r>
                    <w:rPr>
                      <w:rFonts w:hint="default" w:ascii="Times New Roman" w:hAnsi="Times New Roman" w:eastAsia="宋体" w:cs="Times New Roman"/>
                      <w:sz w:val="18"/>
                      <w:szCs w:val="21"/>
                    </w:rPr>
                    <w:t>严守准入门槛</w:t>
                  </w:r>
                </w:p>
              </w:tc>
              <w:tc>
                <w:tcPr>
                  <w:tcW w:w="3734" w:type="dxa"/>
                  <w:noWrap/>
                  <w:vAlign w:val="center"/>
                </w:tcPr>
                <w:p>
                  <w:pPr>
                    <w:tabs>
                      <w:tab w:val="left" w:pos="6379"/>
                    </w:tabs>
                    <w:overflowPunct w:val="0"/>
                    <w:adjustRightInd w:val="0"/>
                    <w:snapToGrid w:val="0"/>
                    <w:jc w:val="center"/>
                    <w:rPr>
                      <w:rFonts w:hint="default" w:ascii="Times New Roman" w:hAnsi="Times New Roman" w:eastAsia="宋体" w:cs="Times New Roman"/>
                      <w:sz w:val="18"/>
                      <w:szCs w:val="21"/>
                    </w:rPr>
                  </w:pPr>
                  <w:r>
                    <w:rPr>
                      <w:rFonts w:hint="default" w:ascii="Times New Roman" w:hAnsi="Times New Roman" w:eastAsia="宋体" w:cs="Times New Roman"/>
                      <w:sz w:val="18"/>
                      <w:szCs w:val="21"/>
                    </w:rPr>
                    <w:t>全面深化生态环境分区管控方案、细化管控单元及行业准入条件，建立重点产业项目准入机制，优化产业发展。严格执行《长江经济带发展负面清单指南（试行，2022 年版）》及江苏省实施细则，严守国家生态保护红线及江苏省生态空间管控区域。着力提升项目招引质效，以省级以上园区为主阵地，以大项目、好项目、新项目为切入点，注重项目的含金量、含新量、含绿量，招新引特、招大引强，带动行业提质增效。强化项目可研、环评、安评、能评、稳评等许可（备案）联动，严控高能耗高排放项目建设、严禁高污染不安全项目落地，坚决杜绝未批先建违法行为。</w:t>
                  </w:r>
                </w:p>
              </w:tc>
              <w:tc>
                <w:tcPr>
                  <w:tcW w:w="1287" w:type="dxa"/>
                  <w:noWrap/>
                  <w:vAlign w:val="center"/>
                </w:tcPr>
                <w:p>
                  <w:pPr>
                    <w:tabs>
                      <w:tab w:val="left" w:pos="6379"/>
                    </w:tabs>
                    <w:overflowPunct w:val="0"/>
                    <w:adjustRightInd w:val="0"/>
                    <w:snapToGrid w:val="0"/>
                    <w:rPr>
                      <w:rFonts w:hint="default" w:ascii="Times New Roman" w:hAnsi="Times New Roman" w:eastAsia="宋体" w:cs="Times New Roman"/>
                      <w:sz w:val="18"/>
                      <w:szCs w:val="21"/>
                    </w:rPr>
                  </w:pPr>
                  <w:r>
                    <w:rPr>
                      <w:rFonts w:hint="default" w:ascii="Times New Roman" w:hAnsi="Times New Roman" w:eastAsia="宋体" w:cs="Times New Roman"/>
                      <w:sz w:val="18"/>
                      <w:szCs w:val="21"/>
                    </w:rPr>
                    <w:t>本项目符合“三线一单”管控要求；与《长江经济带发展负面清单指南（试行）》及江苏省实施细则、国家生态保护红线及江苏省生态空间管控区域规划相符。</w:t>
                  </w:r>
                </w:p>
              </w:tc>
              <w:tc>
                <w:tcPr>
                  <w:tcW w:w="722" w:type="dxa"/>
                  <w:noWrap/>
                  <w:vAlign w:val="center"/>
                </w:tcPr>
                <w:p>
                  <w:pPr>
                    <w:tabs>
                      <w:tab w:val="left" w:pos="6379"/>
                    </w:tabs>
                    <w:overflowPunct w:val="0"/>
                    <w:adjustRightInd w:val="0"/>
                    <w:snapToGrid w:val="0"/>
                    <w:jc w:val="center"/>
                    <w:rPr>
                      <w:rFonts w:hint="default" w:ascii="Times New Roman" w:hAnsi="Times New Roman" w:eastAsia="宋体" w:cs="Times New Roman"/>
                      <w:sz w:val="18"/>
                      <w:szCs w:val="21"/>
                    </w:rPr>
                  </w:pPr>
                  <w:r>
                    <w:rPr>
                      <w:rFonts w:hint="default" w:ascii="Times New Roman" w:hAnsi="Times New Roman" w:eastAsia="宋体" w:cs="Times New Roman"/>
                      <w:sz w:val="18"/>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1" w:hRule="atLeast"/>
                <w:jc w:val="center"/>
              </w:trPr>
              <w:tc>
                <w:tcPr>
                  <w:tcW w:w="537" w:type="dxa"/>
                  <w:noWrap/>
                  <w:vAlign w:val="center"/>
                </w:tcPr>
                <w:p>
                  <w:pPr>
                    <w:tabs>
                      <w:tab w:val="left" w:pos="6379"/>
                    </w:tabs>
                    <w:overflowPunct w:val="0"/>
                    <w:adjustRightInd w:val="0"/>
                    <w:snapToGrid w:val="0"/>
                    <w:jc w:val="center"/>
                    <w:rPr>
                      <w:rFonts w:hint="default" w:ascii="Times New Roman" w:hAnsi="Times New Roman" w:eastAsia="宋体" w:cs="Times New Roman"/>
                      <w:kern w:val="2"/>
                      <w:sz w:val="18"/>
                      <w:szCs w:val="21"/>
                      <w:lang w:val="en-US" w:eastAsia="zh-CN" w:bidi="ar-SA"/>
                    </w:rPr>
                  </w:pPr>
                  <w:r>
                    <w:rPr>
                      <w:rFonts w:hint="default" w:ascii="Times New Roman" w:hAnsi="Times New Roman" w:eastAsia="宋体" w:cs="Times New Roman"/>
                      <w:sz w:val="18"/>
                      <w:szCs w:val="21"/>
                      <w:lang w:val="en-US" w:eastAsia="zh-CN"/>
                    </w:rPr>
                    <w:t>6</w:t>
                  </w:r>
                </w:p>
              </w:tc>
              <w:tc>
                <w:tcPr>
                  <w:tcW w:w="698" w:type="dxa"/>
                  <w:noWrap/>
                  <w:vAlign w:val="center"/>
                </w:tcPr>
                <w:p>
                  <w:pPr>
                    <w:tabs>
                      <w:tab w:val="left" w:pos="6379"/>
                    </w:tabs>
                    <w:overflowPunct w:val="0"/>
                    <w:adjustRightInd w:val="0"/>
                    <w:snapToGrid w:val="0"/>
                    <w:jc w:val="center"/>
                    <w:rPr>
                      <w:rFonts w:hint="default" w:ascii="Times New Roman" w:hAnsi="Times New Roman" w:eastAsia="宋体" w:cs="Times New Roman"/>
                      <w:sz w:val="18"/>
                      <w:szCs w:val="21"/>
                    </w:rPr>
                  </w:pPr>
                  <w:r>
                    <w:rPr>
                      <w:rFonts w:hint="default" w:ascii="Times New Roman" w:hAnsi="Times New Roman" w:eastAsia="宋体" w:cs="Times New Roman"/>
                      <w:sz w:val="18"/>
                      <w:szCs w:val="21"/>
                    </w:rPr>
                    <w:t>鼓励科技创新</w:t>
                  </w:r>
                </w:p>
              </w:tc>
              <w:tc>
                <w:tcPr>
                  <w:tcW w:w="3734" w:type="dxa"/>
                  <w:noWrap/>
                  <w:vAlign w:val="center"/>
                </w:tcPr>
                <w:p>
                  <w:pPr>
                    <w:tabs>
                      <w:tab w:val="left" w:pos="6379"/>
                    </w:tabs>
                    <w:overflowPunct w:val="0"/>
                    <w:adjustRightInd w:val="0"/>
                    <w:snapToGrid w:val="0"/>
                    <w:jc w:val="center"/>
                    <w:rPr>
                      <w:rFonts w:hint="default" w:ascii="Times New Roman" w:hAnsi="Times New Roman" w:eastAsia="宋体" w:cs="Times New Roman"/>
                      <w:sz w:val="18"/>
                      <w:szCs w:val="21"/>
                    </w:rPr>
                  </w:pPr>
                  <w:r>
                    <w:rPr>
                      <w:rFonts w:hint="default" w:ascii="Times New Roman" w:hAnsi="Times New Roman" w:eastAsia="宋体" w:cs="Times New Roman"/>
                      <w:sz w:val="18"/>
                      <w:szCs w:val="21"/>
                    </w:rPr>
                    <w:t>健全以企业为主体的产学研用协同创新体系，推动“揭榜挂帅”攻坚计划项目，支持联合攻关。培育科技创新企业，强化平台载体建设，深化开发合作创新，广聚创新创业人才，加强知识产权保护。加强节能降耗、清洁生产、污染治理、循环利用等领域的技术创新和成果转化，大力推进原始创新和集成创新。增强创新储备，提升创新全链条支撑能力，为实现重大创新突破、培育高端产业奠定重要基础。鼓励科研机构、高等院校和企业等单位开展重点行业节能减排领域应用基础研究，提高科学研究支撑能力。</w:t>
                  </w:r>
                </w:p>
              </w:tc>
              <w:tc>
                <w:tcPr>
                  <w:tcW w:w="1287" w:type="dxa"/>
                  <w:noWrap/>
                  <w:vAlign w:val="center"/>
                </w:tcPr>
                <w:p>
                  <w:pPr>
                    <w:tabs>
                      <w:tab w:val="left" w:pos="6379"/>
                    </w:tabs>
                    <w:overflowPunct w:val="0"/>
                    <w:adjustRightInd w:val="0"/>
                    <w:snapToGrid w:val="0"/>
                    <w:jc w:val="center"/>
                    <w:rPr>
                      <w:rFonts w:hint="default" w:ascii="Times New Roman" w:hAnsi="Times New Roman" w:eastAsia="宋体" w:cs="Times New Roman"/>
                      <w:sz w:val="18"/>
                      <w:szCs w:val="21"/>
                      <w:lang w:val="en-US" w:eastAsia="zh-CN"/>
                    </w:rPr>
                  </w:pPr>
                  <w:r>
                    <w:rPr>
                      <w:rFonts w:hint="default" w:ascii="Times New Roman" w:hAnsi="Times New Roman" w:eastAsia="宋体" w:cs="Times New Roman"/>
                      <w:sz w:val="18"/>
                      <w:szCs w:val="21"/>
                      <w:lang w:val="en-US" w:eastAsia="zh-CN"/>
                    </w:rPr>
                    <w:t>/</w:t>
                  </w:r>
                </w:p>
              </w:tc>
              <w:tc>
                <w:tcPr>
                  <w:tcW w:w="722" w:type="dxa"/>
                  <w:noWrap/>
                  <w:vAlign w:val="center"/>
                </w:tcPr>
                <w:p>
                  <w:pPr>
                    <w:tabs>
                      <w:tab w:val="left" w:pos="6379"/>
                    </w:tabs>
                    <w:overflowPunct w:val="0"/>
                    <w:adjustRightInd w:val="0"/>
                    <w:snapToGrid w:val="0"/>
                    <w:jc w:val="center"/>
                    <w:rPr>
                      <w:rFonts w:hint="default" w:ascii="Times New Roman" w:hAnsi="Times New Roman" w:eastAsia="宋体" w:cs="Times New Roman"/>
                      <w:sz w:val="18"/>
                      <w:szCs w:val="21"/>
                    </w:rPr>
                  </w:pPr>
                  <w:r>
                    <w:rPr>
                      <w:rFonts w:hint="default" w:ascii="Times New Roman" w:hAnsi="Times New Roman" w:eastAsia="宋体" w:cs="Times New Roman"/>
                      <w:sz w:val="18"/>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55" w:hRule="atLeast"/>
                <w:jc w:val="center"/>
              </w:trPr>
              <w:tc>
                <w:tcPr>
                  <w:tcW w:w="537" w:type="dxa"/>
                  <w:noWrap/>
                  <w:vAlign w:val="center"/>
                </w:tcPr>
                <w:p>
                  <w:pPr>
                    <w:tabs>
                      <w:tab w:val="left" w:pos="6379"/>
                    </w:tabs>
                    <w:overflowPunct w:val="0"/>
                    <w:adjustRightInd w:val="0"/>
                    <w:snapToGrid w:val="0"/>
                    <w:jc w:val="center"/>
                    <w:rPr>
                      <w:rFonts w:hint="default" w:ascii="Times New Roman" w:hAnsi="Times New Roman" w:eastAsia="宋体" w:cs="Times New Roman"/>
                      <w:kern w:val="2"/>
                      <w:sz w:val="18"/>
                      <w:szCs w:val="21"/>
                      <w:lang w:val="en-US" w:eastAsia="zh-CN" w:bidi="ar-SA"/>
                    </w:rPr>
                  </w:pPr>
                  <w:r>
                    <w:rPr>
                      <w:rFonts w:hint="default" w:ascii="Times New Roman" w:hAnsi="Times New Roman" w:eastAsia="宋体" w:cs="Times New Roman"/>
                      <w:sz w:val="18"/>
                      <w:szCs w:val="21"/>
                      <w:lang w:val="en-US" w:eastAsia="zh-CN"/>
                    </w:rPr>
                    <w:t>7</w:t>
                  </w:r>
                </w:p>
              </w:tc>
              <w:tc>
                <w:tcPr>
                  <w:tcW w:w="698" w:type="dxa"/>
                  <w:noWrap/>
                  <w:vAlign w:val="center"/>
                </w:tcPr>
                <w:p>
                  <w:pPr>
                    <w:tabs>
                      <w:tab w:val="left" w:pos="6379"/>
                    </w:tabs>
                    <w:overflowPunct w:val="0"/>
                    <w:adjustRightInd w:val="0"/>
                    <w:snapToGrid w:val="0"/>
                    <w:jc w:val="center"/>
                    <w:rPr>
                      <w:rFonts w:hint="default" w:ascii="Times New Roman" w:hAnsi="Times New Roman" w:eastAsia="宋体" w:cs="Times New Roman"/>
                      <w:sz w:val="18"/>
                      <w:szCs w:val="21"/>
                    </w:rPr>
                  </w:pPr>
                  <w:r>
                    <w:rPr>
                      <w:rFonts w:hint="default" w:ascii="Times New Roman" w:hAnsi="Times New Roman" w:eastAsia="宋体" w:cs="Times New Roman"/>
                      <w:sz w:val="18"/>
                      <w:szCs w:val="21"/>
                    </w:rPr>
                    <w:t>构建绿色供应链</w:t>
                  </w:r>
                </w:p>
              </w:tc>
              <w:tc>
                <w:tcPr>
                  <w:tcW w:w="3734" w:type="dxa"/>
                  <w:noWrap/>
                  <w:vAlign w:val="center"/>
                </w:tcPr>
                <w:p>
                  <w:pPr>
                    <w:tabs>
                      <w:tab w:val="left" w:pos="6379"/>
                    </w:tabs>
                    <w:overflowPunct w:val="0"/>
                    <w:adjustRightInd w:val="0"/>
                    <w:snapToGrid w:val="0"/>
                    <w:jc w:val="center"/>
                    <w:rPr>
                      <w:rFonts w:hint="default" w:ascii="Times New Roman" w:hAnsi="Times New Roman" w:eastAsia="宋体" w:cs="Times New Roman"/>
                      <w:sz w:val="18"/>
                      <w:szCs w:val="21"/>
                    </w:rPr>
                  </w:pPr>
                  <w:r>
                    <w:rPr>
                      <w:rFonts w:hint="default" w:ascii="Times New Roman" w:hAnsi="Times New Roman" w:eastAsia="宋体" w:cs="Times New Roman"/>
                      <w:sz w:val="18"/>
                      <w:szCs w:val="21"/>
                    </w:rPr>
                    <w:t>加快建设绿色制造体系，实施一批绿色制造示范项目，打造一批具有示范带动作用的绿色工厂和绿色供应链。鼓励企业开展绿色设计、选择绿色材料、实施绿色采购、打造绿色制造工艺、推行绿色包装、开展绿色运输、做好废弃产品回收处理，实现产品全周期的绿色环保。鼓励行业协会通过制定规范、咨询服务、行业自律等方式提高行业供应链绿色化水平。</w:t>
                  </w:r>
                </w:p>
              </w:tc>
              <w:tc>
                <w:tcPr>
                  <w:tcW w:w="1287" w:type="dxa"/>
                  <w:noWrap/>
                  <w:vAlign w:val="center"/>
                </w:tcPr>
                <w:p>
                  <w:pPr>
                    <w:tabs>
                      <w:tab w:val="left" w:pos="6379"/>
                    </w:tabs>
                    <w:overflowPunct w:val="0"/>
                    <w:adjustRightInd w:val="0"/>
                    <w:snapToGrid w:val="0"/>
                    <w:jc w:val="center"/>
                    <w:rPr>
                      <w:rFonts w:hint="default" w:ascii="Times New Roman" w:hAnsi="Times New Roman" w:eastAsia="宋体" w:cs="Times New Roman"/>
                      <w:sz w:val="18"/>
                      <w:szCs w:val="21"/>
                    </w:rPr>
                  </w:pPr>
                  <w:r>
                    <w:rPr>
                      <w:rFonts w:hint="default" w:ascii="Times New Roman" w:hAnsi="Times New Roman" w:eastAsia="宋体" w:cs="Times New Roman"/>
                      <w:sz w:val="18"/>
                      <w:szCs w:val="21"/>
                    </w:rPr>
                    <w:t>项目</w:t>
                  </w:r>
                  <w:r>
                    <w:rPr>
                      <w:rFonts w:hint="default" w:ascii="Times New Roman" w:hAnsi="Times New Roman" w:eastAsia="宋体" w:cs="Times New Roman"/>
                      <w:color w:val="auto"/>
                      <w:sz w:val="18"/>
                      <w:szCs w:val="21"/>
                    </w:rPr>
                    <w:t>废气</w:t>
                  </w:r>
                  <w:r>
                    <w:rPr>
                      <w:rFonts w:hint="default" w:ascii="Times New Roman" w:hAnsi="Times New Roman" w:eastAsia="宋体" w:cs="Times New Roman"/>
                      <w:color w:val="auto"/>
                      <w:sz w:val="18"/>
                      <w:szCs w:val="21"/>
                      <w:lang w:eastAsia="zh-CN"/>
                    </w:rPr>
                    <w:t>经处理后排放</w:t>
                  </w:r>
                  <w:r>
                    <w:rPr>
                      <w:rFonts w:hint="default" w:ascii="Times New Roman" w:hAnsi="Times New Roman" w:eastAsia="宋体" w:cs="Times New Roman"/>
                      <w:sz w:val="18"/>
                      <w:szCs w:val="21"/>
                    </w:rPr>
                    <w:t>；危废均密闭存放于危废暂存库，</w:t>
                  </w:r>
                  <w:r>
                    <w:rPr>
                      <w:rFonts w:hint="default" w:ascii="Times New Roman" w:hAnsi="Times New Roman" w:eastAsia="宋体" w:cs="Times New Roman"/>
                      <w:color w:val="auto"/>
                      <w:sz w:val="18"/>
                      <w:szCs w:val="21"/>
                    </w:rPr>
                    <w:t>委托</w:t>
                  </w:r>
                  <w:r>
                    <w:rPr>
                      <w:rFonts w:hint="eastAsia" w:ascii="Times New Roman" w:hAnsi="Times New Roman" w:eastAsia="宋体" w:cs="Times New Roman"/>
                      <w:color w:val="auto"/>
                      <w:sz w:val="18"/>
                      <w:szCs w:val="21"/>
                      <w:lang w:eastAsia="zh-CN"/>
                    </w:rPr>
                    <w:t>有资质单位</w:t>
                  </w:r>
                  <w:r>
                    <w:rPr>
                      <w:rFonts w:hint="default" w:ascii="Times New Roman" w:hAnsi="Times New Roman" w:eastAsia="宋体" w:cs="Times New Roman"/>
                      <w:sz w:val="18"/>
                      <w:szCs w:val="21"/>
                    </w:rPr>
                    <w:t>进行处置。</w:t>
                  </w:r>
                </w:p>
              </w:tc>
              <w:tc>
                <w:tcPr>
                  <w:tcW w:w="722" w:type="dxa"/>
                  <w:noWrap/>
                  <w:vAlign w:val="center"/>
                </w:tcPr>
                <w:p>
                  <w:pPr>
                    <w:tabs>
                      <w:tab w:val="left" w:pos="6379"/>
                    </w:tabs>
                    <w:overflowPunct w:val="0"/>
                    <w:adjustRightInd w:val="0"/>
                    <w:snapToGrid w:val="0"/>
                    <w:jc w:val="center"/>
                    <w:rPr>
                      <w:rFonts w:hint="default" w:ascii="Times New Roman" w:hAnsi="Times New Roman" w:eastAsia="宋体" w:cs="Times New Roman"/>
                      <w:sz w:val="18"/>
                      <w:szCs w:val="21"/>
                    </w:rPr>
                  </w:pPr>
                  <w:r>
                    <w:rPr>
                      <w:rFonts w:hint="default" w:ascii="Times New Roman" w:hAnsi="Times New Roman" w:eastAsia="宋体" w:cs="Times New Roman"/>
                      <w:sz w:val="18"/>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537" w:type="dxa"/>
                  <w:noWrap/>
                  <w:vAlign w:val="center"/>
                </w:tcPr>
                <w:p>
                  <w:pPr>
                    <w:tabs>
                      <w:tab w:val="left" w:pos="6379"/>
                    </w:tabs>
                    <w:overflowPunct w:val="0"/>
                    <w:adjustRightInd w:val="0"/>
                    <w:snapToGrid w:val="0"/>
                    <w:jc w:val="center"/>
                    <w:rPr>
                      <w:rFonts w:hint="default" w:ascii="Times New Roman" w:hAnsi="Times New Roman" w:eastAsia="宋体" w:cs="Times New Roman"/>
                      <w:kern w:val="2"/>
                      <w:sz w:val="18"/>
                      <w:szCs w:val="21"/>
                      <w:lang w:val="en-US" w:eastAsia="zh-CN" w:bidi="ar-SA"/>
                    </w:rPr>
                  </w:pPr>
                  <w:r>
                    <w:rPr>
                      <w:rFonts w:hint="default" w:ascii="Times New Roman" w:hAnsi="Times New Roman" w:eastAsia="宋体" w:cs="Times New Roman"/>
                      <w:sz w:val="18"/>
                      <w:szCs w:val="21"/>
                      <w:lang w:val="en-US" w:eastAsia="zh-CN"/>
                    </w:rPr>
                    <w:t>8</w:t>
                  </w:r>
                </w:p>
              </w:tc>
              <w:tc>
                <w:tcPr>
                  <w:tcW w:w="698" w:type="dxa"/>
                  <w:noWrap/>
                  <w:vAlign w:val="center"/>
                </w:tcPr>
                <w:p>
                  <w:pPr>
                    <w:tabs>
                      <w:tab w:val="left" w:pos="6379"/>
                    </w:tabs>
                    <w:overflowPunct w:val="0"/>
                    <w:adjustRightInd w:val="0"/>
                    <w:snapToGrid w:val="0"/>
                    <w:jc w:val="center"/>
                    <w:rPr>
                      <w:rFonts w:hint="default" w:ascii="Times New Roman" w:hAnsi="Times New Roman" w:eastAsia="宋体" w:cs="Times New Roman"/>
                      <w:sz w:val="18"/>
                      <w:szCs w:val="21"/>
                      <w:lang w:eastAsia="zh-CN"/>
                    </w:rPr>
                  </w:pPr>
                  <w:r>
                    <w:rPr>
                      <w:rFonts w:hint="default" w:ascii="Times New Roman" w:hAnsi="Times New Roman" w:eastAsia="宋体" w:cs="Times New Roman"/>
                      <w:sz w:val="18"/>
                      <w:szCs w:val="21"/>
                      <w:lang w:eastAsia="zh-CN"/>
                    </w:rPr>
                    <w:t>提高能源利用效率</w:t>
                  </w:r>
                </w:p>
              </w:tc>
              <w:tc>
                <w:tcPr>
                  <w:tcW w:w="3734" w:type="dxa"/>
                  <w:noWrap/>
                  <w:vAlign w:val="center"/>
                </w:tcPr>
                <w:p>
                  <w:pPr>
                    <w:tabs>
                      <w:tab w:val="left" w:pos="6379"/>
                    </w:tabs>
                    <w:overflowPunct w:val="0"/>
                    <w:adjustRightInd w:val="0"/>
                    <w:snapToGrid w:val="0"/>
                    <w:jc w:val="center"/>
                    <w:rPr>
                      <w:rFonts w:hint="default" w:ascii="Times New Roman" w:hAnsi="Times New Roman" w:eastAsia="宋体" w:cs="Times New Roman"/>
                      <w:sz w:val="18"/>
                      <w:szCs w:val="21"/>
                    </w:rPr>
                  </w:pPr>
                  <w:r>
                    <w:rPr>
                      <w:rFonts w:hint="default" w:ascii="Times New Roman" w:hAnsi="Times New Roman" w:eastAsia="宋体" w:cs="Times New Roman"/>
                      <w:sz w:val="18"/>
                      <w:szCs w:val="21"/>
                    </w:rPr>
                    <w:t>强化能耗强度刚性约束，对标高耗能行业重点领域能效标杆水平和基准水平，开展全市重点领域项目能效摸底调查，建立重点企业、重点项目能效清单目录和能效台账，有序推进纺织、化工、建材等行业开展节能降碳改造，提升能源利用效率。加强新型基础设施绿色技术耦合，推动既有设施绿色升级改造。深入挖掘存量项目节能潜力，强化用能管理，优化用能结构，规范用能行为，提高设施能效水平。强化高耗能企业绿电（绿证）消费责任，按要求提升绿电（绿证）消费水平，到2025年，高耗能企业电力消费中绿色电力占比不低于30%。支持重点企业、园区高比例消费绿色电力，打造绿色电力企业、绿色电力园区。强化执法监管，建立完善跨部门联动的跟踪节能监察机制，组织开展专项节能监察行动。壮大节能减排队伍，加强节能监察能力建设，健全市、县节能监察体系，提升监察队伍的专业素质和服务意识。</w:t>
                  </w:r>
                </w:p>
              </w:tc>
              <w:tc>
                <w:tcPr>
                  <w:tcW w:w="1287" w:type="dxa"/>
                  <w:noWrap/>
                  <w:vAlign w:val="center"/>
                </w:tcPr>
                <w:p>
                  <w:pPr>
                    <w:tabs>
                      <w:tab w:val="left" w:pos="6379"/>
                    </w:tabs>
                    <w:overflowPunct w:val="0"/>
                    <w:adjustRightInd w:val="0"/>
                    <w:snapToGrid w:val="0"/>
                    <w:jc w:val="center"/>
                    <w:rPr>
                      <w:rFonts w:hint="default" w:ascii="Times New Roman" w:hAnsi="Times New Roman" w:eastAsia="宋体" w:cs="Times New Roman"/>
                      <w:sz w:val="18"/>
                      <w:szCs w:val="21"/>
                      <w:lang w:eastAsia="zh-CN"/>
                    </w:rPr>
                  </w:pPr>
                  <w:r>
                    <w:rPr>
                      <w:rFonts w:hint="default" w:ascii="Times New Roman" w:hAnsi="Times New Roman" w:eastAsia="宋体" w:cs="Times New Roman"/>
                      <w:sz w:val="18"/>
                      <w:szCs w:val="21"/>
                      <w:lang w:eastAsia="zh-CN"/>
                    </w:rPr>
                    <w:t>项目不属于高能耗项目。</w:t>
                  </w:r>
                </w:p>
              </w:tc>
              <w:tc>
                <w:tcPr>
                  <w:tcW w:w="722" w:type="dxa"/>
                  <w:noWrap/>
                  <w:vAlign w:val="center"/>
                </w:tcPr>
                <w:p>
                  <w:pPr>
                    <w:tabs>
                      <w:tab w:val="left" w:pos="6379"/>
                    </w:tabs>
                    <w:overflowPunct w:val="0"/>
                    <w:adjustRightInd w:val="0"/>
                    <w:snapToGrid w:val="0"/>
                    <w:jc w:val="center"/>
                    <w:rPr>
                      <w:rFonts w:hint="default" w:ascii="Times New Roman" w:hAnsi="Times New Roman" w:eastAsia="宋体" w:cs="Times New Roman"/>
                      <w:sz w:val="18"/>
                      <w:szCs w:val="21"/>
                    </w:rPr>
                  </w:pPr>
                  <w:r>
                    <w:rPr>
                      <w:rFonts w:hint="default" w:ascii="Times New Roman" w:hAnsi="Times New Roman" w:eastAsia="宋体" w:cs="Times New Roman"/>
                      <w:sz w:val="18"/>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61" w:hRule="atLeast"/>
                <w:jc w:val="center"/>
              </w:trPr>
              <w:tc>
                <w:tcPr>
                  <w:tcW w:w="537" w:type="dxa"/>
                  <w:noWrap/>
                  <w:vAlign w:val="center"/>
                </w:tcPr>
                <w:p>
                  <w:pPr>
                    <w:tabs>
                      <w:tab w:val="left" w:pos="6379"/>
                    </w:tabs>
                    <w:overflowPunct w:val="0"/>
                    <w:adjustRightInd w:val="0"/>
                    <w:snapToGrid w:val="0"/>
                    <w:jc w:val="center"/>
                    <w:rPr>
                      <w:rFonts w:hint="default" w:ascii="Times New Roman" w:hAnsi="Times New Roman" w:eastAsia="宋体" w:cs="Times New Roman"/>
                      <w:kern w:val="2"/>
                      <w:sz w:val="18"/>
                      <w:szCs w:val="21"/>
                      <w:lang w:val="en-US" w:eastAsia="zh-CN" w:bidi="ar-SA"/>
                    </w:rPr>
                  </w:pPr>
                  <w:r>
                    <w:rPr>
                      <w:rFonts w:hint="default" w:ascii="Times New Roman" w:hAnsi="Times New Roman" w:eastAsia="宋体" w:cs="Times New Roman"/>
                      <w:sz w:val="18"/>
                      <w:szCs w:val="21"/>
                      <w:lang w:val="en-US" w:eastAsia="zh-CN"/>
                    </w:rPr>
                    <w:t>9</w:t>
                  </w:r>
                </w:p>
              </w:tc>
              <w:tc>
                <w:tcPr>
                  <w:tcW w:w="698" w:type="dxa"/>
                  <w:noWrap/>
                  <w:vAlign w:val="center"/>
                </w:tcPr>
                <w:p>
                  <w:pPr>
                    <w:tabs>
                      <w:tab w:val="left" w:pos="6379"/>
                    </w:tabs>
                    <w:overflowPunct w:val="0"/>
                    <w:adjustRightInd w:val="0"/>
                    <w:snapToGrid w:val="0"/>
                    <w:jc w:val="center"/>
                    <w:rPr>
                      <w:rFonts w:hint="default" w:ascii="Times New Roman" w:hAnsi="Times New Roman" w:eastAsia="宋体" w:cs="Times New Roman"/>
                      <w:sz w:val="18"/>
                      <w:szCs w:val="21"/>
                      <w:lang w:eastAsia="zh-CN"/>
                    </w:rPr>
                  </w:pPr>
                  <w:r>
                    <w:rPr>
                      <w:rFonts w:hint="default" w:ascii="Times New Roman" w:hAnsi="Times New Roman" w:eastAsia="宋体" w:cs="Times New Roman"/>
                      <w:sz w:val="18"/>
                      <w:szCs w:val="21"/>
                      <w:lang w:eastAsia="zh-CN"/>
                    </w:rPr>
                    <w:t>加强统计监测能力</w:t>
                  </w:r>
                </w:p>
              </w:tc>
              <w:tc>
                <w:tcPr>
                  <w:tcW w:w="3734" w:type="dxa"/>
                  <w:noWrap/>
                  <w:vAlign w:val="center"/>
                </w:tcPr>
                <w:p>
                  <w:pPr>
                    <w:tabs>
                      <w:tab w:val="left" w:pos="6379"/>
                    </w:tabs>
                    <w:overflowPunct w:val="0"/>
                    <w:adjustRightInd w:val="0"/>
                    <w:snapToGrid w:val="0"/>
                    <w:jc w:val="both"/>
                    <w:rPr>
                      <w:rFonts w:hint="default" w:ascii="Times New Roman" w:hAnsi="Times New Roman" w:eastAsia="宋体" w:cs="Times New Roman"/>
                      <w:sz w:val="18"/>
                      <w:szCs w:val="21"/>
                    </w:rPr>
                  </w:pPr>
                  <w:r>
                    <w:rPr>
                      <w:rFonts w:hint="default" w:ascii="Times New Roman" w:hAnsi="Times New Roman" w:eastAsia="宋体" w:cs="Times New Roman"/>
                      <w:sz w:val="18"/>
                      <w:szCs w:val="21"/>
                    </w:rPr>
                    <w:t>完善重点用能单位能源利用状况报告制度，健全能源计量体系。推进重点耗能企业能耗在线监测系统建设和应用。健全固定污染源监测监控体系，推进排污单位自动监测监控联网全覆盖。开展农业面源污染试点监测评估。加强船舶和港口污染物排放调查监测。加强统计基层队伍建设，提升统计数据质量。在火电、石化、化工、建材、钢铁、有色、造纸等行业，以及年综合能源消费1万吨标准煤以上的重点污染源企业开展碳排放协同监测</w:t>
                  </w:r>
                </w:p>
              </w:tc>
              <w:tc>
                <w:tcPr>
                  <w:tcW w:w="1287" w:type="dxa"/>
                  <w:noWrap/>
                  <w:vAlign w:val="center"/>
                </w:tcPr>
                <w:p>
                  <w:pPr>
                    <w:tabs>
                      <w:tab w:val="left" w:pos="6379"/>
                    </w:tabs>
                    <w:overflowPunct w:val="0"/>
                    <w:adjustRightInd w:val="0"/>
                    <w:snapToGrid w:val="0"/>
                    <w:jc w:val="center"/>
                    <w:rPr>
                      <w:rFonts w:hint="default" w:ascii="Times New Roman" w:hAnsi="Times New Roman" w:eastAsia="宋体" w:cs="Times New Roman"/>
                      <w:sz w:val="18"/>
                      <w:szCs w:val="21"/>
                    </w:rPr>
                  </w:pPr>
                  <w:r>
                    <w:rPr>
                      <w:rFonts w:hint="default" w:ascii="Times New Roman" w:hAnsi="Times New Roman" w:eastAsia="宋体" w:cs="Times New Roman"/>
                      <w:sz w:val="18"/>
                      <w:szCs w:val="18"/>
                    </w:rPr>
                    <w:t>项目已制定自行监测计划，后期项目运营后，按计划进行监测</w:t>
                  </w:r>
                </w:p>
              </w:tc>
              <w:tc>
                <w:tcPr>
                  <w:tcW w:w="722" w:type="dxa"/>
                  <w:noWrap/>
                  <w:vAlign w:val="center"/>
                </w:tcPr>
                <w:p>
                  <w:pPr>
                    <w:tabs>
                      <w:tab w:val="left" w:pos="6379"/>
                    </w:tabs>
                    <w:overflowPunct w:val="0"/>
                    <w:adjustRightInd w:val="0"/>
                    <w:snapToGrid w:val="0"/>
                    <w:jc w:val="center"/>
                    <w:rPr>
                      <w:rFonts w:hint="default" w:ascii="Times New Roman" w:hAnsi="Times New Roman" w:eastAsia="宋体" w:cs="Times New Roman"/>
                      <w:sz w:val="18"/>
                      <w:szCs w:val="21"/>
                      <w:lang w:eastAsia="zh-CN"/>
                    </w:rPr>
                  </w:pPr>
                  <w:r>
                    <w:rPr>
                      <w:rFonts w:hint="default" w:ascii="Times New Roman" w:hAnsi="Times New Roman" w:eastAsia="宋体" w:cs="Times New Roman"/>
                      <w:sz w:val="18"/>
                      <w:szCs w:val="21"/>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7" w:hRule="atLeast"/>
                <w:jc w:val="center"/>
              </w:trPr>
              <w:tc>
                <w:tcPr>
                  <w:tcW w:w="537" w:type="dxa"/>
                  <w:noWrap/>
                  <w:vAlign w:val="center"/>
                </w:tcPr>
                <w:p>
                  <w:pPr>
                    <w:tabs>
                      <w:tab w:val="left" w:pos="6379"/>
                    </w:tabs>
                    <w:overflowPunct w:val="0"/>
                    <w:adjustRightInd w:val="0"/>
                    <w:snapToGrid w:val="0"/>
                    <w:jc w:val="center"/>
                    <w:rPr>
                      <w:rFonts w:hint="default" w:ascii="Times New Roman" w:hAnsi="Times New Roman" w:eastAsia="宋体" w:cs="Times New Roman"/>
                      <w:sz w:val="18"/>
                      <w:szCs w:val="21"/>
                      <w:lang w:val="en-US" w:eastAsia="zh-CN"/>
                    </w:rPr>
                  </w:pPr>
                  <w:r>
                    <w:rPr>
                      <w:rFonts w:hint="default" w:ascii="Times New Roman" w:hAnsi="Times New Roman" w:eastAsia="宋体" w:cs="Times New Roman"/>
                      <w:sz w:val="18"/>
                      <w:szCs w:val="21"/>
                      <w:lang w:val="en-US" w:eastAsia="zh-CN"/>
                    </w:rPr>
                    <w:t>10</w:t>
                  </w:r>
                </w:p>
              </w:tc>
              <w:tc>
                <w:tcPr>
                  <w:tcW w:w="698" w:type="dxa"/>
                  <w:noWrap/>
                  <w:vAlign w:val="center"/>
                </w:tcPr>
                <w:p>
                  <w:pPr>
                    <w:tabs>
                      <w:tab w:val="left" w:pos="6379"/>
                    </w:tabs>
                    <w:overflowPunct w:val="0"/>
                    <w:adjustRightInd w:val="0"/>
                    <w:snapToGrid w:val="0"/>
                    <w:jc w:val="center"/>
                    <w:rPr>
                      <w:rFonts w:hint="default" w:ascii="Times New Roman" w:hAnsi="Times New Roman" w:eastAsia="宋体" w:cs="Times New Roman"/>
                      <w:sz w:val="18"/>
                      <w:szCs w:val="21"/>
                      <w:lang w:eastAsia="zh-CN"/>
                    </w:rPr>
                  </w:pPr>
                  <w:r>
                    <w:rPr>
                      <w:rFonts w:hint="default" w:ascii="Times New Roman" w:hAnsi="Times New Roman" w:eastAsia="宋体" w:cs="Times New Roman"/>
                      <w:sz w:val="18"/>
                      <w:szCs w:val="21"/>
                      <w:lang w:eastAsia="zh-CN"/>
                    </w:rPr>
                    <w:t>加快智改数转</w:t>
                  </w:r>
                </w:p>
              </w:tc>
              <w:tc>
                <w:tcPr>
                  <w:tcW w:w="3734" w:type="dxa"/>
                  <w:noWrap/>
                  <w:vAlign w:val="center"/>
                </w:tcPr>
                <w:p>
                  <w:pPr>
                    <w:tabs>
                      <w:tab w:val="left" w:pos="6379"/>
                    </w:tabs>
                    <w:overflowPunct w:val="0"/>
                    <w:adjustRightInd w:val="0"/>
                    <w:snapToGrid w:val="0"/>
                    <w:jc w:val="center"/>
                    <w:rPr>
                      <w:rFonts w:hint="default" w:ascii="Times New Roman" w:hAnsi="Times New Roman" w:eastAsia="宋体" w:cs="Times New Roman"/>
                      <w:sz w:val="18"/>
                      <w:szCs w:val="21"/>
                    </w:rPr>
                  </w:pPr>
                  <w:r>
                    <w:rPr>
                      <w:rFonts w:hint="default" w:ascii="Times New Roman" w:hAnsi="Times New Roman" w:eastAsia="宋体" w:cs="Times New Roman"/>
                      <w:sz w:val="18"/>
                      <w:szCs w:val="21"/>
                    </w:rPr>
                    <w:t>大力推进智慧化工园区建设，全面提升园区监督管理信息化、分析决策智能化、应急救援一体化支撑能力。支持园区“链主”企业利用5G、大数据、人工智能等新一代信息技术进行全链条改造，加大核心装备、关键工序智能化改造和载体平台数字化提升等领域的投入，培育一批智能制造示范车间、示范工厂和工业互联网标杆工厂，带动产业链上下游企业数字化转型，推动化工产业转型升级、高质量发展。</w:t>
                  </w:r>
                </w:p>
              </w:tc>
              <w:tc>
                <w:tcPr>
                  <w:tcW w:w="1287" w:type="dxa"/>
                  <w:noWrap/>
                  <w:vAlign w:val="center"/>
                </w:tcPr>
                <w:p>
                  <w:pPr>
                    <w:tabs>
                      <w:tab w:val="left" w:pos="6379"/>
                    </w:tabs>
                    <w:overflowPunct w:val="0"/>
                    <w:adjustRightInd w:val="0"/>
                    <w:snapToGrid w:val="0"/>
                    <w:jc w:val="center"/>
                    <w:rPr>
                      <w:rFonts w:hint="default" w:ascii="Times New Roman" w:hAnsi="Times New Roman" w:eastAsia="宋体" w:cs="Times New Roman"/>
                      <w:sz w:val="18"/>
                      <w:szCs w:val="21"/>
                      <w:lang w:eastAsia="zh-CN"/>
                    </w:rPr>
                  </w:pPr>
                  <w:r>
                    <w:rPr>
                      <w:rFonts w:hint="default" w:ascii="Times New Roman" w:hAnsi="Times New Roman" w:eastAsia="宋体" w:cs="Times New Roman"/>
                      <w:sz w:val="18"/>
                      <w:szCs w:val="21"/>
                      <w:lang w:val="en-US" w:eastAsia="zh-CN"/>
                    </w:rPr>
                    <w:t>/</w:t>
                  </w:r>
                </w:p>
              </w:tc>
              <w:tc>
                <w:tcPr>
                  <w:tcW w:w="722" w:type="dxa"/>
                  <w:noWrap/>
                  <w:vAlign w:val="center"/>
                </w:tcPr>
                <w:p>
                  <w:pPr>
                    <w:tabs>
                      <w:tab w:val="left" w:pos="6379"/>
                    </w:tabs>
                    <w:overflowPunct w:val="0"/>
                    <w:adjustRightInd w:val="0"/>
                    <w:snapToGrid w:val="0"/>
                    <w:jc w:val="center"/>
                    <w:rPr>
                      <w:rFonts w:hint="default" w:ascii="Times New Roman" w:hAnsi="Times New Roman" w:eastAsia="宋体" w:cs="Times New Roman"/>
                      <w:sz w:val="18"/>
                      <w:szCs w:val="21"/>
                      <w:lang w:eastAsia="zh-CN"/>
                    </w:rPr>
                  </w:pPr>
                  <w:r>
                    <w:rPr>
                      <w:rFonts w:hint="default" w:ascii="Times New Roman" w:hAnsi="Times New Roman" w:eastAsia="宋体" w:cs="Times New Roman"/>
                      <w:sz w:val="18"/>
                      <w:szCs w:val="21"/>
                      <w:lang w:val="en-US" w:eastAsia="zh-CN"/>
                    </w:rPr>
                    <w:t>/</w:t>
                  </w:r>
                </w:p>
              </w:tc>
            </w:tr>
          </w:tbl>
          <w:p>
            <w:pPr>
              <w:adjustRightInd w:val="0"/>
              <w:snapToGrid w:val="0"/>
              <w:spacing w:line="500" w:lineRule="exact"/>
              <w:ind w:firstLine="422" w:firstLineChars="200"/>
              <w:rPr>
                <w:rFonts w:hint="default" w:ascii="Times New Roman" w:hAnsi="Times New Roman" w:eastAsia="宋体" w:cs="Times New Roman"/>
                <w:b/>
                <w:bCs/>
                <w:color w:val="auto"/>
                <w:szCs w:val="21"/>
                <w:lang w:val="en-US" w:eastAsia="zh-CN"/>
              </w:rPr>
            </w:pPr>
            <w:bookmarkStart w:id="4" w:name="_Hlk134556636"/>
            <w:r>
              <w:rPr>
                <w:rFonts w:hint="eastAsia" w:cs="Times New Roman"/>
                <w:b/>
                <w:bCs/>
                <w:color w:val="auto"/>
                <w:szCs w:val="21"/>
                <w:lang w:val="en-US" w:eastAsia="zh-CN"/>
              </w:rPr>
              <w:t>8</w:t>
            </w:r>
            <w:r>
              <w:rPr>
                <w:rFonts w:hint="eastAsia" w:ascii="Times New Roman" w:hAnsi="Times New Roman" w:eastAsia="宋体" w:cs="Times New Roman"/>
                <w:b/>
                <w:bCs/>
                <w:color w:val="auto"/>
                <w:szCs w:val="21"/>
                <w:lang w:val="en-US" w:eastAsia="zh-CN"/>
              </w:rPr>
              <w:t>、</w:t>
            </w:r>
            <w:r>
              <w:rPr>
                <w:rFonts w:hint="default" w:ascii="Times New Roman" w:hAnsi="Times New Roman" w:eastAsia="宋体" w:cs="Times New Roman"/>
                <w:b/>
                <w:bCs/>
                <w:color w:val="auto"/>
                <w:szCs w:val="21"/>
                <w:lang w:val="en-US" w:eastAsia="zh-CN"/>
              </w:rPr>
              <w:t>与《如皋市关于加强减污降碳协同推进重点行业绿色发展的实施方案》的通知（皋政办发〔2024〕</w:t>
            </w:r>
            <w:r>
              <w:rPr>
                <w:rFonts w:hint="eastAsia" w:ascii="Times New Roman" w:hAnsi="Times New Roman" w:eastAsia="宋体" w:cs="Times New Roman"/>
                <w:b/>
                <w:bCs/>
                <w:color w:val="auto"/>
                <w:szCs w:val="21"/>
                <w:lang w:val="en-US" w:eastAsia="zh-CN"/>
              </w:rPr>
              <w:t>85</w:t>
            </w:r>
            <w:r>
              <w:rPr>
                <w:rFonts w:hint="default" w:ascii="Times New Roman" w:hAnsi="Times New Roman" w:eastAsia="宋体" w:cs="Times New Roman"/>
                <w:b/>
                <w:bCs/>
                <w:color w:val="auto"/>
                <w:szCs w:val="21"/>
                <w:lang w:val="en-US" w:eastAsia="zh-CN"/>
              </w:rPr>
              <w:t>号）相符性分析</w:t>
            </w:r>
          </w:p>
          <w:bookmarkEnd w:id="4"/>
          <w:p>
            <w:pPr>
              <w:adjustRightInd w:val="0"/>
              <w:snapToGrid w:val="0"/>
              <w:spacing w:line="560" w:lineRule="exact"/>
              <w:ind w:firstLine="420" w:firstLineChars="200"/>
              <w:rPr>
                <w:rFonts w:ascii="Times New Roman" w:hAnsi="Times New Roman" w:eastAsia="仿宋_GB2312" w:cs="Times New Roman"/>
                <w:color w:val="auto"/>
                <w:kern w:val="0"/>
                <w:sz w:val="28"/>
                <w:szCs w:val="28"/>
              </w:rPr>
            </w:pPr>
            <w:r>
              <w:rPr>
                <w:rFonts w:hint="default" w:ascii="Times New Roman" w:hAnsi="Times New Roman" w:eastAsia="宋体" w:cs="Times New Roman"/>
                <w:b w:val="0"/>
                <w:bCs w:val="0"/>
                <w:color w:val="auto"/>
                <w:szCs w:val="21"/>
                <w:lang w:val="en-US" w:eastAsia="zh-CN"/>
              </w:rPr>
              <w:t>《如皋市关于加强减污降碳协同推进重点行业绿色发展的实施方案》的通知（皋政办发〔2024〕</w:t>
            </w:r>
            <w:r>
              <w:rPr>
                <w:rFonts w:hint="eastAsia" w:ascii="Times New Roman" w:hAnsi="Times New Roman" w:eastAsia="宋体" w:cs="Times New Roman"/>
                <w:b w:val="0"/>
                <w:bCs w:val="0"/>
                <w:color w:val="auto"/>
                <w:szCs w:val="21"/>
                <w:lang w:val="en-US" w:eastAsia="zh-CN"/>
              </w:rPr>
              <w:t>85</w:t>
            </w:r>
            <w:r>
              <w:rPr>
                <w:rFonts w:hint="default" w:ascii="Times New Roman" w:hAnsi="Times New Roman" w:eastAsia="宋体" w:cs="Times New Roman"/>
                <w:b w:val="0"/>
                <w:bCs w:val="0"/>
                <w:color w:val="auto"/>
                <w:szCs w:val="21"/>
                <w:lang w:val="en-US" w:eastAsia="zh-CN"/>
              </w:rPr>
              <w:t>号）装备制造要求：禁止引进纯电镀项目（为本地产业配套的“绿岛”类项目除外）；新、扩建排放含磷废水的阳极氧化项目应满足产业政策及所在园区规划环评准入门槛；新建含涉重电镀工序的企业原则上应进入涉重园区；新建电镀“绿岛”项目废水回用率≥40%；工艺、装备、清洁生产水平基本达到国际先进水平。现有电镀企业废水回用率≥35%。工业涂装企业的涂料使用应符合《低挥发性有机化合物含量涂料产品技术要求》规定的VOCs含量限值要求，新建含涂装工序项目清洁生产和能效水平基本达到国际先进水平，单位涂装面积VOCs排放量≤60g/m2；现有含涂装工序企业以单位涂装面积VOCs排放量≤80g/m</w:t>
            </w:r>
            <w:r>
              <w:rPr>
                <w:rFonts w:hint="default" w:ascii="Times New Roman" w:hAnsi="Times New Roman" w:eastAsia="宋体" w:cs="Times New Roman"/>
                <w:b w:val="0"/>
                <w:bCs w:val="0"/>
                <w:color w:val="auto"/>
                <w:szCs w:val="21"/>
                <w:vertAlign w:val="superscript"/>
                <w:lang w:val="en-US" w:eastAsia="zh-CN"/>
              </w:rPr>
              <w:t>2</w:t>
            </w:r>
            <w:r>
              <w:rPr>
                <w:rFonts w:hint="default" w:ascii="Times New Roman" w:hAnsi="Times New Roman" w:eastAsia="宋体" w:cs="Times New Roman"/>
                <w:b w:val="0"/>
                <w:bCs w:val="0"/>
                <w:color w:val="auto"/>
                <w:szCs w:val="21"/>
                <w:lang w:val="en-US" w:eastAsia="zh-CN"/>
              </w:rPr>
              <w:t>为目标限期提标改造。全面执行《铸造工业大气污染物排放标准》（GB 39726—2020），到2025年，铸造企业颗粒物污染排放量较2020年减少30%以上。推荐使用水性脱模剂；推进企业采用高效环保治理设施，强化无组织排放管控，提升铸造企业环保管理水平。</w:t>
            </w:r>
          </w:p>
          <w:p>
            <w:pPr>
              <w:adjustRightInd w:val="0"/>
              <w:snapToGrid w:val="0"/>
              <w:spacing w:line="560" w:lineRule="exact"/>
              <w:ind w:firstLine="420" w:firstLineChars="200"/>
              <w:rPr>
                <w:rFonts w:hint="default" w:ascii="Times New Roman" w:hAnsi="Times New Roman" w:eastAsia="宋体" w:cs="Times New Roman"/>
                <w:b w:val="0"/>
                <w:bCs w:val="0"/>
                <w:color w:val="auto"/>
                <w:szCs w:val="21"/>
                <w:lang w:val="en-US" w:eastAsia="zh-CN"/>
              </w:rPr>
            </w:pPr>
            <w:r>
              <w:rPr>
                <w:rFonts w:hint="default" w:ascii="Times New Roman" w:hAnsi="Times New Roman" w:eastAsia="宋体" w:cs="Times New Roman"/>
                <w:b w:val="0"/>
                <w:bCs w:val="0"/>
                <w:color w:val="auto"/>
                <w:szCs w:val="21"/>
                <w:lang w:val="en-US" w:eastAsia="zh-CN"/>
              </w:rPr>
              <w:t>本项目</w:t>
            </w:r>
            <w:r>
              <w:rPr>
                <w:rFonts w:hint="eastAsia" w:ascii="Times New Roman" w:hAnsi="Times New Roman" w:eastAsia="宋体" w:cs="Times New Roman"/>
                <w:b w:val="0"/>
                <w:bCs w:val="0"/>
                <w:color w:val="auto"/>
                <w:szCs w:val="21"/>
                <w:lang w:val="en-US" w:eastAsia="zh-CN"/>
              </w:rPr>
              <w:t>不属于</w:t>
            </w:r>
            <w:r>
              <w:rPr>
                <w:rFonts w:hint="default" w:ascii="Times New Roman" w:hAnsi="Times New Roman" w:eastAsia="宋体" w:cs="Times New Roman"/>
                <w:b w:val="0"/>
                <w:bCs w:val="0"/>
                <w:color w:val="auto"/>
                <w:szCs w:val="21"/>
                <w:lang w:val="en-US" w:eastAsia="zh-CN"/>
              </w:rPr>
              <w:t>电镀项目</w:t>
            </w:r>
            <w:r>
              <w:rPr>
                <w:rFonts w:hint="eastAsia" w:ascii="Times New Roman" w:hAnsi="Times New Roman" w:eastAsia="宋体" w:cs="Times New Roman"/>
                <w:b w:val="0"/>
                <w:bCs w:val="0"/>
                <w:color w:val="auto"/>
                <w:szCs w:val="21"/>
                <w:lang w:val="en-US" w:eastAsia="zh-CN"/>
              </w:rPr>
              <w:t>、</w:t>
            </w:r>
            <w:r>
              <w:rPr>
                <w:rFonts w:hint="default" w:ascii="Times New Roman" w:hAnsi="Times New Roman" w:eastAsia="宋体" w:cs="Times New Roman"/>
                <w:b w:val="0"/>
                <w:bCs w:val="0"/>
                <w:color w:val="auto"/>
                <w:szCs w:val="21"/>
                <w:lang w:val="en-US" w:eastAsia="zh-CN"/>
              </w:rPr>
              <w:t>阳极氧化项目</w:t>
            </w:r>
            <w:r>
              <w:rPr>
                <w:rFonts w:hint="eastAsia" w:ascii="Times New Roman" w:hAnsi="Times New Roman" w:eastAsia="宋体" w:cs="Times New Roman"/>
                <w:b w:val="0"/>
                <w:bCs w:val="0"/>
                <w:color w:val="auto"/>
                <w:szCs w:val="21"/>
                <w:lang w:val="en-US" w:eastAsia="zh-CN"/>
              </w:rPr>
              <w:t>，不属于</w:t>
            </w:r>
            <w:r>
              <w:rPr>
                <w:rFonts w:hint="default" w:ascii="Times New Roman" w:hAnsi="Times New Roman" w:eastAsia="宋体" w:cs="Times New Roman"/>
                <w:b w:val="0"/>
                <w:bCs w:val="0"/>
                <w:color w:val="auto"/>
                <w:szCs w:val="21"/>
                <w:lang w:val="en-US" w:eastAsia="zh-CN"/>
              </w:rPr>
              <w:t>铸造</w:t>
            </w:r>
            <w:r>
              <w:rPr>
                <w:rFonts w:hint="eastAsia" w:ascii="Times New Roman" w:hAnsi="Times New Roman" w:eastAsia="宋体" w:cs="Times New Roman"/>
                <w:b w:val="0"/>
                <w:bCs w:val="0"/>
                <w:color w:val="auto"/>
                <w:szCs w:val="21"/>
                <w:lang w:val="en-US" w:eastAsia="zh-CN"/>
              </w:rPr>
              <w:t>行业</w:t>
            </w:r>
            <w:r>
              <w:rPr>
                <w:rFonts w:hint="default" w:ascii="Times New Roman" w:hAnsi="Times New Roman" w:eastAsia="宋体" w:cs="Times New Roman"/>
                <w:b w:val="0"/>
                <w:bCs w:val="0"/>
                <w:color w:val="auto"/>
                <w:szCs w:val="21"/>
                <w:lang w:val="en-US" w:eastAsia="zh-CN"/>
              </w:rPr>
              <w:t>，</w:t>
            </w:r>
            <w:r>
              <w:rPr>
                <w:rFonts w:hint="eastAsia" w:ascii="Times New Roman" w:hAnsi="Times New Roman" w:eastAsia="宋体" w:cs="Times New Roman"/>
                <w:b w:val="0"/>
                <w:bCs w:val="0"/>
                <w:color w:val="auto"/>
                <w:szCs w:val="21"/>
                <w:lang w:val="en-US" w:eastAsia="zh-CN"/>
              </w:rPr>
              <w:t>不使用</w:t>
            </w:r>
            <w:r>
              <w:rPr>
                <w:rFonts w:hint="default" w:ascii="Times New Roman" w:hAnsi="Times New Roman" w:eastAsia="宋体" w:cs="Times New Roman"/>
                <w:b w:val="0"/>
                <w:bCs w:val="0"/>
                <w:color w:val="auto"/>
                <w:szCs w:val="21"/>
                <w:lang w:val="en-US" w:eastAsia="zh-CN"/>
              </w:rPr>
              <w:t>涂料</w:t>
            </w:r>
            <w:r>
              <w:rPr>
                <w:rFonts w:hint="eastAsia" w:ascii="Times New Roman" w:hAnsi="Times New Roman" w:eastAsia="宋体" w:cs="Times New Roman"/>
                <w:b w:val="0"/>
                <w:bCs w:val="0"/>
                <w:color w:val="auto"/>
                <w:szCs w:val="21"/>
                <w:lang w:val="en-US" w:eastAsia="zh-CN"/>
              </w:rPr>
              <w:t>，</w:t>
            </w:r>
            <w:r>
              <w:rPr>
                <w:rFonts w:hint="default" w:ascii="Times New Roman" w:hAnsi="Times New Roman" w:eastAsia="宋体" w:cs="Times New Roman"/>
                <w:b w:val="0"/>
                <w:bCs w:val="0"/>
                <w:color w:val="auto"/>
                <w:szCs w:val="21"/>
                <w:lang w:val="en-US" w:eastAsia="zh-CN"/>
              </w:rPr>
              <w:t>综上所述，本项目符合皋政办发〔2024〕</w:t>
            </w:r>
            <w:r>
              <w:rPr>
                <w:rFonts w:hint="eastAsia" w:ascii="Times New Roman" w:hAnsi="Times New Roman" w:eastAsia="宋体" w:cs="Times New Roman"/>
                <w:b w:val="0"/>
                <w:bCs w:val="0"/>
                <w:color w:val="auto"/>
                <w:szCs w:val="21"/>
                <w:lang w:val="en-US" w:eastAsia="zh-CN"/>
              </w:rPr>
              <w:t>85</w:t>
            </w:r>
            <w:r>
              <w:rPr>
                <w:rFonts w:hint="default" w:ascii="Times New Roman" w:hAnsi="Times New Roman" w:eastAsia="宋体" w:cs="Times New Roman"/>
                <w:b w:val="0"/>
                <w:bCs w:val="0"/>
                <w:color w:val="auto"/>
                <w:szCs w:val="21"/>
                <w:lang w:val="en-US" w:eastAsia="zh-CN"/>
              </w:rPr>
              <w:t>号文相关要求。</w:t>
            </w:r>
          </w:p>
          <w:p>
            <w:pPr>
              <w:adjustRightInd w:val="0"/>
              <w:snapToGrid w:val="0"/>
              <w:spacing w:line="500" w:lineRule="exact"/>
              <w:ind w:firstLine="422" w:firstLineChars="200"/>
              <w:rPr>
                <w:rFonts w:hint="default" w:ascii="Times New Roman" w:hAnsi="Times New Roman" w:eastAsia="宋体" w:cs="Times New Roman"/>
                <w:b/>
                <w:bCs/>
                <w:color w:val="auto"/>
                <w:szCs w:val="21"/>
                <w:lang w:val="en-US" w:eastAsia="zh-CN"/>
              </w:rPr>
            </w:pPr>
            <w:r>
              <w:rPr>
                <w:rFonts w:hint="eastAsia" w:cs="Times New Roman"/>
                <w:b/>
                <w:bCs/>
                <w:color w:val="auto"/>
                <w:szCs w:val="21"/>
                <w:lang w:val="en-US" w:eastAsia="zh-CN"/>
              </w:rPr>
              <w:t>9</w:t>
            </w:r>
            <w:r>
              <w:rPr>
                <w:rFonts w:hint="eastAsia" w:ascii="Times New Roman" w:hAnsi="Times New Roman" w:eastAsia="宋体" w:cs="Times New Roman"/>
                <w:b/>
                <w:bCs/>
                <w:color w:val="auto"/>
                <w:szCs w:val="21"/>
                <w:lang w:val="en-US" w:eastAsia="zh-CN"/>
              </w:rPr>
              <w:t>、与《江苏省工业废水与生活污水分质处理工作推进方案》相符性分析</w:t>
            </w:r>
          </w:p>
          <w:p>
            <w:pPr>
              <w:spacing w:line="500" w:lineRule="exact"/>
              <w:ind w:firstLine="422" w:firstLineChars="200"/>
              <w:jc w:val="center"/>
              <w:rPr>
                <w:rFonts w:hint="default" w:ascii="Times New Roman" w:hAnsi="Times New Roman" w:eastAsia="宋体" w:cs="Times New Roman"/>
                <w:b/>
                <w:color w:val="auto"/>
                <w:szCs w:val="21"/>
              </w:rPr>
            </w:pPr>
          </w:p>
          <w:p>
            <w:pPr>
              <w:spacing w:line="500" w:lineRule="exact"/>
              <w:ind w:firstLine="422" w:firstLineChars="200"/>
              <w:jc w:val="center"/>
              <w:rPr>
                <w:rFonts w:hint="default" w:ascii="Times New Roman" w:hAnsi="Times New Roman" w:eastAsia="宋体" w:cs="Times New Roman"/>
                <w:b/>
                <w:color w:val="auto"/>
                <w:szCs w:val="21"/>
              </w:rPr>
            </w:pPr>
          </w:p>
          <w:p>
            <w:pPr>
              <w:spacing w:line="500" w:lineRule="exact"/>
              <w:ind w:firstLine="422" w:firstLineChars="200"/>
              <w:jc w:val="center"/>
              <w:rPr>
                <w:rFonts w:hint="default" w:ascii="Times New Roman" w:hAnsi="Times New Roman" w:eastAsia="宋体" w:cs="Times New Roman"/>
                <w:b/>
                <w:color w:val="auto"/>
                <w:szCs w:val="21"/>
              </w:rPr>
            </w:pPr>
          </w:p>
          <w:p>
            <w:pPr>
              <w:spacing w:line="500" w:lineRule="exact"/>
              <w:ind w:firstLine="422" w:firstLineChars="200"/>
              <w:jc w:val="center"/>
              <w:rPr>
                <w:b/>
                <w:bCs/>
                <w:color w:val="auto"/>
              </w:rPr>
            </w:pPr>
            <w:r>
              <w:rPr>
                <w:rFonts w:hint="default" w:ascii="Times New Roman" w:hAnsi="Times New Roman" w:eastAsia="宋体" w:cs="Times New Roman"/>
                <w:b/>
                <w:color w:val="auto"/>
                <w:szCs w:val="21"/>
              </w:rPr>
              <w:t>表1-</w:t>
            </w:r>
            <w:r>
              <w:rPr>
                <w:rFonts w:hint="eastAsia" w:eastAsia="宋体" w:cs="Times New Roman"/>
                <w:b/>
                <w:color w:val="auto"/>
                <w:szCs w:val="21"/>
                <w:lang w:val="en-US" w:eastAsia="zh-CN"/>
              </w:rPr>
              <w:t>1</w:t>
            </w:r>
            <w:r>
              <w:rPr>
                <w:rFonts w:hint="eastAsia" w:cs="Times New Roman"/>
                <w:b/>
                <w:color w:val="auto"/>
                <w:szCs w:val="21"/>
                <w:lang w:val="en-US" w:eastAsia="zh-CN"/>
              </w:rPr>
              <w:t>3</w:t>
            </w:r>
            <w:r>
              <w:rPr>
                <w:rFonts w:hint="default" w:ascii="Times New Roman" w:hAnsi="Times New Roman" w:eastAsia="宋体" w:cs="Times New Roman"/>
                <w:b/>
                <w:color w:val="auto"/>
                <w:szCs w:val="21"/>
              </w:rPr>
              <w:t xml:space="preserve"> 与</w:t>
            </w:r>
            <w:r>
              <w:rPr>
                <w:rFonts w:hint="eastAsia" w:ascii="Times New Roman" w:hAnsi="Times New Roman" w:eastAsia="宋体" w:cs="Times New Roman"/>
                <w:b/>
                <w:color w:val="auto"/>
                <w:szCs w:val="21"/>
                <w:lang w:val="en-US" w:eastAsia="zh-CN"/>
              </w:rPr>
              <w:t>《江苏省工业废水与生活污水分质处理工作推进方案》相符性分析</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744"/>
              <w:gridCol w:w="2518"/>
              <w:gridCol w:w="7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722" w:type="dxa"/>
                  <w:noWrap w:val="0"/>
                  <w:vAlign w:val="center"/>
                </w:tcPr>
                <w:p>
                  <w:pPr>
                    <w:tabs>
                      <w:tab w:val="left" w:pos="6379"/>
                    </w:tabs>
                    <w:overflowPunct w:val="0"/>
                    <w:adjustRightInd w:val="0"/>
                    <w:snapToGrid w:val="0"/>
                    <w:jc w:val="center"/>
                    <w:rPr>
                      <w:b/>
                      <w:color w:val="auto"/>
                      <w:sz w:val="18"/>
                      <w:szCs w:val="21"/>
                    </w:rPr>
                  </w:pPr>
                  <w:r>
                    <w:rPr>
                      <w:rFonts w:hint="eastAsia"/>
                      <w:b/>
                      <w:color w:val="auto"/>
                      <w:sz w:val="18"/>
                      <w:szCs w:val="21"/>
                    </w:rPr>
                    <w:t>文件要求</w:t>
                  </w:r>
                </w:p>
              </w:tc>
              <w:tc>
                <w:tcPr>
                  <w:tcW w:w="2504" w:type="dxa"/>
                  <w:noWrap w:val="0"/>
                  <w:vAlign w:val="center"/>
                </w:tcPr>
                <w:p>
                  <w:pPr>
                    <w:tabs>
                      <w:tab w:val="left" w:pos="6379"/>
                    </w:tabs>
                    <w:overflowPunct w:val="0"/>
                    <w:adjustRightInd w:val="0"/>
                    <w:snapToGrid w:val="0"/>
                    <w:jc w:val="center"/>
                    <w:rPr>
                      <w:b/>
                      <w:color w:val="auto"/>
                      <w:sz w:val="18"/>
                      <w:szCs w:val="21"/>
                    </w:rPr>
                  </w:pPr>
                  <w:r>
                    <w:rPr>
                      <w:b/>
                      <w:color w:val="auto"/>
                      <w:sz w:val="18"/>
                      <w:szCs w:val="21"/>
                    </w:rPr>
                    <w:t>本项目情况</w:t>
                  </w:r>
                </w:p>
              </w:tc>
              <w:tc>
                <w:tcPr>
                  <w:tcW w:w="765" w:type="dxa"/>
                  <w:noWrap w:val="0"/>
                  <w:vAlign w:val="center"/>
                </w:tcPr>
                <w:p>
                  <w:pPr>
                    <w:tabs>
                      <w:tab w:val="left" w:pos="6379"/>
                    </w:tabs>
                    <w:overflowPunct w:val="0"/>
                    <w:adjustRightInd w:val="0"/>
                    <w:snapToGrid w:val="0"/>
                    <w:jc w:val="center"/>
                    <w:rPr>
                      <w:b/>
                      <w:color w:val="auto"/>
                      <w:sz w:val="18"/>
                      <w:szCs w:val="21"/>
                    </w:rPr>
                  </w:pPr>
                  <w:r>
                    <w:rPr>
                      <w:b/>
                      <w:color w:val="auto"/>
                      <w:sz w:val="18"/>
                      <w:szCs w:val="21"/>
                    </w:rPr>
                    <w:t>相符性分析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722" w:type="dxa"/>
                  <w:noWrap w:val="0"/>
                  <w:vAlign w:val="center"/>
                </w:tcPr>
                <w:p>
                  <w:pPr>
                    <w:tabs>
                      <w:tab w:val="left" w:pos="6379"/>
                    </w:tabs>
                    <w:overflowPunct w:val="0"/>
                    <w:adjustRightInd w:val="0"/>
                    <w:snapToGrid w:val="0"/>
                    <w:jc w:val="center"/>
                    <w:rPr>
                      <w:rFonts w:hint="eastAsia" w:ascii="Times New Roman" w:hAnsi="Times New Roman" w:eastAsia="宋体" w:cs="Times New Roman"/>
                      <w:color w:val="auto"/>
                      <w:sz w:val="18"/>
                      <w:szCs w:val="21"/>
                    </w:rPr>
                  </w:pPr>
                  <w:r>
                    <w:rPr>
                      <w:rFonts w:hint="eastAsia" w:ascii="Times New Roman" w:hAnsi="Times New Roman" w:eastAsia="宋体" w:cs="Times New Roman"/>
                      <w:color w:val="auto"/>
                      <w:sz w:val="18"/>
                      <w:szCs w:val="21"/>
                    </w:rPr>
                    <w:t>可生化优先原则：以下制造业工业企业，生产废水可生化性较好，有利于城镇污水处理厂提高处理效能，与城镇污水处理厂约定纳管标准限值、签订书面合同、变更排污及排水许可证内容、完成备案手续后可优先接入城镇污水处理厂：</w:t>
                  </w:r>
                </w:p>
                <w:p>
                  <w:pPr>
                    <w:tabs>
                      <w:tab w:val="left" w:pos="6379"/>
                    </w:tabs>
                    <w:overflowPunct w:val="0"/>
                    <w:adjustRightInd w:val="0"/>
                    <w:snapToGrid w:val="0"/>
                    <w:jc w:val="center"/>
                    <w:rPr>
                      <w:rFonts w:ascii="Times New Roman" w:hAnsi="Times New Roman" w:eastAsia="宋体" w:cs="Times New Roman"/>
                      <w:color w:val="auto"/>
                      <w:sz w:val="18"/>
                      <w:szCs w:val="21"/>
                    </w:rPr>
                  </w:pPr>
                  <w:r>
                    <w:rPr>
                      <w:rFonts w:hint="eastAsia" w:ascii="Times New Roman" w:hAnsi="Times New Roman" w:eastAsia="宋体" w:cs="Times New Roman"/>
                      <w:color w:val="auto"/>
                      <w:sz w:val="18"/>
                      <w:szCs w:val="21"/>
                    </w:rPr>
                    <w:t>1</w:t>
                  </w:r>
                  <w:r>
                    <w:rPr>
                      <w:rFonts w:hint="eastAsia" w:cs="Times New Roman"/>
                      <w:color w:val="auto"/>
                      <w:sz w:val="18"/>
                      <w:szCs w:val="21"/>
                      <w:lang w:eastAsia="zh-CN"/>
                    </w:rPr>
                    <w:t>）</w:t>
                  </w:r>
                  <w:r>
                    <w:rPr>
                      <w:rFonts w:hint="eastAsia" w:ascii="Times New Roman" w:hAnsi="Times New Roman" w:eastAsia="宋体" w:cs="Times New Roman"/>
                      <w:color w:val="auto"/>
                      <w:sz w:val="18"/>
                      <w:szCs w:val="21"/>
                    </w:rPr>
                    <w:t>发酵酒精和白酒、啤酒、味精、制糖工业</w:t>
                  </w:r>
                  <w:r>
                    <w:rPr>
                      <w:rFonts w:hint="eastAsia" w:cs="Times New Roman"/>
                      <w:color w:val="auto"/>
                      <w:sz w:val="18"/>
                      <w:szCs w:val="21"/>
                      <w:lang w:eastAsia="zh-CN"/>
                    </w:rPr>
                    <w:t>（</w:t>
                  </w:r>
                  <w:r>
                    <w:rPr>
                      <w:rFonts w:hint="eastAsia" w:ascii="Times New Roman" w:hAnsi="Times New Roman" w:eastAsia="宋体" w:cs="Times New Roman"/>
                      <w:color w:val="auto"/>
                      <w:sz w:val="18"/>
                      <w:szCs w:val="21"/>
                    </w:rPr>
                    <w:t>依据行业标准修改单和排污许可证技术规范，排放浓度可协商</w:t>
                  </w:r>
                  <w:r>
                    <w:rPr>
                      <w:rFonts w:hint="eastAsia" w:cs="Times New Roman"/>
                      <w:color w:val="auto"/>
                      <w:sz w:val="18"/>
                      <w:szCs w:val="21"/>
                      <w:lang w:eastAsia="zh-CN"/>
                    </w:rPr>
                    <w:t>）</w:t>
                  </w:r>
                  <w:r>
                    <w:rPr>
                      <w:rFonts w:hint="eastAsia" w:ascii="Times New Roman" w:hAnsi="Times New Roman" w:eastAsia="宋体" w:cs="Times New Roman"/>
                      <w:color w:val="auto"/>
                      <w:sz w:val="18"/>
                      <w:szCs w:val="21"/>
                    </w:rPr>
                    <w:t>；2</w:t>
                  </w:r>
                  <w:r>
                    <w:rPr>
                      <w:rFonts w:hint="eastAsia" w:cs="Times New Roman"/>
                      <w:color w:val="auto"/>
                      <w:sz w:val="18"/>
                      <w:szCs w:val="21"/>
                      <w:lang w:eastAsia="zh-CN"/>
                    </w:rPr>
                    <w:t>）</w:t>
                  </w:r>
                  <w:r>
                    <w:rPr>
                      <w:rFonts w:hint="eastAsia" w:ascii="Times New Roman" w:hAnsi="Times New Roman" w:eastAsia="宋体" w:cs="Times New Roman"/>
                      <w:color w:val="auto"/>
                      <w:sz w:val="18"/>
                      <w:szCs w:val="21"/>
                    </w:rPr>
                    <w:t>淀粉、酵母、柠檬酸工业</w:t>
                  </w:r>
                  <w:r>
                    <w:rPr>
                      <w:rFonts w:hint="eastAsia" w:cs="Times New Roman"/>
                      <w:color w:val="auto"/>
                      <w:sz w:val="18"/>
                      <w:szCs w:val="21"/>
                      <w:lang w:eastAsia="zh-CN"/>
                    </w:rPr>
                    <w:t>（</w:t>
                  </w:r>
                  <w:r>
                    <w:rPr>
                      <w:rFonts w:hint="eastAsia" w:ascii="Times New Roman" w:hAnsi="Times New Roman" w:eastAsia="宋体" w:cs="Times New Roman"/>
                      <w:color w:val="auto"/>
                      <w:sz w:val="18"/>
                      <w:szCs w:val="21"/>
                    </w:rPr>
                    <w:t>依据行业标准修改单征求意见稿，排放浓度可协商</w:t>
                  </w:r>
                  <w:r>
                    <w:rPr>
                      <w:rFonts w:hint="eastAsia" w:cs="Times New Roman"/>
                      <w:color w:val="auto"/>
                      <w:sz w:val="18"/>
                      <w:szCs w:val="21"/>
                      <w:lang w:eastAsia="zh-CN"/>
                    </w:rPr>
                    <w:t>）</w:t>
                  </w:r>
                  <w:r>
                    <w:rPr>
                      <w:rFonts w:hint="eastAsia" w:ascii="Times New Roman" w:hAnsi="Times New Roman" w:eastAsia="宋体" w:cs="Times New Roman"/>
                      <w:color w:val="auto"/>
                      <w:sz w:val="18"/>
                      <w:szCs w:val="21"/>
                    </w:rPr>
                    <w:t>3</w:t>
                  </w:r>
                  <w:r>
                    <w:rPr>
                      <w:rFonts w:hint="eastAsia" w:cs="Times New Roman"/>
                      <w:color w:val="auto"/>
                      <w:sz w:val="18"/>
                      <w:szCs w:val="21"/>
                      <w:lang w:eastAsia="zh-CN"/>
                    </w:rPr>
                    <w:t>）</w:t>
                  </w:r>
                  <w:r>
                    <w:rPr>
                      <w:rFonts w:hint="eastAsia" w:ascii="Times New Roman" w:hAnsi="Times New Roman" w:eastAsia="宋体" w:cs="Times New Roman"/>
                      <w:color w:val="auto"/>
                      <w:sz w:val="18"/>
                      <w:szCs w:val="21"/>
                    </w:rPr>
                    <w:t>肉类加工工业</w:t>
                  </w:r>
                  <w:r>
                    <w:rPr>
                      <w:rFonts w:hint="eastAsia" w:cs="Times New Roman"/>
                      <w:color w:val="auto"/>
                      <w:sz w:val="18"/>
                      <w:szCs w:val="21"/>
                      <w:lang w:eastAsia="zh-CN"/>
                    </w:rPr>
                    <w:t>（</w:t>
                  </w:r>
                  <w:r>
                    <w:rPr>
                      <w:rFonts w:hint="eastAsia" w:ascii="Times New Roman" w:hAnsi="Times New Roman" w:eastAsia="宋体" w:cs="Times New Roman"/>
                      <w:color w:val="auto"/>
                      <w:sz w:val="18"/>
                      <w:szCs w:val="21"/>
                    </w:rPr>
                    <w:t>依据行业标准，BODs 浓度可放宽至600mg/L，CODcr 浓度可放宽至1000mg/L</w:t>
                  </w:r>
                  <w:r>
                    <w:rPr>
                      <w:rFonts w:hint="eastAsia" w:cs="Times New Roman"/>
                      <w:color w:val="auto"/>
                      <w:sz w:val="18"/>
                      <w:szCs w:val="21"/>
                      <w:lang w:eastAsia="zh-CN"/>
                    </w:rPr>
                    <w:t>）</w:t>
                  </w:r>
                  <w:r>
                    <w:rPr>
                      <w:rFonts w:hint="eastAsia" w:ascii="Times New Roman" w:hAnsi="Times New Roman" w:eastAsia="宋体" w:cs="Times New Roman"/>
                      <w:color w:val="auto"/>
                      <w:sz w:val="18"/>
                      <w:szCs w:val="21"/>
                    </w:rPr>
                    <w:t>。</w:t>
                  </w:r>
                </w:p>
              </w:tc>
              <w:tc>
                <w:tcPr>
                  <w:tcW w:w="2504" w:type="dxa"/>
                  <w:noWrap w:val="0"/>
                  <w:vAlign w:val="center"/>
                </w:tcPr>
                <w:p>
                  <w:pPr>
                    <w:tabs>
                      <w:tab w:val="left" w:pos="6379"/>
                    </w:tabs>
                    <w:overflowPunct w:val="0"/>
                    <w:adjustRightInd w:val="0"/>
                    <w:snapToGrid w:val="0"/>
                    <w:jc w:val="center"/>
                    <w:rPr>
                      <w:rFonts w:ascii="Times New Roman" w:hAnsi="Times New Roman" w:eastAsia="宋体" w:cs="Times New Roman"/>
                      <w:color w:val="auto"/>
                      <w:sz w:val="18"/>
                      <w:szCs w:val="21"/>
                    </w:rPr>
                  </w:pPr>
                  <w:r>
                    <w:rPr>
                      <w:rFonts w:hint="eastAsia" w:ascii="Times New Roman" w:hAnsi="Times New Roman" w:eastAsia="宋体" w:cs="Times New Roman"/>
                      <w:color w:val="auto"/>
                      <w:sz w:val="18"/>
                      <w:szCs w:val="21"/>
                    </w:rPr>
                    <w:t>本项目属于</w:t>
                  </w:r>
                  <w:r>
                    <w:rPr>
                      <w:rFonts w:hint="eastAsia" w:ascii="Times New Roman" w:hAnsi="Times New Roman" w:eastAsia="宋体" w:cs="Times New Roman"/>
                      <w:color w:val="auto"/>
                      <w:sz w:val="18"/>
                      <w:szCs w:val="21"/>
                      <w:lang w:val="en-US" w:eastAsia="zh-CN"/>
                    </w:rPr>
                    <w:t>C3393锻件及粉末冶金制品制造</w:t>
                  </w:r>
                  <w:r>
                    <w:rPr>
                      <w:rFonts w:hint="eastAsia" w:ascii="Times New Roman" w:hAnsi="Times New Roman" w:eastAsia="宋体" w:cs="Times New Roman"/>
                      <w:color w:val="auto"/>
                      <w:sz w:val="18"/>
                      <w:szCs w:val="21"/>
                    </w:rPr>
                    <w:t>，不属于发酵酒精和白酒、啤酒、味精、制糖工业，不属于淀粉、酵母、柠檬酸工业，不属于肉类加工工业。</w:t>
                  </w:r>
                </w:p>
              </w:tc>
              <w:tc>
                <w:tcPr>
                  <w:tcW w:w="765" w:type="dxa"/>
                  <w:noWrap w:val="0"/>
                  <w:vAlign w:val="center"/>
                </w:tcPr>
                <w:p>
                  <w:pPr>
                    <w:tabs>
                      <w:tab w:val="left" w:pos="6379"/>
                    </w:tabs>
                    <w:overflowPunct w:val="0"/>
                    <w:adjustRightInd w:val="0"/>
                    <w:snapToGrid w:val="0"/>
                    <w:jc w:val="center"/>
                    <w:rPr>
                      <w:color w:val="auto"/>
                      <w:sz w:val="18"/>
                      <w:szCs w:val="21"/>
                    </w:rPr>
                  </w:pPr>
                  <w:r>
                    <w:rPr>
                      <w:color w:val="auto"/>
                      <w:sz w:val="18"/>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722" w:type="dxa"/>
                  <w:noWrap w:val="0"/>
                  <w:vAlign w:val="center"/>
                </w:tcPr>
                <w:p>
                  <w:pPr>
                    <w:tabs>
                      <w:tab w:val="left" w:pos="6379"/>
                    </w:tabs>
                    <w:overflowPunct w:val="0"/>
                    <w:adjustRightInd w:val="0"/>
                    <w:snapToGrid w:val="0"/>
                    <w:jc w:val="center"/>
                    <w:rPr>
                      <w:color w:val="auto"/>
                      <w:sz w:val="18"/>
                      <w:szCs w:val="21"/>
                    </w:rPr>
                  </w:pPr>
                  <w:r>
                    <w:rPr>
                      <w:rFonts w:hint="eastAsia"/>
                      <w:color w:val="auto"/>
                      <w:sz w:val="18"/>
                      <w:szCs w:val="21"/>
                    </w:rPr>
                    <w:t>纳管浓度达标原则：工业企业排放的常规和特征污染物浓度均需达到相应的纳管标准和协议要求，其中部分行业污染物按照行业排放标准要求须达到直接排放限值，方可接入城镇污水处理厂。</w:t>
                  </w:r>
                </w:p>
              </w:tc>
              <w:tc>
                <w:tcPr>
                  <w:tcW w:w="2504" w:type="dxa"/>
                  <w:noWrap w:val="0"/>
                  <w:vAlign w:val="center"/>
                </w:tcPr>
                <w:p>
                  <w:pPr>
                    <w:tabs>
                      <w:tab w:val="left" w:pos="6379"/>
                    </w:tabs>
                    <w:overflowPunct w:val="0"/>
                    <w:adjustRightInd w:val="0"/>
                    <w:snapToGrid w:val="0"/>
                    <w:jc w:val="center"/>
                    <w:rPr>
                      <w:rFonts w:hint="eastAsia" w:eastAsia="宋体"/>
                      <w:color w:val="auto"/>
                      <w:sz w:val="18"/>
                      <w:szCs w:val="21"/>
                      <w:lang w:eastAsia="zh-CN"/>
                    </w:rPr>
                  </w:pPr>
                  <w:r>
                    <w:rPr>
                      <w:rFonts w:hint="eastAsia"/>
                      <w:color w:val="auto"/>
                      <w:sz w:val="18"/>
                      <w:szCs w:val="21"/>
                    </w:rPr>
                    <w:t>本项目</w:t>
                  </w:r>
                  <w:r>
                    <w:rPr>
                      <w:rFonts w:hint="eastAsia"/>
                      <w:color w:val="auto"/>
                      <w:sz w:val="18"/>
                      <w:szCs w:val="21"/>
                      <w:lang w:eastAsia="zh-CN"/>
                    </w:rPr>
                    <w:t>生产废水为冷却水，废水</w:t>
                  </w:r>
                  <w:r>
                    <w:rPr>
                      <w:rFonts w:hint="eastAsia"/>
                      <w:color w:val="auto"/>
                      <w:sz w:val="18"/>
                      <w:szCs w:val="21"/>
                    </w:rPr>
                    <w:t>排放不涉及特征污染物，项目接管标准执行</w:t>
                  </w:r>
                  <w:r>
                    <w:rPr>
                      <w:rFonts w:hint="eastAsia" w:eastAsia="宋体"/>
                      <w:color w:val="auto"/>
                      <w:sz w:val="18"/>
                      <w:szCs w:val="21"/>
                      <w:lang w:val="en-US" w:eastAsia="zh-CN"/>
                    </w:rPr>
                    <w:t>如皋市富港水处理有限公司</w:t>
                  </w:r>
                  <w:r>
                    <w:rPr>
                      <w:rFonts w:hint="eastAsia" w:eastAsia="宋体"/>
                      <w:color w:val="auto"/>
                      <w:sz w:val="18"/>
                      <w:szCs w:val="21"/>
                    </w:rPr>
                    <w:t>接管标准</w:t>
                  </w:r>
                  <w:r>
                    <w:rPr>
                      <w:rFonts w:hint="eastAsia" w:eastAsia="宋体"/>
                      <w:color w:val="auto"/>
                      <w:sz w:val="18"/>
                      <w:szCs w:val="21"/>
                      <w:lang w:eastAsia="zh-CN"/>
                    </w:rPr>
                    <w:t>。</w:t>
                  </w:r>
                </w:p>
              </w:tc>
              <w:tc>
                <w:tcPr>
                  <w:tcW w:w="765" w:type="dxa"/>
                  <w:noWrap w:val="0"/>
                  <w:vAlign w:val="center"/>
                </w:tcPr>
                <w:p>
                  <w:pPr>
                    <w:tabs>
                      <w:tab w:val="left" w:pos="6379"/>
                    </w:tabs>
                    <w:overflowPunct w:val="0"/>
                    <w:adjustRightInd w:val="0"/>
                    <w:snapToGrid w:val="0"/>
                    <w:jc w:val="center"/>
                    <w:rPr>
                      <w:color w:val="auto"/>
                      <w:sz w:val="18"/>
                      <w:szCs w:val="21"/>
                    </w:rPr>
                  </w:pPr>
                  <w:r>
                    <w:rPr>
                      <w:color w:val="auto"/>
                      <w:sz w:val="18"/>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722" w:type="dxa"/>
                  <w:noWrap w:val="0"/>
                  <w:vAlign w:val="center"/>
                </w:tcPr>
                <w:p>
                  <w:pPr>
                    <w:tabs>
                      <w:tab w:val="left" w:pos="6379"/>
                    </w:tabs>
                    <w:overflowPunct w:val="0"/>
                    <w:adjustRightInd w:val="0"/>
                    <w:snapToGrid w:val="0"/>
                    <w:jc w:val="center"/>
                    <w:rPr>
                      <w:color w:val="auto"/>
                      <w:sz w:val="18"/>
                      <w:szCs w:val="21"/>
                    </w:rPr>
                  </w:pPr>
                  <w:r>
                    <w:rPr>
                      <w:rFonts w:hint="eastAsia"/>
                      <w:color w:val="auto"/>
                      <w:sz w:val="18"/>
                      <w:szCs w:val="21"/>
                    </w:rPr>
                    <w:t>总量达标双控原则：纳管工业企业其排放的废水和污染物总量，不得高于环评报告及批复、排污及排水许可证等核定的纳管总量控制限值；城镇污水处理厂排放的某一项特征污染物的总量不得高于所有纳管工业企业按照相应标准直接排放限值核算的该项特征污染物排放总量之和。</w:t>
                  </w:r>
                </w:p>
              </w:tc>
              <w:tc>
                <w:tcPr>
                  <w:tcW w:w="2504" w:type="dxa"/>
                  <w:noWrap w:val="0"/>
                  <w:vAlign w:val="center"/>
                </w:tcPr>
                <w:p>
                  <w:pPr>
                    <w:tabs>
                      <w:tab w:val="left" w:pos="6379"/>
                    </w:tabs>
                    <w:overflowPunct w:val="0"/>
                    <w:adjustRightInd w:val="0"/>
                    <w:snapToGrid w:val="0"/>
                    <w:jc w:val="center"/>
                    <w:rPr>
                      <w:color w:val="auto"/>
                      <w:sz w:val="18"/>
                      <w:szCs w:val="21"/>
                    </w:rPr>
                  </w:pPr>
                  <w:r>
                    <w:rPr>
                      <w:rFonts w:hint="eastAsia"/>
                      <w:color w:val="auto"/>
                      <w:sz w:val="18"/>
                      <w:szCs w:val="21"/>
                    </w:rPr>
                    <w:t>项目建成后排放废水和污染物总量严格按照环评报告及批复、排污及排水许可证等核定的纳管总量控制限值执行。</w:t>
                  </w:r>
                </w:p>
              </w:tc>
              <w:tc>
                <w:tcPr>
                  <w:tcW w:w="765" w:type="dxa"/>
                  <w:noWrap w:val="0"/>
                  <w:vAlign w:val="center"/>
                </w:tcPr>
                <w:p>
                  <w:pPr>
                    <w:overflowPunct w:val="0"/>
                    <w:adjustRightInd w:val="0"/>
                    <w:snapToGrid w:val="0"/>
                    <w:jc w:val="center"/>
                    <w:rPr>
                      <w:color w:val="auto"/>
                      <w:sz w:val="18"/>
                      <w:szCs w:val="21"/>
                    </w:rPr>
                  </w:pPr>
                  <w:r>
                    <w:rPr>
                      <w:color w:val="auto"/>
                      <w:sz w:val="18"/>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722" w:type="dxa"/>
                  <w:noWrap w:val="0"/>
                  <w:vAlign w:val="center"/>
                </w:tcPr>
                <w:p>
                  <w:pPr>
                    <w:tabs>
                      <w:tab w:val="left" w:pos="6379"/>
                    </w:tabs>
                    <w:overflowPunct w:val="0"/>
                    <w:adjustRightInd w:val="0"/>
                    <w:snapToGrid w:val="0"/>
                    <w:jc w:val="center"/>
                    <w:rPr>
                      <w:color w:val="auto"/>
                      <w:sz w:val="18"/>
                      <w:szCs w:val="21"/>
                    </w:rPr>
                  </w:pPr>
                  <w:r>
                    <w:rPr>
                      <w:rFonts w:hint="eastAsia"/>
                      <w:color w:val="auto"/>
                      <w:sz w:val="18"/>
                      <w:szCs w:val="21"/>
                    </w:rPr>
                    <w:t>工业废水限量纳管原则：工业废水总量超过1万吨/日的省级以上工业园区，或者工业废水纳管量占比超过40%的城镇污水处理厂所在区域，原则上应配套专业的工业废水处理厂。</w:t>
                  </w:r>
                </w:p>
              </w:tc>
              <w:tc>
                <w:tcPr>
                  <w:tcW w:w="2504" w:type="dxa"/>
                  <w:noWrap w:val="0"/>
                  <w:vAlign w:val="center"/>
                </w:tcPr>
                <w:p>
                  <w:pPr>
                    <w:tabs>
                      <w:tab w:val="left" w:pos="6379"/>
                    </w:tabs>
                    <w:overflowPunct w:val="0"/>
                    <w:adjustRightInd w:val="0"/>
                    <w:snapToGrid w:val="0"/>
                    <w:jc w:val="center"/>
                    <w:rPr>
                      <w:rFonts w:hint="eastAsia" w:eastAsia="宋体"/>
                      <w:color w:val="auto"/>
                      <w:sz w:val="18"/>
                      <w:szCs w:val="21"/>
                      <w:lang w:val="en-US" w:eastAsia="zh-CN"/>
                    </w:rPr>
                  </w:pPr>
                  <w:r>
                    <w:rPr>
                      <w:rFonts w:hint="eastAsia"/>
                      <w:color w:val="auto"/>
                      <w:sz w:val="18"/>
                      <w:szCs w:val="21"/>
                      <w:lang w:val="en-US" w:eastAsia="zh-CN"/>
                    </w:rPr>
                    <w:t>不属于</w:t>
                  </w:r>
                  <w:r>
                    <w:rPr>
                      <w:rFonts w:hint="eastAsia"/>
                      <w:color w:val="auto"/>
                      <w:sz w:val="18"/>
                      <w:szCs w:val="21"/>
                    </w:rPr>
                    <w:t>工业废水总量超过1万吨/日的省级以上工业园区，或者工业废水纳管量占比超过40%的城镇污水处理厂所在区域</w:t>
                  </w:r>
                  <w:r>
                    <w:rPr>
                      <w:rFonts w:hint="eastAsia"/>
                      <w:color w:val="auto"/>
                      <w:sz w:val="18"/>
                      <w:szCs w:val="21"/>
                      <w:lang w:eastAsia="zh-CN"/>
                    </w:rPr>
                    <w:t>项目</w:t>
                  </w:r>
                </w:p>
              </w:tc>
              <w:tc>
                <w:tcPr>
                  <w:tcW w:w="765" w:type="dxa"/>
                  <w:noWrap w:val="0"/>
                  <w:vAlign w:val="center"/>
                </w:tcPr>
                <w:p>
                  <w:pPr>
                    <w:overflowPunct w:val="0"/>
                    <w:adjustRightInd w:val="0"/>
                    <w:snapToGrid w:val="0"/>
                    <w:jc w:val="center"/>
                    <w:rPr>
                      <w:color w:val="auto"/>
                      <w:sz w:val="18"/>
                      <w:szCs w:val="21"/>
                    </w:rPr>
                  </w:pPr>
                  <w:r>
                    <w:rPr>
                      <w:color w:val="auto"/>
                      <w:sz w:val="18"/>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722" w:type="dxa"/>
                  <w:noWrap w:val="0"/>
                  <w:vAlign w:val="center"/>
                </w:tcPr>
                <w:p>
                  <w:pPr>
                    <w:tabs>
                      <w:tab w:val="left" w:pos="6379"/>
                    </w:tabs>
                    <w:overflowPunct w:val="0"/>
                    <w:adjustRightInd w:val="0"/>
                    <w:snapToGrid w:val="0"/>
                    <w:jc w:val="center"/>
                    <w:rPr>
                      <w:color w:val="auto"/>
                      <w:sz w:val="18"/>
                      <w:szCs w:val="21"/>
                    </w:rPr>
                  </w:pPr>
                  <w:r>
                    <w:rPr>
                      <w:rFonts w:hint="eastAsia"/>
                      <w:color w:val="auto"/>
                      <w:sz w:val="18"/>
                      <w:szCs w:val="21"/>
                    </w:rPr>
                    <w:t>污水处理厂稳定运行原则：纳管的工业企业废水不得影响城镇污水处理厂的稳定运行和达标排放，污水处理厂出现受纳管工业废水冲击负荷影响导致排水超标或者进水可生化污染物浓度过低时，应强化纳管企业的退出管控力度。</w:t>
                  </w:r>
                </w:p>
              </w:tc>
              <w:tc>
                <w:tcPr>
                  <w:tcW w:w="2504" w:type="dxa"/>
                  <w:noWrap w:val="0"/>
                  <w:vAlign w:val="center"/>
                </w:tcPr>
                <w:p>
                  <w:pPr>
                    <w:tabs>
                      <w:tab w:val="left" w:pos="6379"/>
                    </w:tabs>
                    <w:overflowPunct w:val="0"/>
                    <w:adjustRightInd w:val="0"/>
                    <w:snapToGrid w:val="0"/>
                    <w:jc w:val="center"/>
                    <w:rPr>
                      <w:rFonts w:hint="eastAsia" w:eastAsia="宋体"/>
                      <w:color w:val="auto"/>
                      <w:sz w:val="18"/>
                      <w:szCs w:val="21"/>
                      <w:lang w:eastAsia="zh-CN"/>
                    </w:rPr>
                  </w:pPr>
                  <w:r>
                    <w:rPr>
                      <w:rFonts w:hint="eastAsia" w:ascii="Times New Roman" w:hAnsi="Times New Roman" w:cs="Times New Roman"/>
                      <w:color w:val="auto"/>
                      <w:sz w:val="18"/>
                      <w:szCs w:val="21"/>
                      <w:lang w:eastAsia="zh-CN"/>
                    </w:rPr>
                    <w:t>本项目</w:t>
                  </w:r>
                  <w:r>
                    <w:rPr>
                      <w:rFonts w:hint="eastAsia" w:cs="Times New Roman"/>
                      <w:color w:val="auto"/>
                      <w:sz w:val="18"/>
                      <w:szCs w:val="21"/>
                      <w:lang w:eastAsia="zh-CN"/>
                    </w:rPr>
                    <w:t>生产废水为冷却水，</w:t>
                  </w:r>
                  <w:r>
                    <w:rPr>
                      <w:rFonts w:hint="eastAsia" w:ascii="Times New Roman" w:hAnsi="Times New Roman" w:cs="Times New Roman"/>
                      <w:color w:val="auto"/>
                      <w:sz w:val="18"/>
                      <w:szCs w:val="21"/>
                      <w:lang w:eastAsia="zh-CN"/>
                    </w:rPr>
                    <w:t>废水水质简单，不会影响城镇污水处理厂的稳定运行和达标排放</w:t>
                  </w:r>
                </w:p>
              </w:tc>
              <w:tc>
                <w:tcPr>
                  <w:tcW w:w="765" w:type="dxa"/>
                  <w:noWrap w:val="0"/>
                  <w:vAlign w:val="center"/>
                </w:tcPr>
                <w:p>
                  <w:pPr>
                    <w:tabs>
                      <w:tab w:val="left" w:pos="6379"/>
                    </w:tabs>
                    <w:overflowPunct w:val="0"/>
                    <w:adjustRightInd w:val="0"/>
                    <w:snapToGrid w:val="0"/>
                    <w:jc w:val="center"/>
                    <w:rPr>
                      <w:color w:val="auto"/>
                      <w:sz w:val="18"/>
                      <w:szCs w:val="21"/>
                    </w:rPr>
                  </w:pPr>
                  <w:r>
                    <w:rPr>
                      <w:color w:val="auto"/>
                      <w:sz w:val="18"/>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722" w:type="dxa"/>
                  <w:noWrap w:val="0"/>
                  <w:vAlign w:val="center"/>
                </w:tcPr>
                <w:p>
                  <w:pPr>
                    <w:tabs>
                      <w:tab w:val="left" w:pos="6379"/>
                    </w:tabs>
                    <w:overflowPunct w:val="0"/>
                    <w:adjustRightInd w:val="0"/>
                    <w:snapToGrid w:val="0"/>
                    <w:jc w:val="center"/>
                    <w:rPr>
                      <w:color w:val="auto"/>
                      <w:sz w:val="18"/>
                      <w:szCs w:val="21"/>
                    </w:rPr>
                  </w:pPr>
                  <w:r>
                    <w:rPr>
                      <w:rFonts w:hint="eastAsia"/>
                      <w:color w:val="auto"/>
                      <w:sz w:val="18"/>
                      <w:szCs w:val="21"/>
                    </w:rPr>
                    <w:t>环境质量达标原则：区域内国省考断面、水源地等敏感水域不得出现氟化物、挥发酚等特征污染物检出超标情况，否则应强化对上游汇水区域范围内排放上述特征污染物纳管企业的退出管控力度。</w:t>
                  </w:r>
                  <w:r>
                    <w:rPr>
                      <w:color w:val="auto"/>
                      <w:sz w:val="18"/>
                      <w:szCs w:val="21"/>
                    </w:rPr>
                    <w:cr/>
                  </w:r>
                </w:p>
              </w:tc>
              <w:tc>
                <w:tcPr>
                  <w:tcW w:w="2504" w:type="dxa"/>
                  <w:noWrap w:val="0"/>
                  <w:vAlign w:val="center"/>
                </w:tcPr>
                <w:p>
                  <w:pPr>
                    <w:tabs>
                      <w:tab w:val="left" w:pos="6379"/>
                    </w:tabs>
                    <w:overflowPunct w:val="0"/>
                    <w:adjustRightInd w:val="0"/>
                    <w:snapToGrid w:val="0"/>
                    <w:jc w:val="center"/>
                    <w:rPr>
                      <w:color w:val="auto"/>
                      <w:sz w:val="18"/>
                      <w:szCs w:val="21"/>
                    </w:rPr>
                  </w:pPr>
                  <w:r>
                    <w:rPr>
                      <w:rFonts w:hint="eastAsia"/>
                      <w:color w:val="auto"/>
                      <w:sz w:val="18"/>
                      <w:szCs w:val="21"/>
                    </w:rPr>
                    <w:t>本项目废水不涉及特征污染物。</w:t>
                  </w:r>
                  <w:r>
                    <w:rPr>
                      <w:color w:val="auto"/>
                      <w:sz w:val="18"/>
                      <w:szCs w:val="21"/>
                    </w:rPr>
                    <w:cr/>
                  </w:r>
                </w:p>
              </w:tc>
              <w:tc>
                <w:tcPr>
                  <w:tcW w:w="765" w:type="dxa"/>
                  <w:noWrap w:val="0"/>
                  <w:vAlign w:val="center"/>
                </w:tcPr>
                <w:p>
                  <w:pPr>
                    <w:tabs>
                      <w:tab w:val="left" w:pos="6379"/>
                    </w:tabs>
                    <w:overflowPunct w:val="0"/>
                    <w:adjustRightInd w:val="0"/>
                    <w:snapToGrid w:val="0"/>
                    <w:jc w:val="center"/>
                    <w:rPr>
                      <w:color w:val="auto"/>
                      <w:sz w:val="18"/>
                      <w:szCs w:val="21"/>
                    </w:rPr>
                  </w:pPr>
                  <w:r>
                    <w:rPr>
                      <w:color w:val="auto"/>
                      <w:sz w:val="18"/>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722" w:type="dxa"/>
                  <w:noWrap w:val="0"/>
                  <w:vAlign w:val="center"/>
                </w:tcPr>
                <w:p>
                  <w:pPr>
                    <w:tabs>
                      <w:tab w:val="left" w:pos="6379"/>
                    </w:tabs>
                    <w:overflowPunct w:val="0"/>
                    <w:adjustRightInd w:val="0"/>
                    <w:snapToGrid w:val="0"/>
                    <w:jc w:val="center"/>
                    <w:rPr>
                      <w:color w:val="auto"/>
                      <w:sz w:val="18"/>
                      <w:szCs w:val="21"/>
                    </w:rPr>
                  </w:pPr>
                  <w:r>
                    <w:rPr>
                      <w:rFonts w:hint="eastAsia"/>
                      <w:color w:val="auto"/>
                      <w:sz w:val="18"/>
                      <w:szCs w:val="21"/>
                    </w:rPr>
                    <w:t>污水处理厂出水负责原则：城镇污水处理厂及其运营单位，对城镇污水集中处理设施的出水水质负责，应积极参与纳管企业水质水量对污水处理设施正常运行影响的评估工作，认为其生产废水含有污染物不能被污水处理设施有效处理或者可能影响污水处理设施出水稳定达标的，应及时报城镇排水主管部门和生态环境部门。</w:t>
                  </w:r>
                </w:p>
              </w:tc>
              <w:tc>
                <w:tcPr>
                  <w:tcW w:w="2504" w:type="dxa"/>
                  <w:noWrap w:val="0"/>
                  <w:vAlign w:val="center"/>
                </w:tcPr>
                <w:p>
                  <w:pPr>
                    <w:tabs>
                      <w:tab w:val="left" w:pos="6379"/>
                    </w:tabs>
                    <w:overflowPunct w:val="0"/>
                    <w:adjustRightInd w:val="0"/>
                    <w:snapToGrid w:val="0"/>
                    <w:jc w:val="center"/>
                    <w:rPr>
                      <w:color w:val="auto"/>
                      <w:sz w:val="18"/>
                      <w:szCs w:val="21"/>
                    </w:rPr>
                  </w:pPr>
                  <w:r>
                    <w:rPr>
                      <w:rFonts w:hint="eastAsia"/>
                      <w:color w:val="auto"/>
                      <w:sz w:val="18"/>
                      <w:szCs w:val="21"/>
                    </w:rPr>
                    <w:t>本项目废水不涉及含有污染物不能被污水处理设施有效处理或者可能影响污水处理设施出水稳定达标的。</w:t>
                  </w:r>
                </w:p>
              </w:tc>
              <w:tc>
                <w:tcPr>
                  <w:tcW w:w="765" w:type="dxa"/>
                  <w:noWrap w:val="0"/>
                  <w:vAlign w:val="center"/>
                </w:tcPr>
                <w:p>
                  <w:pPr>
                    <w:tabs>
                      <w:tab w:val="left" w:pos="6379"/>
                    </w:tabs>
                    <w:overflowPunct w:val="0"/>
                    <w:adjustRightInd w:val="0"/>
                    <w:snapToGrid w:val="0"/>
                    <w:jc w:val="center"/>
                    <w:rPr>
                      <w:rFonts w:hint="eastAsia" w:eastAsia="宋体"/>
                      <w:color w:val="auto"/>
                      <w:sz w:val="18"/>
                      <w:szCs w:val="21"/>
                      <w:lang w:eastAsia="zh-CN"/>
                    </w:rPr>
                  </w:pPr>
                  <w:r>
                    <w:rPr>
                      <w:rFonts w:hint="eastAsia"/>
                      <w:color w:val="auto"/>
                      <w:sz w:val="18"/>
                      <w:szCs w:val="21"/>
                      <w:lang w:eastAsia="zh-CN"/>
                    </w:rPr>
                    <w:t>符合</w:t>
                  </w:r>
                </w:p>
              </w:tc>
            </w:tr>
          </w:tbl>
          <w:p>
            <w:pPr>
              <w:adjustRightInd w:val="0"/>
              <w:snapToGrid w:val="0"/>
              <w:spacing w:line="500" w:lineRule="exact"/>
              <w:ind w:firstLine="422" w:firstLineChars="200"/>
              <w:rPr>
                <w:b/>
                <w:sz w:val="24"/>
                <w:szCs w:val="28"/>
              </w:rPr>
            </w:pPr>
            <w:r>
              <w:rPr>
                <w:rFonts w:hint="eastAsia" w:ascii="Times New Roman" w:hAnsi="Times New Roman" w:eastAsia="宋体" w:cs="Times New Roman"/>
                <w:b/>
                <w:bCs/>
                <w:color w:val="auto"/>
                <w:szCs w:val="21"/>
                <w:lang w:val="en-US" w:eastAsia="zh-CN"/>
              </w:rPr>
              <w:t>10、与《江苏省通榆河水污染防治条例》相符性分析</w:t>
            </w:r>
          </w:p>
          <w:p>
            <w:pPr>
              <w:keepNext w:val="0"/>
              <w:keepLines w:val="0"/>
              <w:pageBreakBefore w:val="0"/>
              <w:widowControl w:val="0"/>
              <w:kinsoku/>
              <w:wordWrap/>
              <w:overflowPunct/>
              <w:topLinePunct w:val="0"/>
              <w:autoSpaceDE/>
              <w:autoSpaceDN/>
              <w:bidi w:val="0"/>
              <w:spacing w:line="500" w:lineRule="exact"/>
              <w:ind w:firstLine="420" w:firstLineChars="200"/>
              <w:jc w:val="both"/>
              <w:textAlignment w:val="auto"/>
              <w:rPr>
                <w:rFonts w:hint="default" w:ascii="Times New Roman" w:hAnsi="Times New Roman" w:eastAsia="宋体" w:cs="Times New Roman"/>
                <w:b w:val="0"/>
                <w:bCs w:val="0"/>
                <w:color w:val="auto"/>
                <w:szCs w:val="21"/>
                <w:lang w:val="en-US" w:eastAsia="zh-CN"/>
              </w:rPr>
            </w:pPr>
            <w:r>
              <w:rPr>
                <w:rFonts w:hint="default" w:ascii="Times New Roman" w:hAnsi="Times New Roman" w:eastAsia="宋体" w:cs="Times New Roman"/>
                <w:b w:val="0"/>
                <w:bCs w:val="0"/>
                <w:color w:val="auto"/>
                <w:szCs w:val="21"/>
                <w:lang w:val="en-US" w:eastAsia="zh-CN"/>
              </w:rPr>
              <w:t>为了防治通榆河水污染，江苏省人民代表大会常务委员会发布的《江苏省通榆河水污染防治条例》中指出：“通榆河及其两侧各一公里、主要供水河道及其两侧各一公里区域为通榆河一级保护区；新沂河南偏泓、盐河和斗龙港、新洋港、黄沙港、射阳河、车路河、沂南小河、沭新河等与通榆河平交的主要河道上溯五公里以及沿岸两侧各一公里区域为通榆河二级保护区；其他与通榆河平交的河道上溯五公里以及沿岸两侧各一公里区域为通榆河三级保护区”。</w:t>
            </w:r>
          </w:p>
          <w:p>
            <w:pPr>
              <w:keepNext w:val="0"/>
              <w:keepLines w:val="0"/>
              <w:pageBreakBefore w:val="0"/>
              <w:widowControl w:val="0"/>
              <w:kinsoku/>
              <w:wordWrap/>
              <w:overflowPunct/>
              <w:topLinePunct w:val="0"/>
              <w:autoSpaceDE/>
              <w:autoSpaceDN/>
              <w:bidi w:val="0"/>
              <w:spacing w:line="500" w:lineRule="exact"/>
              <w:ind w:firstLine="420" w:firstLineChars="200"/>
              <w:jc w:val="both"/>
              <w:textAlignment w:val="auto"/>
              <w:rPr>
                <w:rFonts w:hint="default" w:ascii="Times New Roman" w:hAnsi="Times New Roman" w:eastAsia="宋体" w:cs="Times New Roman"/>
                <w:b w:val="0"/>
                <w:bCs w:val="0"/>
                <w:color w:val="auto"/>
                <w:szCs w:val="21"/>
                <w:lang w:val="en-US" w:eastAsia="zh-CN"/>
              </w:rPr>
            </w:pPr>
            <w:r>
              <w:rPr>
                <w:rFonts w:hint="default" w:ascii="Times New Roman" w:hAnsi="Times New Roman" w:eastAsia="宋体" w:cs="Times New Roman"/>
                <w:b w:val="0"/>
                <w:bCs w:val="0"/>
                <w:color w:val="auto"/>
                <w:szCs w:val="21"/>
                <w:lang w:val="en-US" w:eastAsia="zh-CN"/>
              </w:rPr>
              <w:t>根据《如皋市人民政府法制办公室“关于请求明确通榆河一级保护区范围的函”复函》，如皋市境内焦港河全线、如海运河全线、如泰运河（介于焦港河和如海运河中间段），及其河道两侧各1000m属于通榆河一级保护区。</w:t>
            </w:r>
          </w:p>
          <w:p>
            <w:pPr>
              <w:keepNext w:val="0"/>
              <w:keepLines w:val="0"/>
              <w:pageBreakBefore w:val="0"/>
              <w:widowControl w:val="0"/>
              <w:kinsoku/>
              <w:wordWrap/>
              <w:overflowPunct/>
              <w:topLinePunct w:val="0"/>
              <w:autoSpaceDE/>
              <w:autoSpaceDN/>
              <w:bidi w:val="0"/>
              <w:spacing w:line="500" w:lineRule="exact"/>
              <w:ind w:firstLine="420" w:firstLineChars="200"/>
              <w:jc w:val="both"/>
              <w:textAlignment w:val="auto"/>
              <w:rPr>
                <w:rFonts w:hint="default" w:ascii="Times New Roman" w:hAnsi="Times New Roman" w:eastAsia="宋体" w:cs="Times New Roman"/>
                <w:b w:val="0"/>
                <w:bCs w:val="0"/>
                <w:color w:val="auto"/>
                <w:szCs w:val="21"/>
                <w:lang w:val="en-US" w:eastAsia="zh-CN"/>
              </w:rPr>
            </w:pPr>
            <w:r>
              <w:rPr>
                <w:rFonts w:hint="default" w:ascii="Times New Roman" w:hAnsi="Times New Roman" w:eastAsia="宋体" w:cs="Times New Roman"/>
                <w:b w:val="0"/>
                <w:bCs w:val="0"/>
                <w:color w:val="auto"/>
                <w:szCs w:val="21"/>
                <w:lang w:val="en-US" w:eastAsia="zh-CN"/>
              </w:rPr>
              <w:t>本项目</w:t>
            </w:r>
            <w:r>
              <w:rPr>
                <w:rFonts w:hint="eastAsia" w:ascii="Times New Roman" w:hAnsi="Times New Roman" w:eastAsia="宋体" w:cs="Times New Roman"/>
                <w:b w:val="0"/>
                <w:bCs w:val="0"/>
                <w:color w:val="auto"/>
                <w:szCs w:val="21"/>
                <w:lang w:val="en-US" w:eastAsia="zh-CN"/>
              </w:rPr>
              <w:t>位于江苏省如皋市长江镇如皋港工业园区地段，项目</w:t>
            </w:r>
            <w:r>
              <w:rPr>
                <w:rFonts w:hint="default" w:ascii="Times New Roman" w:hAnsi="Times New Roman" w:eastAsia="宋体" w:cs="Times New Roman"/>
                <w:b w:val="0"/>
                <w:bCs w:val="0"/>
                <w:color w:val="auto"/>
                <w:szCs w:val="21"/>
                <w:lang w:val="en-US" w:eastAsia="zh-CN"/>
              </w:rPr>
              <w:t>距如海运河</w:t>
            </w:r>
            <w:r>
              <w:rPr>
                <w:rFonts w:hint="eastAsia" w:ascii="Times New Roman" w:hAnsi="Times New Roman" w:eastAsia="宋体" w:cs="Times New Roman"/>
                <w:b w:val="0"/>
                <w:bCs w:val="0"/>
                <w:color w:val="auto"/>
                <w:szCs w:val="21"/>
                <w:lang w:val="en-US" w:eastAsia="zh-CN"/>
              </w:rPr>
              <w:t>7.6km</w:t>
            </w:r>
            <w:r>
              <w:rPr>
                <w:rFonts w:hint="default" w:ascii="Times New Roman" w:hAnsi="Times New Roman" w:eastAsia="宋体" w:cs="Times New Roman"/>
                <w:b w:val="0"/>
                <w:bCs w:val="0"/>
                <w:color w:val="auto"/>
                <w:szCs w:val="21"/>
                <w:lang w:val="en-US" w:eastAsia="zh-CN"/>
              </w:rPr>
              <w:t>，</w:t>
            </w:r>
            <w:r>
              <w:rPr>
                <w:rFonts w:hint="eastAsia" w:ascii="Times New Roman" w:hAnsi="Times New Roman" w:eastAsia="宋体" w:cs="Times New Roman"/>
                <w:b w:val="0"/>
                <w:bCs w:val="0"/>
                <w:color w:val="auto"/>
                <w:szCs w:val="21"/>
                <w:lang w:val="en-US" w:eastAsia="zh-CN"/>
              </w:rPr>
              <w:t>距</w:t>
            </w:r>
            <w:r>
              <w:rPr>
                <w:rFonts w:hint="default" w:ascii="Times New Roman" w:hAnsi="Times New Roman" w:eastAsia="宋体" w:cs="Times New Roman"/>
                <w:b w:val="0"/>
                <w:bCs w:val="0"/>
                <w:color w:val="auto"/>
                <w:szCs w:val="21"/>
                <w:lang w:val="en-US" w:eastAsia="zh-CN"/>
              </w:rPr>
              <w:t>焦港河</w:t>
            </w:r>
            <w:r>
              <w:rPr>
                <w:rFonts w:hint="eastAsia" w:ascii="Times New Roman" w:hAnsi="Times New Roman" w:eastAsia="宋体" w:cs="Times New Roman"/>
                <w:b w:val="0"/>
                <w:bCs w:val="0"/>
                <w:color w:val="auto"/>
                <w:szCs w:val="21"/>
                <w:lang w:val="en-US" w:eastAsia="zh-CN"/>
              </w:rPr>
              <w:t>6.</w:t>
            </w:r>
            <w:r>
              <w:rPr>
                <w:rFonts w:hint="eastAsia" w:cs="Times New Roman"/>
                <w:b w:val="0"/>
                <w:bCs w:val="0"/>
                <w:color w:val="auto"/>
                <w:szCs w:val="21"/>
                <w:lang w:val="en-US" w:eastAsia="zh-CN"/>
              </w:rPr>
              <w:t>4</w:t>
            </w:r>
            <w:r>
              <w:rPr>
                <w:rFonts w:hint="eastAsia" w:ascii="Times New Roman" w:hAnsi="Times New Roman" w:eastAsia="宋体" w:cs="Times New Roman"/>
                <w:b w:val="0"/>
                <w:bCs w:val="0"/>
                <w:color w:val="auto"/>
                <w:szCs w:val="21"/>
                <w:lang w:val="en-US" w:eastAsia="zh-CN"/>
              </w:rPr>
              <w:t>km，距通扬运河</w:t>
            </w:r>
            <w:r>
              <w:rPr>
                <w:rFonts w:hint="eastAsia" w:cs="Times New Roman"/>
                <w:b w:val="0"/>
                <w:bCs w:val="0"/>
                <w:color w:val="auto"/>
                <w:szCs w:val="21"/>
                <w:lang w:val="en-US" w:eastAsia="zh-CN"/>
              </w:rPr>
              <w:t>26</w:t>
            </w:r>
            <w:r>
              <w:rPr>
                <w:rFonts w:hint="eastAsia" w:ascii="Times New Roman" w:hAnsi="Times New Roman" w:eastAsia="宋体" w:cs="Times New Roman"/>
                <w:b w:val="0"/>
                <w:bCs w:val="0"/>
                <w:color w:val="auto"/>
                <w:szCs w:val="21"/>
                <w:lang w:val="en-US" w:eastAsia="zh-CN"/>
              </w:rPr>
              <w:t>km，因此本项目不在通榆河各级保护区范围内，符合《江苏省通榆河水污染防治条例》要求。</w:t>
            </w:r>
          </w:p>
          <w:p>
            <w:pPr>
              <w:adjustRightInd w:val="0"/>
              <w:snapToGrid w:val="0"/>
              <w:spacing w:line="500" w:lineRule="exact"/>
              <w:ind w:firstLine="422" w:firstLineChars="200"/>
              <w:rPr>
                <w:rFonts w:hint="eastAsia" w:ascii="Times New Roman" w:hAnsi="Times New Roman" w:eastAsia="宋体" w:cs="Times New Roman"/>
                <w:b/>
                <w:bCs/>
                <w:color w:val="auto"/>
                <w:szCs w:val="21"/>
                <w:lang w:val="en-US" w:eastAsia="zh-CN"/>
              </w:rPr>
            </w:pPr>
            <w:r>
              <w:rPr>
                <w:rFonts w:hint="eastAsia" w:ascii="Times New Roman" w:hAnsi="Times New Roman" w:eastAsia="宋体" w:cs="Times New Roman"/>
                <w:b/>
                <w:bCs/>
                <w:color w:val="auto"/>
                <w:szCs w:val="21"/>
                <w:lang w:val="en-US" w:eastAsia="zh-CN"/>
              </w:rPr>
              <w:t>11、《关于印发&lt;工业炉窑大气污染综合治理方案&gt;的通知》（环大气[2019]56号）相符性分析</w:t>
            </w:r>
          </w:p>
          <w:p>
            <w:pPr>
              <w:pStyle w:val="56"/>
              <w:spacing w:before="163" w:beforeLines="50" w:line="480" w:lineRule="exact"/>
              <w:ind w:firstLine="0" w:firstLineChars="0"/>
              <w:jc w:val="center"/>
              <w:rPr>
                <w:b/>
                <w:bCs/>
                <w:color w:val="auto"/>
                <w:szCs w:val="24"/>
              </w:rPr>
            </w:pPr>
            <w:r>
              <w:rPr>
                <w:b/>
                <w:bCs/>
                <w:color w:val="auto"/>
                <w:szCs w:val="24"/>
              </w:rPr>
              <w:t>表</w:t>
            </w:r>
            <w:r>
              <w:rPr>
                <w:rFonts w:hint="eastAsia"/>
                <w:b/>
                <w:bCs/>
                <w:color w:val="auto"/>
                <w:szCs w:val="24"/>
                <w:lang w:val="en-US" w:eastAsia="zh-CN"/>
              </w:rPr>
              <w:t>1-</w:t>
            </w:r>
            <w:r>
              <w:rPr>
                <w:b/>
                <w:bCs/>
                <w:color w:val="auto"/>
                <w:szCs w:val="24"/>
              </w:rPr>
              <w:t>1</w:t>
            </w:r>
            <w:r>
              <w:rPr>
                <w:rFonts w:hint="eastAsia"/>
                <w:b/>
                <w:bCs/>
                <w:color w:val="auto"/>
                <w:szCs w:val="24"/>
                <w:lang w:val="en-US" w:eastAsia="zh-CN"/>
              </w:rPr>
              <w:t>4</w:t>
            </w:r>
            <w:r>
              <w:rPr>
                <w:b/>
                <w:bCs/>
                <w:color w:val="auto"/>
                <w:szCs w:val="24"/>
              </w:rPr>
              <w:t xml:space="preserve"> </w:t>
            </w:r>
            <w:r>
              <w:rPr>
                <w:rFonts w:hint="eastAsia" w:ascii="Times New Roman" w:hAnsi="Times New Roman" w:eastAsia="宋体" w:cs="Times New Roman"/>
                <w:b/>
                <w:bCs/>
                <w:color w:val="auto"/>
                <w:szCs w:val="21"/>
                <w:lang w:val="en-US" w:eastAsia="zh-CN"/>
              </w:rPr>
              <w:t>《关于印发&lt;工业炉窑大气污染综合治理方案&gt;的通知》（环大气[2019]56号）</w:t>
            </w:r>
            <w:r>
              <w:rPr>
                <w:b/>
                <w:bCs/>
                <w:color w:val="auto"/>
                <w:szCs w:val="24"/>
              </w:rPr>
              <w:t>符合性分析</w:t>
            </w:r>
          </w:p>
          <w:tbl>
            <w:tblPr>
              <w:tblStyle w:val="21"/>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264"/>
              <w:gridCol w:w="2988"/>
              <w:gridCol w:w="7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3264" w:type="dxa"/>
                  <w:noWrap w:val="0"/>
                  <w:vAlign w:val="center"/>
                </w:tcPr>
                <w:p>
                  <w:pPr>
                    <w:tabs>
                      <w:tab w:val="left" w:pos="6379"/>
                    </w:tabs>
                    <w:overflowPunct w:val="0"/>
                    <w:adjustRightInd w:val="0"/>
                    <w:snapToGrid w:val="0"/>
                    <w:jc w:val="center"/>
                    <w:rPr>
                      <w:b/>
                      <w:bCs/>
                      <w:color w:val="auto"/>
                      <w:sz w:val="18"/>
                      <w:szCs w:val="18"/>
                      <w:lang w:val="en-US" w:eastAsia="zh-CN"/>
                    </w:rPr>
                  </w:pPr>
                  <w:r>
                    <w:rPr>
                      <w:rFonts w:hint="eastAsia"/>
                      <w:b/>
                      <w:color w:val="auto"/>
                      <w:sz w:val="18"/>
                      <w:szCs w:val="18"/>
                    </w:rPr>
                    <w:t>文件要求</w:t>
                  </w:r>
                </w:p>
              </w:tc>
              <w:tc>
                <w:tcPr>
                  <w:tcW w:w="2988" w:type="dxa"/>
                  <w:noWrap w:val="0"/>
                  <w:vAlign w:val="center"/>
                </w:tcPr>
                <w:p>
                  <w:pPr>
                    <w:tabs>
                      <w:tab w:val="left" w:pos="6379"/>
                    </w:tabs>
                    <w:overflowPunct w:val="0"/>
                    <w:adjustRightInd w:val="0"/>
                    <w:snapToGrid w:val="0"/>
                    <w:jc w:val="center"/>
                    <w:rPr>
                      <w:b/>
                      <w:bCs/>
                      <w:color w:val="auto"/>
                      <w:sz w:val="18"/>
                      <w:szCs w:val="18"/>
                      <w:lang w:val="en-US" w:eastAsia="zh-CN"/>
                    </w:rPr>
                  </w:pPr>
                  <w:r>
                    <w:rPr>
                      <w:b/>
                      <w:color w:val="auto"/>
                      <w:sz w:val="18"/>
                      <w:szCs w:val="18"/>
                    </w:rPr>
                    <w:t>本项目情况</w:t>
                  </w:r>
                </w:p>
              </w:tc>
              <w:tc>
                <w:tcPr>
                  <w:tcW w:w="775" w:type="dxa"/>
                  <w:noWrap w:val="0"/>
                  <w:vAlign w:val="center"/>
                </w:tcPr>
                <w:p>
                  <w:pPr>
                    <w:tabs>
                      <w:tab w:val="left" w:pos="6379"/>
                    </w:tabs>
                    <w:overflowPunct w:val="0"/>
                    <w:adjustRightInd w:val="0"/>
                    <w:snapToGrid w:val="0"/>
                    <w:jc w:val="center"/>
                    <w:rPr>
                      <w:b/>
                      <w:bCs/>
                      <w:color w:val="auto"/>
                      <w:sz w:val="18"/>
                      <w:szCs w:val="18"/>
                      <w:lang w:val="en-US" w:eastAsia="zh-CN"/>
                    </w:rPr>
                  </w:pPr>
                  <w:r>
                    <w:rPr>
                      <w:b/>
                      <w:color w:val="auto"/>
                      <w:sz w:val="18"/>
                      <w:szCs w:val="18"/>
                    </w:rPr>
                    <w:t>相符性分析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2322" w:type="pct"/>
                  <w:noWrap w:val="0"/>
                  <w:vAlign w:val="center"/>
                </w:tcPr>
                <w:p>
                  <w:pPr>
                    <w:pStyle w:val="13"/>
                    <w:adjustRightInd w:val="0"/>
                    <w:spacing w:line="240" w:lineRule="auto"/>
                    <w:ind w:left="-105" w:leftChars="-50" w:right="-105" w:rightChars="-50" w:firstLine="0" w:firstLineChars="0"/>
                    <w:jc w:val="center"/>
                    <w:rPr>
                      <w:color w:val="auto"/>
                      <w:sz w:val="18"/>
                      <w:szCs w:val="18"/>
                      <w:lang w:val="en-US" w:eastAsia="zh-CN"/>
                    </w:rPr>
                  </w:pPr>
                  <w:r>
                    <w:rPr>
                      <w:color w:val="auto"/>
                      <w:sz w:val="18"/>
                      <w:szCs w:val="18"/>
                      <w:lang w:val="en-US" w:eastAsia="zh-CN"/>
                    </w:rPr>
                    <w:t>加大产业结构调整力度，严格建设项目环境准入。涉及工业炉窑的建设项目，原则上要入园区，配套建设高效环保治理设施，重点区域严格控制涉工业炉窑建设项目，严禁新增钢铁、焦化、电解铝、铸造、水泥和平板玻璃等产能，原则上禁止新建燃料类煤气发生炉</w:t>
                  </w:r>
                </w:p>
              </w:tc>
              <w:tc>
                <w:tcPr>
                  <w:tcW w:w="2126" w:type="pct"/>
                  <w:noWrap w:val="0"/>
                  <w:vAlign w:val="center"/>
                </w:tcPr>
                <w:p>
                  <w:pPr>
                    <w:pStyle w:val="13"/>
                    <w:adjustRightInd w:val="0"/>
                    <w:spacing w:line="240" w:lineRule="auto"/>
                    <w:ind w:left="-105" w:leftChars="-50" w:right="-105" w:rightChars="-50" w:firstLine="0" w:firstLineChars="0"/>
                    <w:jc w:val="center"/>
                    <w:rPr>
                      <w:color w:val="auto"/>
                      <w:sz w:val="18"/>
                      <w:szCs w:val="18"/>
                      <w:lang w:val="en-US" w:eastAsia="zh-CN"/>
                    </w:rPr>
                  </w:pPr>
                  <w:r>
                    <w:rPr>
                      <w:color w:val="auto"/>
                      <w:sz w:val="18"/>
                      <w:szCs w:val="18"/>
                      <w:lang w:val="en-US" w:eastAsia="zh-CN"/>
                    </w:rPr>
                    <w:t>本项目为涉及工业炉窑项目，</w:t>
                  </w:r>
                  <w:r>
                    <w:rPr>
                      <w:rFonts w:hint="eastAsia"/>
                      <w:color w:val="auto"/>
                      <w:sz w:val="18"/>
                      <w:szCs w:val="18"/>
                      <w:lang w:val="en-US" w:eastAsia="zh-CN"/>
                    </w:rPr>
                    <w:t>项目在工业园内</w:t>
                  </w:r>
                  <w:r>
                    <w:rPr>
                      <w:color w:val="auto"/>
                      <w:sz w:val="18"/>
                      <w:szCs w:val="18"/>
                      <w:lang w:val="en-US" w:eastAsia="zh-CN"/>
                    </w:rPr>
                    <w:t>，且本项目不使用燃料类煤气发生炉</w:t>
                  </w:r>
                </w:p>
              </w:tc>
              <w:tc>
                <w:tcPr>
                  <w:tcW w:w="551" w:type="pct"/>
                  <w:noWrap w:val="0"/>
                  <w:vAlign w:val="center"/>
                </w:tcPr>
                <w:p>
                  <w:pPr>
                    <w:pStyle w:val="13"/>
                    <w:adjustRightInd w:val="0"/>
                    <w:spacing w:line="240" w:lineRule="auto"/>
                    <w:ind w:left="-105" w:leftChars="-50" w:right="-105" w:rightChars="-50" w:firstLine="0" w:firstLineChars="0"/>
                    <w:jc w:val="center"/>
                    <w:rPr>
                      <w:color w:val="auto"/>
                      <w:sz w:val="18"/>
                      <w:szCs w:val="18"/>
                      <w:lang w:val="en-US" w:eastAsia="zh-CN"/>
                    </w:rPr>
                  </w:pPr>
                  <w:r>
                    <w:rPr>
                      <w:color w:val="auto"/>
                      <w:sz w:val="18"/>
                      <w:szCs w:val="18"/>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2322" w:type="pct"/>
                  <w:noWrap w:val="0"/>
                  <w:vAlign w:val="center"/>
                </w:tcPr>
                <w:p>
                  <w:pPr>
                    <w:pStyle w:val="13"/>
                    <w:adjustRightInd w:val="0"/>
                    <w:spacing w:line="240" w:lineRule="auto"/>
                    <w:ind w:left="-105" w:leftChars="-50" w:right="-105" w:rightChars="-50" w:firstLine="0" w:firstLineChars="0"/>
                    <w:jc w:val="center"/>
                    <w:rPr>
                      <w:color w:val="auto"/>
                      <w:sz w:val="18"/>
                      <w:szCs w:val="18"/>
                      <w:lang w:val="en-US" w:eastAsia="zh-CN"/>
                    </w:rPr>
                  </w:pPr>
                  <w:r>
                    <w:rPr>
                      <w:color w:val="auto"/>
                      <w:sz w:val="18"/>
                      <w:szCs w:val="18"/>
                      <w:lang w:val="en-US" w:eastAsia="zh-CN"/>
                    </w:rPr>
                    <w:t>加快燃料清洁低碳化替代。对以煤、石油焦、渣油、重油等为燃料的工业炉窑，加快使用清洁低碳能源以及利用工厂余热、电厂热力等进行替代。</w:t>
                  </w:r>
                </w:p>
              </w:tc>
              <w:tc>
                <w:tcPr>
                  <w:tcW w:w="2126" w:type="pct"/>
                  <w:noWrap w:val="0"/>
                  <w:vAlign w:val="center"/>
                </w:tcPr>
                <w:p>
                  <w:pPr>
                    <w:pStyle w:val="13"/>
                    <w:adjustRightInd w:val="0"/>
                    <w:spacing w:line="240" w:lineRule="auto"/>
                    <w:ind w:left="-105" w:leftChars="-50" w:right="-105" w:rightChars="-50" w:firstLine="0" w:firstLineChars="0"/>
                    <w:jc w:val="center"/>
                    <w:rPr>
                      <w:color w:val="auto"/>
                      <w:sz w:val="18"/>
                      <w:szCs w:val="18"/>
                      <w:lang w:val="en-US" w:eastAsia="zh-CN"/>
                    </w:rPr>
                  </w:pPr>
                  <w:r>
                    <w:rPr>
                      <w:color w:val="auto"/>
                      <w:sz w:val="18"/>
                      <w:szCs w:val="18"/>
                      <w:lang w:val="en-US" w:eastAsia="zh-CN"/>
                    </w:rPr>
                    <w:t>本项目所用炉窑能源为电</w:t>
                  </w:r>
                  <w:r>
                    <w:rPr>
                      <w:rFonts w:hint="eastAsia"/>
                      <w:color w:val="auto"/>
                      <w:sz w:val="18"/>
                      <w:szCs w:val="18"/>
                      <w:lang w:val="en-US" w:eastAsia="zh-CN"/>
                    </w:rPr>
                    <w:t>、天然气</w:t>
                  </w:r>
                  <w:r>
                    <w:rPr>
                      <w:color w:val="auto"/>
                      <w:sz w:val="18"/>
                      <w:szCs w:val="18"/>
                      <w:lang w:val="en-US" w:eastAsia="zh-CN"/>
                    </w:rPr>
                    <w:t>，属于清洁能源。</w:t>
                  </w:r>
                </w:p>
              </w:tc>
              <w:tc>
                <w:tcPr>
                  <w:tcW w:w="551" w:type="pct"/>
                  <w:noWrap w:val="0"/>
                  <w:vAlign w:val="center"/>
                </w:tcPr>
                <w:p>
                  <w:pPr>
                    <w:pStyle w:val="13"/>
                    <w:adjustRightInd w:val="0"/>
                    <w:spacing w:line="240" w:lineRule="auto"/>
                    <w:ind w:left="-105" w:leftChars="-50" w:right="-105" w:rightChars="-50" w:firstLine="0" w:firstLineChars="0"/>
                    <w:jc w:val="center"/>
                    <w:rPr>
                      <w:color w:val="auto"/>
                      <w:sz w:val="18"/>
                      <w:szCs w:val="18"/>
                      <w:lang w:val="en-US" w:eastAsia="zh-CN"/>
                    </w:rPr>
                  </w:pPr>
                  <w:r>
                    <w:rPr>
                      <w:color w:val="auto"/>
                      <w:sz w:val="18"/>
                      <w:szCs w:val="18"/>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11" w:hRule="atLeast"/>
                <w:jc w:val="center"/>
              </w:trPr>
              <w:tc>
                <w:tcPr>
                  <w:tcW w:w="2322" w:type="pct"/>
                  <w:noWrap w:val="0"/>
                  <w:vAlign w:val="center"/>
                </w:tcPr>
                <w:p>
                  <w:pPr>
                    <w:pStyle w:val="13"/>
                    <w:adjustRightInd w:val="0"/>
                    <w:spacing w:line="240" w:lineRule="auto"/>
                    <w:ind w:left="-105" w:leftChars="-50" w:right="-105" w:rightChars="-50" w:firstLine="0" w:firstLineChars="0"/>
                    <w:jc w:val="center"/>
                    <w:rPr>
                      <w:color w:val="auto"/>
                      <w:sz w:val="18"/>
                      <w:szCs w:val="18"/>
                      <w:lang w:val="en-US" w:eastAsia="zh-CN"/>
                    </w:rPr>
                  </w:pPr>
                  <w:r>
                    <w:rPr>
                      <w:color w:val="auto"/>
                      <w:sz w:val="18"/>
                      <w:szCs w:val="18"/>
                      <w:lang w:val="en-US" w:eastAsia="zh-CN"/>
                    </w:rPr>
                    <w:t>实施污染深度治理。推进工业炉窑全面达标排放。严格执行行业排放标准相关规定，确保稳定达标排放。已制定更严格地方排放标准的，按地方标准执行。</w:t>
                  </w:r>
                </w:p>
              </w:tc>
              <w:tc>
                <w:tcPr>
                  <w:tcW w:w="2126" w:type="pct"/>
                  <w:noWrap w:val="0"/>
                  <w:vAlign w:val="center"/>
                </w:tcPr>
                <w:p>
                  <w:pPr>
                    <w:pStyle w:val="13"/>
                    <w:adjustRightInd w:val="0"/>
                    <w:spacing w:line="240" w:lineRule="auto"/>
                    <w:ind w:left="-105" w:leftChars="-50" w:right="-105" w:rightChars="-50" w:firstLine="0" w:firstLineChars="0"/>
                    <w:jc w:val="center"/>
                    <w:rPr>
                      <w:color w:val="auto"/>
                      <w:sz w:val="18"/>
                      <w:szCs w:val="18"/>
                      <w:lang w:val="en-US" w:eastAsia="zh-CN"/>
                    </w:rPr>
                  </w:pPr>
                  <w:r>
                    <w:rPr>
                      <w:color w:val="auto"/>
                      <w:sz w:val="18"/>
                      <w:szCs w:val="18"/>
                      <w:lang w:val="en-US" w:eastAsia="zh-CN"/>
                    </w:rPr>
                    <w:t>本项目生产产生废气严格执行</w:t>
                  </w:r>
                  <w:r>
                    <w:rPr>
                      <w:rFonts w:hint="eastAsia" w:ascii="Times New Roman" w:hAnsi="Times New Roman" w:eastAsia="宋体" w:cs="Times New Roman"/>
                      <w:color w:val="auto"/>
                      <w:sz w:val="18"/>
                      <w:szCs w:val="18"/>
                      <w:lang w:val="en-US" w:eastAsia="zh-CN"/>
                    </w:rPr>
                    <w:t>《工业炉窑大气污染物排放标准》（DB32/3728—2020）</w:t>
                  </w:r>
                  <w:r>
                    <w:rPr>
                      <w:rFonts w:ascii="Times New Roman" w:hAnsi="Times New Roman" w:eastAsia="宋体" w:cs="Times New Roman"/>
                      <w:color w:val="auto"/>
                      <w:sz w:val="18"/>
                      <w:szCs w:val="18"/>
                      <w:lang w:val="en-US" w:eastAsia="zh-CN"/>
                    </w:rPr>
                    <w:t>中</w:t>
                  </w:r>
                  <w:r>
                    <w:rPr>
                      <w:color w:val="auto"/>
                      <w:sz w:val="18"/>
                      <w:szCs w:val="18"/>
                      <w:lang w:val="en-US" w:eastAsia="zh-CN"/>
                    </w:rPr>
                    <w:t>相应标准</w:t>
                  </w:r>
                  <w:r>
                    <w:rPr>
                      <w:rFonts w:hint="eastAsia"/>
                      <w:color w:val="auto"/>
                      <w:sz w:val="18"/>
                      <w:szCs w:val="18"/>
                      <w:lang w:val="en-US" w:eastAsia="zh-CN"/>
                    </w:rPr>
                    <w:t>。</w:t>
                  </w:r>
                </w:p>
              </w:tc>
              <w:tc>
                <w:tcPr>
                  <w:tcW w:w="551" w:type="pct"/>
                  <w:noWrap w:val="0"/>
                  <w:vAlign w:val="center"/>
                </w:tcPr>
                <w:p>
                  <w:pPr>
                    <w:pStyle w:val="13"/>
                    <w:adjustRightInd w:val="0"/>
                    <w:spacing w:line="240" w:lineRule="auto"/>
                    <w:ind w:left="-105" w:leftChars="-50" w:right="-105" w:rightChars="-50" w:firstLine="0" w:firstLineChars="0"/>
                    <w:jc w:val="center"/>
                    <w:rPr>
                      <w:color w:val="auto"/>
                      <w:sz w:val="18"/>
                      <w:szCs w:val="18"/>
                      <w:lang w:val="en-US" w:eastAsia="zh-CN"/>
                    </w:rPr>
                  </w:pPr>
                  <w:r>
                    <w:rPr>
                      <w:color w:val="auto"/>
                      <w:sz w:val="18"/>
                      <w:szCs w:val="18"/>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29" w:hRule="atLeast"/>
                <w:jc w:val="center"/>
              </w:trPr>
              <w:tc>
                <w:tcPr>
                  <w:tcW w:w="2322" w:type="pct"/>
                  <w:noWrap w:val="0"/>
                  <w:vAlign w:val="center"/>
                </w:tcPr>
                <w:p>
                  <w:pPr>
                    <w:pStyle w:val="13"/>
                    <w:adjustRightInd w:val="0"/>
                    <w:spacing w:line="240" w:lineRule="auto"/>
                    <w:ind w:left="-105" w:leftChars="-50" w:right="-105" w:rightChars="-50" w:firstLine="0" w:firstLineChars="0"/>
                    <w:jc w:val="center"/>
                    <w:rPr>
                      <w:color w:val="auto"/>
                      <w:sz w:val="18"/>
                      <w:szCs w:val="18"/>
                      <w:lang w:val="en-US" w:eastAsia="zh-CN"/>
                    </w:rPr>
                  </w:pPr>
                  <w:r>
                    <w:rPr>
                      <w:color w:val="auto"/>
                      <w:sz w:val="18"/>
                      <w:szCs w:val="18"/>
                      <w:lang w:val="en-US" w:eastAsia="zh-CN"/>
                    </w:rPr>
                    <w:t>开展工业园区和产业集群综合整治。各地要加大涉工业炉窑类工业园和产业集群的综合整治力度，结合“三线一单”、规划环评要求，进一步梳理确定园区和产业发展定位、规模及结构等</w:t>
                  </w:r>
                </w:p>
              </w:tc>
              <w:tc>
                <w:tcPr>
                  <w:tcW w:w="2126" w:type="pct"/>
                  <w:noWrap w:val="0"/>
                  <w:vAlign w:val="center"/>
                </w:tcPr>
                <w:p>
                  <w:pPr>
                    <w:pStyle w:val="13"/>
                    <w:adjustRightInd w:val="0"/>
                    <w:spacing w:line="240" w:lineRule="auto"/>
                    <w:ind w:left="-105" w:leftChars="-50" w:right="-105" w:rightChars="-50" w:firstLine="0" w:firstLineChars="0"/>
                    <w:jc w:val="center"/>
                    <w:rPr>
                      <w:color w:val="auto"/>
                      <w:sz w:val="18"/>
                      <w:szCs w:val="18"/>
                      <w:lang w:val="en-US" w:eastAsia="zh-CN"/>
                    </w:rPr>
                  </w:pPr>
                  <w:r>
                    <w:rPr>
                      <w:color w:val="auto"/>
                      <w:sz w:val="18"/>
                      <w:szCs w:val="18"/>
                      <w:lang w:val="en-US" w:eastAsia="zh-CN"/>
                    </w:rPr>
                    <w:t>本项目建设符合“三线一单”</w:t>
                  </w:r>
                  <w:r>
                    <w:rPr>
                      <w:rFonts w:hint="eastAsia"/>
                      <w:color w:val="auto"/>
                      <w:sz w:val="18"/>
                      <w:szCs w:val="18"/>
                      <w:lang w:val="en-US" w:eastAsia="zh-CN"/>
                    </w:rPr>
                    <w:t>。</w:t>
                  </w:r>
                </w:p>
              </w:tc>
              <w:tc>
                <w:tcPr>
                  <w:tcW w:w="551" w:type="pct"/>
                  <w:noWrap w:val="0"/>
                  <w:vAlign w:val="center"/>
                </w:tcPr>
                <w:p>
                  <w:pPr>
                    <w:pStyle w:val="13"/>
                    <w:adjustRightInd w:val="0"/>
                    <w:spacing w:line="240" w:lineRule="auto"/>
                    <w:ind w:left="-105" w:leftChars="-50" w:right="-105" w:rightChars="-50" w:firstLine="0" w:firstLineChars="0"/>
                    <w:jc w:val="center"/>
                    <w:rPr>
                      <w:color w:val="auto"/>
                      <w:sz w:val="18"/>
                      <w:szCs w:val="18"/>
                      <w:lang w:val="en-US" w:eastAsia="zh-CN"/>
                    </w:rPr>
                  </w:pPr>
                  <w:r>
                    <w:rPr>
                      <w:color w:val="auto"/>
                      <w:sz w:val="18"/>
                      <w:szCs w:val="18"/>
                      <w:lang w:val="en-US" w:eastAsia="zh-CN"/>
                    </w:rPr>
                    <w:t>符合</w:t>
                  </w:r>
                </w:p>
              </w:tc>
            </w:tr>
          </w:tbl>
          <w:p>
            <w:pPr>
              <w:adjustRightInd w:val="0"/>
              <w:snapToGrid w:val="0"/>
              <w:spacing w:line="560" w:lineRule="exact"/>
              <w:ind w:firstLine="420" w:firstLineChars="200"/>
              <w:rPr>
                <w:rFonts w:hint="eastAsia" w:ascii="Times New Roman" w:hAnsi="Times New Roman" w:eastAsia="宋体" w:cs="Times New Roman"/>
                <w:b/>
                <w:bCs/>
                <w:color w:val="auto"/>
                <w:szCs w:val="21"/>
                <w:lang w:val="en-US" w:eastAsia="zh-CN"/>
              </w:rPr>
            </w:pPr>
            <w:r>
              <w:rPr>
                <w:rFonts w:hint="eastAsia" w:ascii="Times New Roman" w:hAnsi="Times New Roman" w:eastAsia="宋体" w:cs="Times New Roman"/>
                <w:b w:val="0"/>
                <w:bCs w:val="0"/>
                <w:color w:val="auto"/>
                <w:szCs w:val="21"/>
                <w:lang w:val="en-US" w:eastAsia="zh-CN"/>
              </w:rPr>
              <w:t>本项目不属于《关于印发&lt;工业炉窑大气污染综合治理方案&gt;的通知》（环大气[2019]56号）附件4</w:t>
            </w:r>
            <w:r>
              <w:rPr>
                <w:rFonts w:hint="default" w:ascii="Times New Roman" w:hAnsi="Times New Roman" w:eastAsia="宋体" w:cs="Times New Roman"/>
                <w:b w:val="0"/>
                <w:bCs w:val="0"/>
                <w:color w:val="auto"/>
                <w:szCs w:val="21"/>
                <w:lang w:val="en-US" w:eastAsia="zh-CN"/>
              </w:rPr>
              <w:t>重点行业工业炉窑大气污染治理要求</w:t>
            </w:r>
            <w:r>
              <w:rPr>
                <w:rFonts w:hint="eastAsia" w:ascii="Times New Roman" w:hAnsi="Times New Roman" w:eastAsia="宋体" w:cs="Times New Roman"/>
                <w:b w:val="0"/>
                <w:bCs w:val="0"/>
                <w:color w:val="auto"/>
                <w:szCs w:val="21"/>
                <w:lang w:val="en-US" w:eastAsia="zh-CN"/>
              </w:rPr>
              <w:t>中</w:t>
            </w:r>
            <w:r>
              <w:rPr>
                <w:rFonts w:hint="default" w:ascii="Times New Roman" w:hAnsi="Times New Roman" w:eastAsia="宋体" w:cs="Times New Roman"/>
                <w:b w:val="0"/>
                <w:bCs w:val="0"/>
                <w:color w:val="auto"/>
                <w:szCs w:val="21"/>
                <w:lang w:val="en-US" w:eastAsia="zh-CN"/>
              </w:rPr>
              <w:t>重点行业</w:t>
            </w:r>
            <w:r>
              <w:rPr>
                <w:rFonts w:hint="eastAsia" w:ascii="Times New Roman" w:hAnsi="Times New Roman" w:eastAsia="宋体" w:cs="Times New Roman"/>
                <w:b w:val="0"/>
                <w:bCs w:val="0"/>
                <w:color w:val="auto"/>
                <w:szCs w:val="21"/>
                <w:lang w:val="en-US" w:eastAsia="zh-CN"/>
              </w:rPr>
              <w:t>，参考附件4</w:t>
            </w:r>
            <w:r>
              <w:rPr>
                <w:rFonts w:hint="default" w:ascii="Times New Roman" w:hAnsi="Times New Roman" w:eastAsia="宋体" w:cs="Times New Roman"/>
                <w:b w:val="0"/>
                <w:bCs w:val="0"/>
                <w:color w:val="auto"/>
                <w:szCs w:val="21"/>
                <w:lang w:val="en-US" w:eastAsia="zh-CN"/>
              </w:rPr>
              <w:t>重点行业工业炉窑大气污染治理要求</w:t>
            </w:r>
            <w:r>
              <w:rPr>
                <w:rFonts w:hint="eastAsia" w:ascii="Times New Roman" w:hAnsi="Times New Roman" w:eastAsia="宋体" w:cs="Times New Roman"/>
                <w:b w:val="0"/>
                <w:bCs w:val="0"/>
                <w:color w:val="auto"/>
                <w:szCs w:val="21"/>
                <w:lang w:val="en-US" w:eastAsia="zh-CN"/>
              </w:rPr>
              <w:t>中其他重点行业加热炉，应以经过脱硫的燃料气为燃料，采用低氮燃烧技术，本项目所有炉窑尾气都采用低氮燃烧技术后直排，</w:t>
            </w:r>
            <w:r>
              <w:rPr>
                <w:rFonts w:hint="default" w:ascii="Times New Roman" w:hAnsi="Times New Roman" w:eastAsia="宋体" w:cs="Times New Roman"/>
                <w:b w:val="0"/>
                <w:bCs w:val="0"/>
                <w:color w:val="auto"/>
                <w:szCs w:val="21"/>
                <w:lang w:val="en-US" w:eastAsia="zh-CN"/>
              </w:rPr>
              <w:t>本项目</w:t>
            </w:r>
            <w:r>
              <w:rPr>
                <w:rFonts w:hint="eastAsia" w:ascii="Times New Roman" w:hAnsi="Times New Roman" w:eastAsia="宋体" w:cs="Times New Roman"/>
                <w:b w:val="0"/>
                <w:bCs w:val="0"/>
                <w:color w:val="auto"/>
                <w:szCs w:val="21"/>
                <w:lang w:val="en-US" w:eastAsia="zh-CN"/>
              </w:rPr>
              <w:t>符合《关于印发&lt;工业炉窑大气污染综合治理方案&gt;的通知》（环大气[2019]56号）相关要求。</w:t>
            </w:r>
          </w:p>
          <w:p>
            <w:pPr>
              <w:adjustRightInd w:val="0"/>
              <w:snapToGrid w:val="0"/>
              <w:spacing w:line="500" w:lineRule="exact"/>
              <w:ind w:firstLine="422" w:firstLineChars="200"/>
              <w:rPr>
                <w:rFonts w:hint="eastAsia" w:ascii="Times New Roman" w:hAnsi="Times New Roman" w:eastAsia="宋体" w:cs="Times New Roman"/>
                <w:b/>
                <w:bCs/>
                <w:color w:val="auto"/>
                <w:szCs w:val="21"/>
                <w:lang w:val="en-US" w:eastAsia="zh-CN"/>
              </w:rPr>
            </w:pPr>
            <w:r>
              <w:rPr>
                <w:rFonts w:hint="eastAsia" w:ascii="Times New Roman" w:hAnsi="Times New Roman" w:eastAsia="宋体" w:cs="Times New Roman"/>
                <w:b/>
                <w:bCs/>
                <w:color w:val="auto"/>
                <w:szCs w:val="21"/>
                <w:lang w:val="en-US" w:eastAsia="zh-CN"/>
              </w:rPr>
              <w:t>12、《市政府办公室关于明确&lt;中华人民共和国噪声污染防治法&gt;部分条款职责分工的通知》（通政办发[2023]57号</w:t>
            </w:r>
            <w:r>
              <w:rPr>
                <w:rFonts w:hint="eastAsia" w:cs="Times New Roman"/>
                <w:b/>
                <w:bCs/>
                <w:color w:val="auto"/>
                <w:szCs w:val="21"/>
                <w:lang w:val="en-US" w:eastAsia="zh-CN"/>
              </w:rPr>
              <w:t>）</w:t>
            </w:r>
            <w:r>
              <w:rPr>
                <w:rFonts w:hint="eastAsia" w:ascii="Times New Roman" w:hAnsi="Times New Roman" w:eastAsia="宋体" w:cs="Times New Roman"/>
                <w:b/>
                <w:bCs/>
                <w:color w:val="auto"/>
                <w:szCs w:val="21"/>
                <w:lang w:val="en-US" w:eastAsia="zh-CN"/>
              </w:rPr>
              <w:t>相符性分析</w:t>
            </w:r>
          </w:p>
          <w:p>
            <w:pPr>
              <w:adjustRightInd w:val="0"/>
              <w:snapToGrid w:val="0"/>
              <w:spacing w:line="560" w:lineRule="exact"/>
              <w:ind w:firstLine="420" w:firstLineChars="200"/>
              <w:rPr>
                <w:rFonts w:hint="eastAsia" w:ascii="Times New Roman" w:hAnsi="Times New Roman" w:eastAsia="宋体" w:cs="Times New Roman"/>
                <w:b/>
                <w:bCs/>
                <w:color w:val="auto"/>
                <w:szCs w:val="21"/>
                <w:lang w:val="en-US" w:eastAsia="zh-CN"/>
              </w:rPr>
            </w:pPr>
            <w:r>
              <w:rPr>
                <w:rFonts w:hint="eastAsia" w:ascii="Times New Roman" w:hAnsi="Times New Roman" w:eastAsia="宋体" w:cs="Times New Roman"/>
                <w:b w:val="0"/>
                <w:bCs w:val="0"/>
                <w:color w:val="auto"/>
                <w:szCs w:val="21"/>
                <w:lang w:val="en-US" w:eastAsia="zh-CN"/>
              </w:rPr>
              <w:t>根据《市政府办公室关于明确〈中华人民共和国噪声污染防治法〉部分条款职责分工的通知》（通政办发〔2023〕57号），本项目需重点落实以下噪声污染防治职责分工：‌</w:t>
            </w:r>
            <w:r>
              <w:rPr>
                <w:rFonts w:hint="default" w:ascii="Times New Roman" w:hAnsi="Times New Roman" w:eastAsia="宋体" w:cs="Times New Roman"/>
                <w:b w:val="0"/>
                <w:bCs w:val="0"/>
                <w:color w:val="auto"/>
                <w:szCs w:val="21"/>
                <w:lang w:val="en-US" w:eastAsia="zh-CN"/>
              </w:rPr>
              <w:t>①工业设备运行噪声‌由生态环境部门统一监管，项目应定期提交设备噪声监测数据并配合检查；‌②施工阶段噪声‌（如设备安装）由住建部门负责监管，需提前取得夜间施工许可并向生态环境部门备案；‌③特殊时段管控‌（如中高考期间）需按生态环境部门公告要求暂停高噪声作业或申请豁免；‌④厂界噪声敏感区‌须设置隔音屏障等设施。项目通过工艺优化、设备降噪及合规管理，符合</w:t>
            </w:r>
            <w:r>
              <w:rPr>
                <w:rFonts w:hint="eastAsia" w:ascii="Times New Roman" w:hAnsi="Times New Roman" w:eastAsia="宋体" w:cs="Times New Roman"/>
                <w:b w:val="0"/>
                <w:bCs w:val="0"/>
                <w:color w:val="auto"/>
                <w:szCs w:val="21"/>
                <w:lang w:val="en-US" w:eastAsia="zh-CN"/>
              </w:rPr>
              <w:t>《市政府办公室关于明确&lt;中华人民共和国噪声污染防治法&gt;部分条款职责分工的通知》（通政办发[2023]57号</w:t>
            </w:r>
            <w:r>
              <w:rPr>
                <w:rFonts w:hint="eastAsia" w:cs="Times New Roman"/>
                <w:b w:val="0"/>
                <w:bCs w:val="0"/>
                <w:color w:val="auto"/>
                <w:szCs w:val="21"/>
                <w:lang w:val="en-US" w:eastAsia="zh-CN"/>
              </w:rPr>
              <w:t>）</w:t>
            </w:r>
            <w:r>
              <w:rPr>
                <w:rFonts w:hint="eastAsia" w:ascii="Times New Roman" w:hAnsi="Times New Roman" w:eastAsia="宋体" w:cs="Times New Roman"/>
                <w:b w:val="0"/>
                <w:bCs w:val="0"/>
                <w:color w:val="auto"/>
                <w:szCs w:val="21"/>
                <w:lang w:val="en-US" w:eastAsia="zh-CN"/>
              </w:rPr>
              <w:t>相关要求</w:t>
            </w:r>
            <w:r>
              <w:rPr>
                <w:rFonts w:hint="eastAsia" w:cs="Times New Roman"/>
                <w:b w:val="0"/>
                <w:bCs w:val="0"/>
                <w:color w:val="auto"/>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firstLine="422" w:firstLineChars="200"/>
              <w:textAlignment w:val="auto"/>
              <w:rPr>
                <w:rFonts w:hint="eastAsia" w:ascii="Times New Roman" w:hAnsi="Times New Roman" w:eastAsia="宋体" w:cs="Times New Roman"/>
                <w:b/>
                <w:bCs/>
                <w:color w:val="auto"/>
                <w:szCs w:val="21"/>
                <w:lang w:val="en-US" w:eastAsia="zh-CN"/>
              </w:rPr>
            </w:pPr>
            <w:r>
              <w:rPr>
                <w:rFonts w:hint="eastAsia" w:ascii="Times New Roman" w:hAnsi="Times New Roman" w:eastAsia="宋体" w:cs="Times New Roman"/>
                <w:b/>
                <w:bCs/>
                <w:color w:val="auto"/>
                <w:szCs w:val="21"/>
                <w:lang w:val="en-US" w:eastAsia="zh-CN"/>
              </w:rPr>
              <w:t>13、《市政府办公室关于明确&lt;中华人民共和国噪声污染防治法&gt;部分条款职责分工的通知》</w:t>
            </w:r>
            <w:r>
              <w:rPr>
                <w:rFonts w:hint="eastAsia" w:cs="Times New Roman"/>
                <w:b/>
                <w:bCs/>
                <w:color w:val="auto"/>
                <w:szCs w:val="21"/>
                <w:lang w:val="en-US" w:eastAsia="zh-CN"/>
              </w:rPr>
              <w:t>（</w:t>
            </w:r>
            <w:r>
              <w:rPr>
                <w:rFonts w:hint="eastAsia" w:ascii="Times New Roman" w:hAnsi="Times New Roman" w:eastAsia="宋体" w:cs="Times New Roman"/>
                <w:b/>
                <w:bCs/>
                <w:color w:val="auto"/>
                <w:szCs w:val="21"/>
                <w:lang w:val="en-US" w:eastAsia="zh-CN"/>
              </w:rPr>
              <w:t>皋政办发[2024]30号）相符性分析</w:t>
            </w:r>
          </w:p>
          <w:p>
            <w:pPr>
              <w:adjustRightInd w:val="0"/>
              <w:snapToGrid w:val="0"/>
              <w:spacing w:line="560" w:lineRule="exact"/>
              <w:ind w:firstLine="420" w:firstLineChars="200"/>
              <w:rPr>
                <w:rFonts w:hint="default"/>
                <w:lang w:val="en-US" w:eastAsia="zh-CN"/>
              </w:rPr>
            </w:pPr>
            <w:r>
              <w:rPr>
                <w:rFonts w:hint="eastAsia" w:ascii="Times New Roman" w:hAnsi="Times New Roman" w:eastAsia="宋体" w:cs="Times New Roman"/>
                <w:b w:val="0"/>
                <w:bCs w:val="0"/>
                <w:color w:val="auto"/>
                <w:szCs w:val="21"/>
                <w:lang w:val="en-US" w:eastAsia="zh-CN"/>
              </w:rPr>
              <w:t>根据</w:t>
            </w:r>
            <w:r>
              <w:rPr>
                <w:rFonts w:hint="eastAsia" w:ascii="Times New Roman" w:hAnsi="Times New Roman" w:eastAsia="宋体" w:cs="Times New Roman"/>
                <w:b/>
                <w:bCs/>
                <w:color w:val="auto"/>
                <w:szCs w:val="21"/>
                <w:lang w:val="en-US" w:eastAsia="zh-CN"/>
              </w:rPr>
              <w:t>《市政府办公室关于明确&lt;中华人民共和国噪声污染防治法&gt;部分条款职责分工的通知》</w:t>
            </w:r>
            <w:r>
              <w:rPr>
                <w:rFonts w:hint="eastAsia" w:cs="Times New Roman"/>
                <w:b/>
                <w:bCs/>
                <w:color w:val="auto"/>
                <w:szCs w:val="21"/>
                <w:lang w:val="en-US" w:eastAsia="zh-CN"/>
              </w:rPr>
              <w:t>（</w:t>
            </w:r>
            <w:r>
              <w:rPr>
                <w:rFonts w:hint="eastAsia" w:ascii="Times New Roman" w:hAnsi="Times New Roman" w:eastAsia="宋体" w:cs="Times New Roman"/>
                <w:b/>
                <w:bCs/>
                <w:color w:val="auto"/>
                <w:szCs w:val="21"/>
                <w:lang w:val="en-US" w:eastAsia="zh-CN"/>
              </w:rPr>
              <w:t>皋政办发[2024]30号）</w:t>
            </w:r>
            <w:r>
              <w:rPr>
                <w:rFonts w:hint="eastAsia" w:ascii="Times New Roman" w:hAnsi="Times New Roman" w:eastAsia="宋体" w:cs="Times New Roman"/>
                <w:b w:val="0"/>
                <w:bCs w:val="0"/>
                <w:color w:val="auto"/>
                <w:szCs w:val="21"/>
                <w:lang w:val="en-US" w:eastAsia="zh-CN"/>
              </w:rPr>
              <w:t>，本项目需重点落实以下噪声污染防治职责分工：‌</w:t>
            </w:r>
            <w:r>
              <w:rPr>
                <w:rFonts w:hint="default" w:ascii="Times New Roman" w:hAnsi="Times New Roman" w:eastAsia="宋体" w:cs="Times New Roman"/>
                <w:b w:val="0"/>
                <w:bCs w:val="0"/>
                <w:color w:val="auto"/>
                <w:szCs w:val="21"/>
                <w:lang w:val="en-US" w:eastAsia="zh-CN"/>
              </w:rPr>
              <w:t>①工业设备运行噪声</w:t>
            </w:r>
            <w:r>
              <w:rPr>
                <w:rFonts w:hint="eastAsia" w:ascii="Times New Roman" w:hAnsi="Times New Roman" w:eastAsia="宋体" w:cs="Times New Roman"/>
                <w:b w:val="0"/>
                <w:bCs w:val="0"/>
                <w:color w:val="auto"/>
                <w:szCs w:val="21"/>
                <w:lang w:val="en-US" w:eastAsia="zh-CN"/>
              </w:rPr>
              <w:t>生态环境部门推行在线噪声监测联网，需在电弧炉、空压机房安装实时传感器，数据同步至"南通市噪声智慧监管系统"</w:t>
            </w:r>
            <w:r>
              <w:rPr>
                <w:rFonts w:hint="default" w:ascii="Times New Roman" w:hAnsi="Times New Roman" w:eastAsia="宋体" w:cs="Times New Roman"/>
                <w:b w:val="0"/>
                <w:bCs w:val="0"/>
                <w:color w:val="auto"/>
                <w:szCs w:val="21"/>
                <w:lang w:val="en-US" w:eastAsia="zh-CN"/>
              </w:rPr>
              <w:t>；‌②施工阶段噪声‌（如设备安装）由住建部门负责监管，</w:t>
            </w:r>
            <w:r>
              <w:rPr>
                <w:rFonts w:hint="eastAsia" w:ascii="Times New Roman" w:hAnsi="Times New Roman" w:eastAsia="宋体" w:cs="Times New Roman"/>
                <w:b w:val="0"/>
                <w:bCs w:val="0"/>
                <w:color w:val="auto"/>
                <w:szCs w:val="21"/>
                <w:lang w:val="en-US" w:eastAsia="zh-CN"/>
              </w:rPr>
              <w:t>重点时段（如居民作息时间）禁止使用液压锤、破碎机等高冲击设备</w:t>
            </w:r>
            <w:r>
              <w:rPr>
                <w:rFonts w:hint="default" w:ascii="Times New Roman" w:hAnsi="Times New Roman" w:eastAsia="宋体" w:cs="Times New Roman"/>
                <w:b w:val="0"/>
                <w:bCs w:val="0"/>
                <w:color w:val="auto"/>
                <w:szCs w:val="21"/>
                <w:lang w:val="en-US" w:eastAsia="zh-CN"/>
              </w:rPr>
              <w:t>；‌③特殊时段管控‌（如中高考期间）需按生态环境部门公告要求暂停高噪声作业或申请豁免；‌④厂界噪声敏感区‌须设置隔音屏障等设施。项目</w:t>
            </w:r>
            <w:r>
              <w:rPr>
                <w:rFonts w:hint="eastAsia" w:ascii="Times New Roman" w:hAnsi="Times New Roman" w:eastAsia="宋体" w:cs="Times New Roman"/>
                <w:b w:val="0"/>
                <w:bCs w:val="0"/>
                <w:color w:val="auto"/>
                <w:szCs w:val="21"/>
                <w:lang w:val="en-US" w:eastAsia="zh-CN"/>
              </w:rPr>
              <w:t>通过安装磁悬浮降噪风机降低噪声</w:t>
            </w:r>
            <w:r>
              <w:rPr>
                <w:rFonts w:hint="default" w:ascii="Times New Roman" w:hAnsi="Times New Roman" w:eastAsia="宋体" w:cs="Times New Roman"/>
                <w:b w:val="0"/>
                <w:bCs w:val="0"/>
                <w:color w:val="auto"/>
                <w:szCs w:val="21"/>
                <w:lang w:val="en-US" w:eastAsia="zh-CN"/>
              </w:rPr>
              <w:t>，符合</w:t>
            </w:r>
            <w:r>
              <w:rPr>
                <w:rFonts w:hint="eastAsia" w:ascii="Times New Roman" w:hAnsi="Times New Roman" w:eastAsia="宋体" w:cs="Times New Roman"/>
                <w:b w:val="0"/>
                <w:bCs w:val="0"/>
                <w:color w:val="auto"/>
                <w:szCs w:val="21"/>
                <w:lang w:val="en-US" w:eastAsia="zh-CN"/>
              </w:rPr>
              <w:t>《市政府办公室关于明确&lt;中华人民共和国噪声污染防治法&gt;部分条款职责分工的通知》（皋政办发[2024]30号）相关要求。</w:t>
            </w:r>
          </w:p>
        </w:tc>
      </w:tr>
    </w:tbl>
    <w:p>
      <w:pPr>
        <w:spacing w:before="156" w:beforeLines="50" w:after="156" w:afterLines="50"/>
        <w:jc w:val="center"/>
        <w:outlineLvl w:val="0"/>
        <w:rPr>
          <w:rFonts w:eastAsia="黑体"/>
          <w:sz w:val="30"/>
          <w:szCs w:val="30"/>
        </w:rPr>
      </w:pPr>
      <w:r>
        <w:rPr>
          <w:rFonts w:eastAsia="黑体"/>
          <w:sz w:val="30"/>
          <w:szCs w:val="30"/>
        </w:rPr>
        <w:t>二、建设项目工程分析</w:t>
      </w:r>
    </w:p>
    <w:tbl>
      <w:tblPr>
        <w:tblStyle w:val="22"/>
        <w:tblW w:w="9027" w:type="dxa"/>
        <w:tblInd w:w="-2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
        <w:gridCol w:w="8148"/>
        <w:gridCol w:w="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tcPr>
          <w:p>
            <w:pPr>
              <w:rPr>
                <w:color w:val="auto"/>
              </w:rPr>
            </w:pPr>
          </w:p>
        </w:tc>
        <w:tc>
          <w:tcPr>
            <w:tcW w:w="8189" w:type="dxa"/>
            <w:gridSpan w:val="2"/>
          </w:tcPr>
          <w:p>
            <w:pPr>
              <w:numPr>
                <w:ilvl w:val="0"/>
                <w:numId w:val="10"/>
              </w:numPr>
              <w:spacing w:line="500" w:lineRule="exact"/>
              <w:ind w:firstLine="422" w:firstLineChars="200"/>
              <w:rPr>
                <w:b/>
                <w:bCs/>
                <w:color w:val="auto"/>
              </w:rPr>
            </w:pPr>
            <w:r>
              <w:rPr>
                <w:b/>
                <w:bCs/>
                <w:color w:val="auto"/>
              </w:rPr>
              <w:t>项目由来</w:t>
            </w:r>
          </w:p>
          <w:p>
            <w:pPr>
              <w:spacing w:line="500" w:lineRule="exact"/>
              <w:ind w:firstLine="420" w:firstLineChars="200"/>
              <w:rPr>
                <w:rFonts w:hint="eastAsia" w:eastAsia="宋体" w:cs="Times New Roman"/>
                <w:color w:val="auto"/>
                <w:lang w:val="en-US" w:eastAsia="zh-CN"/>
              </w:rPr>
            </w:pPr>
            <w:r>
              <w:rPr>
                <w:rFonts w:hint="eastAsia" w:eastAsia="宋体"/>
                <w:color w:val="auto"/>
                <w:szCs w:val="21"/>
                <w:lang w:val="en-US" w:eastAsia="zh-CN"/>
              </w:rPr>
              <w:t>如皋市宏茂重型锻</w:t>
            </w:r>
            <w:r>
              <w:rPr>
                <w:rFonts w:hint="eastAsia" w:ascii="Times New Roman" w:hAnsi="Times New Roman" w:eastAsia="宋体" w:cs="Times New Roman"/>
                <w:color w:val="auto"/>
                <w:szCs w:val="21"/>
                <w:lang w:val="en-US" w:eastAsia="zh-CN"/>
              </w:rPr>
              <w:t>压有限公司成立于201</w:t>
            </w:r>
            <w:r>
              <w:rPr>
                <w:rFonts w:hint="eastAsia"/>
                <w:color w:val="auto"/>
                <w:szCs w:val="21"/>
                <w:lang w:val="en-US" w:eastAsia="zh-CN"/>
              </w:rPr>
              <w:t>4年，位于</w:t>
            </w:r>
            <w:r>
              <w:rPr>
                <w:rFonts w:hint="eastAsia" w:ascii="Times New Roman" w:hAnsi="Times New Roman" w:eastAsia="宋体" w:cs="Times New Roman"/>
                <w:b w:val="0"/>
                <w:bCs w:val="0"/>
                <w:color w:val="auto"/>
                <w:kern w:val="2"/>
                <w:sz w:val="21"/>
                <w:szCs w:val="21"/>
                <w:lang w:val="en-US" w:eastAsia="zh-CN" w:bidi="ar-SA"/>
              </w:rPr>
              <w:t>如皋市长江镇创业路8号</w:t>
            </w:r>
            <w:r>
              <w:rPr>
                <w:rFonts w:hint="eastAsia"/>
                <w:color w:val="auto"/>
                <w:szCs w:val="21"/>
                <w:lang w:val="en-US" w:eastAsia="zh-CN"/>
              </w:rPr>
              <w:t>，</w:t>
            </w:r>
            <w:r>
              <w:rPr>
                <w:rFonts w:hint="eastAsia"/>
                <w:color w:val="auto"/>
                <w:szCs w:val="21"/>
              </w:rPr>
              <w:t>主营业务为高端装备特钢材料和新能源风电零部件的研发、生产及销售，新能源风电零部件是其在风力发电领域的主要产品，具体包括主轴以及齿轮箱零部件（包括行星轮、太阳轮、内齿圈、销轴、高速轴、中间轴、行星架等）。</w:t>
            </w:r>
            <w:r>
              <w:rPr>
                <w:rFonts w:hint="eastAsia" w:ascii="Times New Roman" w:hAnsi="Times New Roman" w:eastAsia="宋体" w:cs="Times New Roman"/>
                <w:color w:val="auto"/>
                <w:szCs w:val="21"/>
              </w:rPr>
              <w:t>公司成立初期</w:t>
            </w:r>
            <w:r>
              <w:rPr>
                <w:rFonts w:hint="eastAsia" w:ascii="Times New Roman" w:hAnsi="Times New Roman" w:eastAsia="宋体" w:cs="Times New Roman"/>
                <w:color w:val="auto"/>
                <w:szCs w:val="21"/>
                <w:lang w:val="en-US" w:eastAsia="zh-CN"/>
              </w:rPr>
              <w:t>（</w:t>
            </w:r>
            <w:r>
              <w:rPr>
                <w:rFonts w:hint="eastAsia" w:ascii="Times New Roman" w:hAnsi="Times New Roman" w:eastAsia="宋体" w:cs="Times New Roman"/>
                <w:color w:val="auto"/>
                <w:szCs w:val="21"/>
              </w:rPr>
              <w:t>2014年</w:t>
            </w:r>
            <w:r>
              <w:rPr>
                <w:rFonts w:hint="eastAsia" w:ascii="Times New Roman" w:hAnsi="Times New Roman" w:eastAsia="宋体" w:cs="Times New Roman"/>
                <w:color w:val="auto"/>
                <w:szCs w:val="21"/>
                <w:lang w:val="en-US" w:eastAsia="zh-CN"/>
              </w:rPr>
              <w:t>）</w:t>
            </w:r>
            <w:r>
              <w:rPr>
                <w:rFonts w:hint="eastAsia" w:ascii="Times New Roman" w:hAnsi="Times New Roman" w:eastAsia="宋体" w:cs="Times New Roman"/>
                <w:color w:val="auto"/>
                <w:szCs w:val="21"/>
              </w:rPr>
              <w:t>通过</w:t>
            </w:r>
            <w:r>
              <w:rPr>
                <w:rFonts w:hint="eastAsia" w:ascii="Times New Roman" w:hAnsi="Times New Roman" w:eastAsia="宋体" w:cs="Times New Roman"/>
                <w:color w:val="auto"/>
                <w:szCs w:val="21"/>
                <w:lang w:val="en-US" w:eastAsia="zh-CN"/>
              </w:rPr>
              <w:t>租赁南通振华宏晟重型锻压有限公司的厂房、土地</w:t>
            </w:r>
            <w:r>
              <w:rPr>
                <w:rFonts w:hint="eastAsia" w:cs="Times New Roman"/>
                <w:color w:val="auto"/>
                <w:szCs w:val="21"/>
                <w:lang w:val="en-US" w:eastAsia="zh-CN"/>
              </w:rPr>
              <w:t>及</w:t>
            </w:r>
            <w:r>
              <w:rPr>
                <w:rFonts w:hint="eastAsia" w:ascii="Times New Roman" w:hAnsi="Times New Roman" w:eastAsia="宋体" w:cs="Times New Roman"/>
                <w:color w:val="auto"/>
                <w:szCs w:val="21"/>
                <w:lang w:val="en-US" w:eastAsia="zh-CN"/>
              </w:rPr>
              <w:t>生产设备</w:t>
            </w:r>
            <w:r>
              <w:rPr>
                <w:rFonts w:hint="eastAsia" w:ascii="Times New Roman" w:hAnsi="Times New Roman" w:eastAsia="宋体" w:cs="Times New Roman"/>
                <w:color w:val="auto"/>
                <w:szCs w:val="21"/>
              </w:rPr>
              <w:t>开展锻件生产业务，该业务以宏茂重型锻压有限公司的名义进行。2014年至2018年收购前</w:t>
            </w:r>
            <w:r>
              <w:rPr>
                <w:rFonts w:hint="eastAsia" w:cs="Times New Roman"/>
                <w:color w:val="auto"/>
                <w:szCs w:val="21"/>
                <w:lang w:eastAsia="zh-CN"/>
              </w:rPr>
              <w:t>，</w:t>
            </w:r>
            <w:r>
              <w:rPr>
                <w:rFonts w:hint="eastAsia" w:ascii="Times New Roman" w:hAnsi="Times New Roman" w:eastAsia="宋体" w:cs="Times New Roman"/>
                <w:color w:val="auto"/>
                <w:szCs w:val="21"/>
                <w:lang w:val="en-US" w:eastAsia="zh-CN"/>
              </w:rPr>
              <w:t>如皋市宏茂重型锻压有限公司使用南通振华宏晟重型锻压有限公司“新建5000T快锻机组生产线项目”环评手续</w:t>
            </w:r>
            <w:r>
              <w:rPr>
                <w:rFonts w:hint="eastAsia" w:ascii="Times New Roman" w:hAnsi="Times New Roman" w:eastAsia="宋体" w:cs="Times New Roman"/>
                <w:color w:val="auto"/>
                <w:szCs w:val="21"/>
              </w:rPr>
              <w:t>进行运营</w:t>
            </w:r>
            <w:r>
              <w:rPr>
                <w:rFonts w:hint="eastAsia" w:cs="Times New Roman"/>
                <w:color w:val="auto"/>
                <w:szCs w:val="21"/>
                <w:lang w:eastAsia="zh-CN"/>
              </w:rPr>
              <w:t>。</w:t>
            </w:r>
            <w:r>
              <w:rPr>
                <w:rFonts w:hint="eastAsia" w:ascii="Times New Roman" w:hAnsi="Times New Roman" w:eastAsia="宋体" w:cs="Times New Roman"/>
                <w:color w:val="auto"/>
                <w:szCs w:val="21"/>
                <w:lang w:eastAsia="zh-CN"/>
              </w:rPr>
              <w:t>该项目于</w:t>
            </w:r>
            <w:r>
              <w:rPr>
                <w:rFonts w:hint="eastAsia" w:ascii="Times New Roman" w:hAnsi="Times New Roman" w:eastAsia="宋体" w:cs="Times New Roman"/>
                <w:color w:val="auto"/>
                <w:szCs w:val="21"/>
              </w:rPr>
              <w:t>201</w:t>
            </w:r>
            <w:r>
              <w:rPr>
                <w:rFonts w:hint="eastAsia" w:ascii="Times New Roman" w:hAnsi="Times New Roman" w:eastAsia="宋体" w:cs="Times New Roman"/>
                <w:color w:val="auto"/>
                <w:szCs w:val="21"/>
                <w:lang w:val="en-US" w:eastAsia="zh-CN"/>
              </w:rPr>
              <w:t>0</w:t>
            </w:r>
            <w:r>
              <w:rPr>
                <w:rFonts w:hint="eastAsia" w:ascii="Times New Roman" w:hAnsi="Times New Roman" w:eastAsia="宋体" w:cs="Times New Roman"/>
                <w:color w:val="auto"/>
                <w:szCs w:val="21"/>
              </w:rPr>
              <w:t>年</w:t>
            </w:r>
            <w:r>
              <w:rPr>
                <w:rFonts w:hint="eastAsia" w:ascii="Times New Roman" w:hAnsi="Times New Roman" w:eastAsia="宋体" w:cs="Times New Roman"/>
                <w:color w:val="auto"/>
                <w:szCs w:val="21"/>
                <w:lang w:val="en-US" w:eastAsia="zh-CN"/>
              </w:rPr>
              <w:t>1</w:t>
            </w:r>
            <w:r>
              <w:rPr>
                <w:rFonts w:hint="eastAsia" w:ascii="Times New Roman" w:hAnsi="Times New Roman" w:eastAsia="宋体" w:cs="Times New Roman"/>
                <w:color w:val="auto"/>
                <w:szCs w:val="21"/>
              </w:rPr>
              <w:t>月</w:t>
            </w:r>
            <w:r>
              <w:rPr>
                <w:rFonts w:hint="eastAsia" w:ascii="Times New Roman" w:hAnsi="Times New Roman" w:eastAsia="宋体" w:cs="Times New Roman"/>
                <w:color w:val="auto"/>
                <w:szCs w:val="21"/>
                <w:lang w:val="en-US" w:eastAsia="zh-CN"/>
              </w:rPr>
              <w:t>24</w:t>
            </w:r>
            <w:r>
              <w:rPr>
                <w:rFonts w:hint="eastAsia" w:ascii="Times New Roman" w:hAnsi="Times New Roman" w:eastAsia="宋体" w:cs="Times New Roman"/>
                <w:color w:val="auto"/>
                <w:szCs w:val="21"/>
              </w:rPr>
              <w:t>日通过</w:t>
            </w:r>
            <w:r>
              <w:rPr>
                <w:rFonts w:hint="eastAsia" w:ascii="Times New Roman" w:hAnsi="Times New Roman" w:eastAsia="宋体" w:cs="Times New Roman"/>
                <w:color w:val="auto"/>
                <w:szCs w:val="21"/>
                <w:lang w:eastAsia="zh-CN"/>
              </w:rPr>
              <w:t>如皋市环保局审批（皋环发〔201</w:t>
            </w:r>
            <w:r>
              <w:rPr>
                <w:rFonts w:hint="eastAsia" w:ascii="Times New Roman" w:hAnsi="Times New Roman" w:eastAsia="宋体" w:cs="Times New Roman"/>
                <w:color w:val="auto"/>
                <w:szCs w:val="21"/>
                <w:lang w:val="en-US" w:eastAsia="zh-CN"/>
              </w:rPr>
              <w:t>0</w:t>
            </w:r>
            <w:r>
              <w:rPr>
                <w:rFonts w:hint="eastAsia" w:ascii="Times New Roman" w:hAnsi="Times New Roman" w:eastAsia="宋体" w:cs="Times New Roman"/>
                <w:color w:val="auto"/>
                <w:szCs w:val="21"/>
                <w:lang w:eastAsia="zh-CN"/>
              </w:rPr>
              <w:t>〕</w:t>
            </w:r>
            <w:r>
              <w:rPr>
                <w:rFonts w:hint="eastAsia" w:ascii="Times New Roman" w:hAnsi="Times New Roman" w:eastAsia="宋体" w:cs="Times New Roman"/>
                <w:color w:val="auto"/>
                <w:szCs w:val="21"/>
                <w:lang w:val="en-US" w:eastAsia="zh-CN"/>
              </w:rPr>
              <w:t>7</w:t>
            </w:r>
            <w:r>
              <w:rPr>
                <w:rFonts w:hint="eastAsia" w:ascii="Times New Roman" w:hAnsi="Times New Roman" w:eastAsia="宋体" w:cs="Times New Roman"/>
                <w:color w:val="auto"/>
                <w:szCs w:val="21"/>
                <w:lang w:eastAsia="zh-CN"/>
              </w:rPr>
              <w:t>号），</w:t>
            </w:r>
            <w:r>
              <w:rPr>
                <w:rFonts w:hint="eastAsia" w:ascii="Times New Roman" w:hAnsi="Times New Roman" w:eastAsia="宋体" w:cs="Times New Roman"/>
                <w:color w:val="auto"/>
                <w:szCs w:val="21"/>
              </w:rPr>
              <w:t>并于2017年由如皋市行政审批局完成验收</w:t>
            </w:r>
            <w:r>
              <w:rPr>
                <w:rFonts w:hint="eastAsia" w:ascii="Times New Roman" w:hAnsi="Times New Roman" w:eastAsia="宋体" w:cs="Times New Roman"/>
                <w:color w:val="auto"/>
                <w:szCs w:val="21"/>
                <w:lang w:eastAsia="zh-CN"/>
              </w:rPr>
              <w:t>（验收文号：皋行审环验（表）〔201</w:t>
            </w:r>
            <w:r>
              <w:rPr>
                <w:rFonts w:hint="eastAsia" w:ascii="Times New Roman" w:hAnsi="Times New Roman" w:eastAsia="宋体" w:cs="Times New Roman"/>
                <w:color w:val="auto"/>
                <w:szCs w:val="21"/>
                <w:lang w:val="en-US" w:eastAsia="zh-CN"/>
              </w:rPr>
              <w:t>7</w:t>
            </w:r>
            <w:r>
              <w:rPr>
                <w:rFonts w:hint="eastAsia" w:ascii="Times New Roman" w:hAnsi="Times New Roman" w:eastAsia="宋体" w:cs="Times New Roman"/>
                <w:color w:val="auto"/>
                <w:szCs w:val="21"/>
                <w:lang w:eastAsia="zh-CN"/>
              </w:rPr>
              <w:t>〕</w:t>
            </w:r>
            <w:r>
              <w:rPr>
                <w:rFonts w:hint="eastAsia" w:ascii="Times New Roman" w:hAnsi="Times New Roman" w:eastAsia="宋体" w:cs="Times New Roman"/>
                <w:color w:val="auto"/>
                <w:szCs w:val="21"/>
                <w:lang w:val="en-US" w:eastAsia="zh-CN"/>
              </w:rPr>
              <w:t>33</w:t>
            </w:r>
            <w:r>
              <w:rPr>
                <w:rFonts w:hint="eastAsia" w:ascii="Times New Roman" w:hAnsi="Times New Roman" w:eastAsia="宋体" w:cs="Times New Roman"/>
                <w:color w:val="auto"/>
                <w:szCs w:val="21"/>
                <w:lang w:eastAsia="zh-CN"/>
              </w:rPr>
              <w:t>号）。</w:t>
            </w:r>
            <w:r>
              <w:rPr>
                <w:rFonts w:hint="eastAsia" w:ascii="Times New Roman" w:hAnsi="Times New Roman" w:eastAsia="宋体" w:cs="Times New Roman"/>
                <w:color w:val="auto"/>
                <w:szCs w:val="21"/>
                <w:lang w:val="en-US" w:eastAsia="zh-CN"/>
              </w:rPr>
              <w:t>2018年</w:t>
            </w:r>
            <w:r>
              <w:rPr>
                <w:rFonts w:hint="eastAsia" w:ascii="Times New Roman" w:hAnsi="Times New Roman" w:eastAsia="宋体" w:cs="Times New Roman"/>
                <w:color w:val="auto"/>
                <w:szCs w:val="21"/>
              </w:rPr>
              <w:t>公司进一步收购了</w:t>
            </w:r>
            <w:r>
              <w:rPr>
                <w:rFonts w:hint="eastAsia" w:ascii="Times New Roman" w:hAnsi="Times New Roman" w:eastAsia="宋体" w:cs="Times New Roman"/>
                <w:color w:val="auto"/>
                <w:szCs w:val="21"/>
                <w:lang w:val="en-US" w:eastAsia="zh-CN"/>
              </w:rPr>
              <w:t>南通振华宏晟重型锻压有限公司厂房、土地及生产设备</w:t>
            </w:r>
            <w:r>
              <w:rPr>
                <w:rFonts w:hint="eastAsia" w:ascii="Times New Roman" w:hAnsi="Times New Roman" w:eastAsia="宋体" w:cs="Times New Roman"/>
                <w:color w:val="auto"/>
                <w:szCs w:val="21"/>
              </w:rPr>
              <w:t>实现自主生产</w:t>
            </w:r>
            <w:r>
              <w:rPr>
                <w:rFonts w:hint="eastAsia" w:cs="Times New Roman"/>
                <w:color w:val="auto"/>
                <w:szCs w:val="21"/>
                <w:lang w:eastAsia="zh-CN"/>
              </w:rPr>
              <w:t>，</w:t>
            </w:r>
            <w:r>
              <w:rPr>
                <w:rFonts w:hint="eastAsia" w:ascii="Times New Roman" w:hAnsi="Times New Roman" w:eastAsia="宋体" w:cs="Times New Roman"/>
                <w:color w:val="auto"/>
                <w:szCs w:val="21"/>
                <w:lang w:val="en-US" w:eastAsia="zh-CN"/>
              </w:rPr>
              <w:t>并将南通</w:t>
            </w:r>
            <w:r>
              <w:rPr>
                <w:rFonts w:hint="eastAsia"/>
                <w:color w:val="auto"/>
                <w:szCs w:val="21"/>
                <w:lang w:val="en-US" w:eastAsia="zh-CN"/>
              </w:rPr>
              <w:t>振华宏晟重型锻压有限公司原有</w:t>
            </w:r>
            <w:r>
              <w:rPr>
                <w:rFonts w:hint="eastAsia" w:cs="Times New Roman"/>
                <w:color w:val="auto"/>
                <w:lang w:val="en-US" w:eastAsia="zh-CN"/>
              </w:rPr>
              <w:t>的“</w:t>
            </w:r>
            <w:r>
              <w:rPr>
                <w:rFonts w:hint="eastAsia" w:eastAsia="宋体" w:cs="Times New Roman"/>
                <w:color w:val="auto"/>
                <w:lang w:val="en-US" w:eastAsia="zh-CN"/>
              </w:rPr>
              <w:t>新建5000T快锻机组生产线项目</w:t>
            </w:r>
            <w:r>
              <w:rPr>
                <w:rFonts w:hint="eastAsia" w:cs="Times New Roman"/>
                <w:color w:val="auto"/>
                <w:lang w:val="en-US" w:eastAsia="zh-CN"/>
              </w:rPr>
              <w:t>”</w:t>
            </w:r>
            <w:r>
              <w:rPr>
                <w:rFonts w:hint="eastAsia" w:cs="Times New Roman"/>
                <w:color w:val="auto"/>
                <w:szCs w:val="21"/>
                <w:lang w:eastAsia="zh-CN"/>
              </w:rPr>
              <w:t>环评手续转让至</w:t>
            </w:r>
            <w:r>
              <w:rPr>
                <w:rFonts w:hint="eastAsia" w:eastAsia="宋体"/>
                <w:color w:val="auto"/>
                <w:szCs w:val="21"/>
                <w:lang w:val="en-US" w:eastAsia="zh-CN"/>
              </w:rPr>
              <w:t>如皋市宏茂重型锻</w:t>
            </w:r>
            <w:r>
              <w:rPr>
                <w:rFonts w:hint="eastAsia" w:ascii="Times New Roman" w:hAnsi="Times New Roman" w:eastAsia="宋体" w:cs="Times New Roman"/>
                <w:color w:val="auto"/>
                <w:szCs w:val="21"/>
                <w:lang w:val="en-US" w:eastAsia="zh-CN"/>
              </w:rPr>
              <w:t>压有限公司</w:t>
            </w:r>
            <w:r>
              <w:rPr>
                <w:rFonts w:hint="eastAsia" w:cs="Times New Roman"/>
                <w:color w:val="auto"/>
                <w:szCs w:val="21"/>
                <w:lang w:val="en-US" w:eastAsia="zh-CN"/>
              </w:rPr>
              <w:t>名下</w:t>
            </w:r>
            <w:r>
              <w:rPr>
                <w:rFonts w:hint="eastAsia" w:ascii="Times New Roman" w:hAnsi="Times New Roman" w:eastAsia="宋体" w:cs="Times New Roman"/>
                <w:color w:val="auto"/>
                <w:szCs w:val="21"/>
                <w:lang w:val="en-US" w:eastAsia="zh-CN"/>
              </w:rPr>
              <w:t>，</w:t>
            </w:r>
            <w:r>
              <w:rPr>
                <w:rFonts w:hint="eastAsia" w:ascii="Times New Roman" w:hAnsi="Times New Roman" w:eastAsia="宋体" w:cs="Times New Roman"/>
                <w:color w:val="auto"/>
                <w:szCs w:val="21"/>
                <w:lang w:eastAsia="zh-CN"/>
              </w:rPr>
              <w:t>该项目</w:t>
            </w:r>
            <w:r>
              <w:rPr>
                <w:rFonts w:hint="eastAsia" w:cs="Times New Roman"/>
                <w:color w:val="auto"/>
                <w:lang w:val="en-US" w:eastAsia="zh-CN"/>
              </w:rPr>
              <w:t>已</w:t>
            </w:r>
            <w:r>
              <w:rPr>
                <w:rFonts w:hint="eastAsia" w:ascii="Times New Roman" w:hAnsi="Times New Roman" w:eastAsia="宋体" w:cs="Times New Roman"/>
                <w:color w:val="auto"/>
                <w:szCs w:val="21"/>
              </w:rPr>
              <w:t>通过竣工环保</w:t>
            </w:r>
            <w:r>
              <w:rPr>
                <w:rFonts w:hint="eastAsia" w:ascii="Times New Roman" w:hAnsi="Times New Roman" w:eastAsia="宋体" w:cs="Times New Roman"/>
                <w:color w:val="auto"/>
                <w:szCs w:val="21"/>
                <w:lang w:val="en-US" w:eastAsia="zh-CN"/>
              </w:rPr>
              <w:t>验收</w:t>
            </w:r>
            <w:r>
              <w:rPr>
                <w:rFonts w:hint="eastAsia" w:eastAsia="宋体" w:cs="Times New Roman"/>
                <w:color w:val="auto"/>
                <w:lang w:val="en-US" w:eastAsia="zh-CN"/>
              </w:rPr>
              <w:t>。</w:t>
            </w:r>
            <w:r>
              <w:rPr>
                <w:rFonts w:hint="eastAsia" w:ascii="Times New Roman" w:hAnsi="Times New Roman" w:eastAsia="宋体" w:cs="Times New Roman"/>
                <w:color w:val="auto"/>
                <w:szCs w:val="21"/>
              </w:rPr>
              <w:t>2023年8月1日，如皋市宏茂重型锻压有限公司取得固定污染源排污登记回执（登记编号：913206820884333015001Z）</w:t>
            </w:r>
            <w:r>
              <w:rPr>
                <w:rFonts w:hint="eastAsia" w:ascii="Times New Roman" w:hAnsi="Times New Roman" w:eastAsia="宋体" w:cs="Times New Roman"/>
                <w:color w:val="auto"/>
                <w:szCs w:val="21"/>
                <w:lang w:eastAsia="zh-CN"/>
              </w:rPr>
              <w:t>。</w:t>
            </w:r>
          </w:p>
          <w:p>
            <w:pPr>
              <w:spacing w:line="500" w:lineRule="exact"/>
              <w:ind w:firstLine="420" w:firstLineChars="20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本次改扩建内容主要包含以下内容：</w:t>
            </w:r>
          </w:p>
          <w:p>
            <w:pPr>
              <w:spacing w:line="500" w:lineRule="exact"/>
              <w:ind w:firstLine="420" w:firstLineChars="20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w:t>
            </w:r>
            <w:r>
              <w:rPr>
                <w:rFonts w:hint="eastAsia"/>
                <w:color w:val="auto"/>
                <w:lang w:eastAsia="zh-CN"/>
              </w:rPr>
              <w:t>在</w:t>
            </w:r>
            <w:r>
              <w:rPr>
                <w:rFonts w:hint="eastAsia" w:eastAsia="宋体"/>
                <w:color w:val="auto"/>
                <w:szCs w:val="21"/>
                <w:lang w:val="en-US" w:eastAsia="zh-CN"/>
              </w:rPr>
              <w:t>锻压工序</w:t>
            </w:r>
            <w:r>
              <w:rPr>
                <w:rFonts w:hint="eastAsia"/>
                <w:color w:val="auto"/>
                <w:szCs w:val="21"/>
                <w:lang w:val="en-US" w:eastAsia="zh-CN"/>
              </w:rPr>
              <w:t>中</w:t>
            </w:r>
            <w:r>
              <w:rPr>
                <w:rFonts w:hint="eastAsia" w:ascii="Times New Roman" w:hAnsi="Times New Roman" w:eastAsia="宋体" w:cs="Times New Roman"/>
                <w:color w:val="auto"/>
                <w:szCs w:val="21"/>
                <w:lang w:val="en-US" w:eastAsia="zh-CN"/>
              </w:rPr>
              <w:t>，计划淘汰2台尺寸为5x5x3.5m室式加热炉设备淘汰，购置1台尺寸5x5.4x3.6m室式加热炉设备来替代，新式的室式加热炉可以配备电磁铁调节装置，既能适应不同尺寸原材料的加热需求，又能提高热回收效率。同时，还能利用储存的余热对气源进行干燥，有效防止材料氧化。</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eastAsia="宋体"/>
                <w:color w:val="auto"/>
                <w:szCs w:val="21"/>
                <w:lang w:val="en-US" w:eastAsia="zh-CN"/>
              </w:rPr>
            </w:pPr>
            <w:r>
              <w:rPr>
                <w:rFonts w:hint="eastAsia" w:ascii="Times New Roman" w:hAnsi="Times New Roman" w:eastAsia="宋体" w:cs="Times New Roman"/>
                <w:color w:val="auto"/>
                <w:szCs w:val="21"/>
                <w:lang w:val="en-US" w:eastAsia="zh-CN"/>
              </w:rPr>
              <w:t>（2）在热处理工序中，淘汰</w:t>
            </w:r>
            <w:r>
              <w:rPr>
                <w:rFonts w:hint="eastAsia" w:eastAsia="宋体"/>
                <w:color w:val="auto"/>
                <w:szCs w:val="21"/>
                <w:lang w:val="en-US" w:eastAsia="zh-CN"/>
              </w:rPr>
              <w:t>1台</w:t>
            </w:r>
            <w:r>
              <w:rPr>
                <w:rFonts w:hint="eastAsia" w:ascii="Times New Roman" w:hAnsi="Times New Roman" w:eastAsia="宋体" w:cs="Times New Roman"/>
                <w:b w:val="0"/>
                <w:bCs/>
                <w:color w:val="auto"/>
                <w:kern w:val="2"/>
                <w:sz w:val="21"/>
                <w:szCs w:val="21"/>
                <w:lang w:val="en-US" w:eastAsia="zh-CN" w:bidi="ar-SA"/>
              </w:rPr>
              <w:t>台车式退火炉</w:t>
            </w:r>
            <w:r>
              <w:rPr>
                <w:rFonts w:hint="eastAsia" w:eastAsia="宋体"/>
                <w:color w:val="auto"/>
                <w:szCs w:val="21"/>
                <w:lang w:val="en-US" w:eastAsia="zh-CN"/>
              </w:rPr>
              <w:t>设备淘汰</w:t>
            </w:r>
            <w:r>
              <w:rPr>
                <w:rFonts w:hint="eastAsia" w:ascii="Times New Roman" w:hAnsi="Times New Roman" w:eastAsia="宋体" w:cs="Times New Roman"/>
                <w:b w:val="0"/>
                <w:bCs/>
                <w:color w:val="auto"/>
                <w:kern w:val="2"/>
                <w:sz w:val="21"/>
                <w:szCs w:val="21"/>
                <w:lang w:val="en-US" w:eastAsia="zh-CN" w:bidi="ar-SA"/>
              </w:rPr>
              <w:t>、</w:t>
            </w:r>
            <w:r>
              <w:rPr>
                <w:rFonts w:hint="eastAsia" w:cs="Times New Roman"/>
                <w:b w:val="0"/>
                <w:bCs/>
                <w:color w:val="auto"/>
                <w:kern w:val="2"/>
                <w:sz w:val="21"/>
                <w:szCs w:val="21"/>
                <w:lang w:val="en-US" w:eastAsia="zh-CN" w:bidi="ar-SA"/>
              </w:rPr>
              <w:t>6</w:t>
            </w:r>
            <w:r>
              <w:rPr>
                <w:rFonts w:hint="eastAsia" w:ascii="Times New Roman" w:hAnsi="Times New Roman" w:eastAsia="宋体" w:cs="Times New Roman"/>
                <w:b w:val="0"/>
                <w:bCs/>
                <w:color w:val="auto"/>
                <w:kern w:val="2"/>
                <w:sz w:val="21"/>
                <w:szCs w:val="21"/>
                <w:lang w:val="en-US" w:eastAsia="zh-CN" w:bidi="ar-SA"/>
              </w:rPr>
              <w:t>台</w:t>
            </w:r>
            <w:r>
              <w:rPr>
                <w:rFonts w:hint="default" w:ascii="Times New Roman" w:hAnsi="Times New Roman" w:eastAsia="宋体" w:cs="Times New Roman"/>
                <w:b w:val="0"/>
                <w:bCs/>
                <w:color w:val="auto"/>
                <w:kern w:val="2"/>
                <w:sz w:val="21"/>
                <w:szCs w:val="21"/>
                <w:lang w:val="en-US" w:eastAsia="zh-CN" w:bidi="ar-SA"/>
              </w:rPr>
              <w:t>电热处理炉</w:t>
            </w:r>
            <w:r>
              <w:rPr>
                <w:rFonts w:hint="eastAsia" w:eastAsia="宋体"/>
                <w:color w:val="auto"/>
                <w:szCs w:val="21"/>
                <w:lang w:val="en-US" w:eastAsia="zh-CN"/>
              </w:rPr>
              <w:t>淘汰，购置</w:t>
            </w:r>
            <w:r>
              <w:rPr>
                <w:rFonts w:hint="eastAsia" w:ascii="Times New Roman" w:hAnsi="Times New Roman" w:eastAsia="宋体" w:cs="Times New Roman"/>
                <w:b w:val="0"/>
                <w:bCs/>
                <w:color w:val="auto"/>
                <w:kern w:val="2"/>
                <w:sz w:val="21"/>
                <w:szCs w:val="21"/>
                <w:lang w:val="en-US" w:eastAsia="zh-CN" w:bidi="ar-SA"/>
              </w:rPr>
              <w:t>1台淬火电炉、1台回火电炉</w:t>
            </w:r>
            <w:r>
              <w:rPr>
                <w:rFonts w:hint="eastAsia"/>
                <w:color w:val="auto"/>
                <w:szCs w:val="21"/>
                <w:lang w:val="en-US" w:eastAsia="zh-CN"/>
              </w:rPr>
              <w:t>来</w:t>
            </w:r>
            <w:r>
              <w:rPr>
                <w:rFonts w:hint="eastAsia" w:eastAsia="宋体"/>
                <w:color w:val="auto"/>
                <w:szCs w:val="21"/>
                <w:lang w:val="en-US" w:eastAsia="zh-CN"/>
              </w:rPr>
              <w:t>替代，新式</w:t>
            </w:r>
            <w:r>
              <w:rPr>
                <w:rFonts w:hint="eastAsia" w:ascii="Times New Roman" w:hAnsi="Times New Roman" w:eastAsia="宋体" w:cs="Times New Roman"/>
                <w:b w:val="0"/>
                <w:bCs/>
                <w:color w:val="auto"/>
                <w:kern w:val="2"/>
                <w:sz w:val="21"/>
                <w:szCs w:val="21"/>
                <w:lang w:val="en-US" w:eastAsia="zh-CN" w:bidi="ar-SA"/>
              </w:rPr>
              <w:t>淬火电炉</w:t>
            </w:r>
            <w:r>
              <w:rPr>
                <w:rFonts w:hint="eastAsia" w:cs="Times New Roman"/>
                <w:b w:val="0"/>
                <w:bCs/>
                <w:color w:val="auto"/>
                <w:kern w:val="2"/>
                <w:sz w:val="21"/>
                <w:szCs w:val="21"/>
                <w:lang w:val="en-US" w:eastAsia="zh-CN" w:bidi="ar-SA"/>
              </w:rPr>
              <w:t>和</w:t>
            </w:r>
            <w:r>
              <w:rPr>
                <w:rFonts w:hint="eastAsia" w:ascii="Times New Roman" w:hAnsi="Times New Roman" w:eastAsia="宋体" w:cs="Times New Roman"/>
                <w:b w:val="0"/>
                <w:bCs/>
                <w:color w:val="auto"/>
                <w:kern w:val="2"/>
                <w:sz w:val="21"/>
                <w:szCs w:val="21"/>
                <w:lang w:val="en-US" w:eastAsia="zh-CN" w:bidi="ar-SA"/>
              </w:rPr>
              <w:t>回火电炉</w:t>
            </w:r>
            <w:r>
              <w:rPr>
                <w:rFonts w:hint="eastAsia" w:eastAsia="宋体"/>
                <w:color w:val="auto"/>
                <w:szCs w:val="21"/>
              </w:rPr>
              <w:t>的附属装置及工载具采用比热小的材料，所需热量比例为18%～30%，这样可减少原材料的消耗，</w:t>
            </w:r>
            <w:r>
              <w:rPr>
                <w:rFonts w:hint="eastAsia"/>
                <w:color w:val="auto"/>
                <w:szCs w:val="21"/>
                <w:lang w:eastAsia="zh-CN"/>
              </w:rPr>
              <w:t>降低</w:t>
            </w:r>
            <w:r>
              <w:rPr>
                <w:rFonts w:hint="eastAsia" w:eastAsia="宋体"/>
                <w:color w:val="auto"/>
                <w:szCs w:val="21"/>
              </w:rPr>
              <w:t>蓄热损失，节约燃料</w:t>
            </w:r>
            <w:r>
              <w:rPr>
                <w:rFonts w:hint="eastAsia"/>
                <w:color w:val="auto"/>
                <w:szCs w:val="21"/>
                <w:lang w:val="en-US" w:eastAsia="zh-CN"/>
              </w:rPr>
              <w:t>。</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default" w:eastAsia="宋体"/>
                <w:color w:val="auto"/>
                <w:szCs w:val="21"/>
                <w:lang w:val="en-US" w:eastAsia="zh-CN"/>
              </w:rPr>
            </w:pPr>
            <w:r>
              <w:rPr>
                <w:rFonts w:hint="eastAsia" w:ascii="Times New Roman" w:hAnsi="Times New Roman" w:eastAsia="宋体" w:cs="Times New Roman"/>
                <w:color w:val="auto"/>
                <w:szCs w:val="21"/>
                <w:lang w:val="en-US" w:eastAsia="zh-CN"/>
              </w:rPr>
              <w:t>（3）本项目将引进更大吨位的锻造设备，以此增强公司锻造工艺的加工能力。</w:t>
            </w:r>
            <w:r>
              <w:rPr>
                <w:rFonts w:hint="eastAsia" w:eastAsia="宋体"/>
                <w:color w:val="auto"/>
                <w:szCs w:val="21"/>
                <w:lang w:val="en-US" w:eastAsia="zh-CN"/>
              </w:rPr>
              <w:t>本项目实施</w:t>
            </w:r>
            <w:r>
              <w:rPr>
                <w:rFonts w:hint="eastAsia"/>
                <w:color w:val="auto"/>
                <w:szCs w:val="21"/>
                <w:lang w:val="en-US" w:eastAsia="zh-CN"/>
              </w:rPr>
              <w:t>后，将使</w:t>
            </w:r>
            <w:r>
              <w:rPr>
                <w:rFonts w:hint="eastAsia" w:eastAsia="宋体"/>
                <w:color w:val="auto"/>
                <w:szCs w:val="21"/>
                <w:lang w:val="en-US" w:eastAsia="zh-CN"/>
              </w:rPr>
              <w:t>公司轴类产品</w:t>
            </w:r>
            <w:r>
              <w:rPr>
                <w:rFonts w:hint="eastAsia"/>
                <w:color w:val="auto"/>
                <w:szCs w:val="21"/>
                <w:lang w:val="en-US" w:eastAsia="zh-CN"/>
              </w:rPr>
              <w:t>的产能</w:t>
            </w:r>
            <w:r>
              <w:rPr>
                <w:rFonts w:hint="eastAsia" w:eastAsia="宋体"/>
                <w:color w:val="auto"/>
                <w:szCs w:val="21"/>
                <w:lang w:val="en-US" w:eastAsia="zh-CN"/>
              </w:rPr>
              <w:t>扩大79000吨、模块类锻件</w:t>
            </w:r>
            <w:r>
              <w:rPr>
                <w:rFonts w:hint="eastAsia"/>
                <w:color w:val="auto"/>
                <w:szCs w:val="21"/>
                <w:lang w:val="en-US" w:eastAsia="zh-CN"/>
              </w:rPr>
              <w:t>的产能</w:t>
            </w:r>
            <w:r>
              <w:rPr>
                <w:rFonts w:hint="eastAsia" w:eastAsia="宋体"/>
                <w:color w:val="auto"/>
                <w:szCs w:val="21"/>
                <w:lang w:val="en-US" w:eastAsia="zh-CN"/>
              </w:rPr>
              <w:t>扩大20000吨</w:t>
            </w:r>
            <w:r>
              <w:rPr>
                <w:rFonts w:hint="eastAsia"/>
                <w:color w:val="auto"/>
                <w:szCs w:val="21"/>
                <w:lang w:val="en-US" w:eastAsia="zh-CN"/>
              </w:rPr>
              <w:t>。</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eastAsia="宋体"/>
                <w:color w:val="auto"/>
                <w:szCs w:val="21"/>
                <w:lang w:eastAsia="zh-CN"/>
              </w:rPr>
            </w:pPr>
            <w:r>
              <w:rPr>
                <w:rFonts w:hint="eastAsia" w:ascii="Times New Roman" w:hAnsi="Times New Roman" w:eastAsia="宋体" w:cs="Times New Roman"/>
                <w:color w:val="auto"/>
                <w:szCs w:val="21"/>
                <w:lang w:val="en-US" w:eastAsia="zh-CN"/>
              </w:rPr>
              <w:t>（4）</w:t>
            </w:r>
            <w:r>
              <w:rPr>
                <w:rFonts w:hint="eastAsia" w:ascii="Times New Roman" w:hAnsi="Times New Roman" w:eastAsia="宋体" w:cs="Times New Roman"/>
                <w:b w:val="0"/>
                <w:bCs w:val="0"/>
                <w:color w:val="auto"/>
                <w:kern w:val="2"/>
                <w:sz w:val="21"/>
                <w:szCs w:val="21"/>
                <w:lang w:val="en-US" w:eastAsia="zh-CN" w:bidi="ar-SA"/>
              </w:rPr>
              <w:t>本项目</w:t>
            </w:r>
            <w:r>
              <w:rPr>
                <w:rFonts w:hint="eastAsia" w:cs="Times New Roman"/>
                <w:b w:val="0"/>
                <w:bCs w:val="0"/>
                <w:color w:val="auto"/>
                <w:kern w:val="2"/>
                <w:sz w:val="21"/>
                <w:szCs w:val="21"/>
                <w:lang w:val="en-US" w:eastAsia="zh-CN" w:bidi="ar-SA"/>
              </w:rPr>
              <w:t>还将</w:t>
            </w:r>
            <w:r>
              <w:rPr>
                <w:rFonts w:hint="eastAsia" w:ascii="Times New Roman" w:hAnsi="Times New Roman" w:eastAsia="宋体" w:cs="Times New Roman"/>
                <w:b w:val="0"/>
                <w:bCs w:val="0"/>
                <w:color w:val="auto"/>
                <w:kern w:val="2"/>
                <w:sz w:val="21"/>
                <w:szCs w:val="21"/>
                <w:lang w:val="en-US" w:eastAsia="zh-CN" w:bidi="ar-SA"/>
              </w:rPr>
              <w:t>对24套辅助设备进行改造：淘汰室式加热炉配套措施引风机电机1套、钢丝绳式电动葫芦1套，10T取料机配套措施大车电机1套、小车电机1套、油泵电机1套，碾环机油泵电机5套、直流电机4套、小油泵电机1套、水泵电机1套，台车电机6套，50T操作机配套措施电机1套，卧式车床配套措施电机1套，新增24套更节能辅助风机。此次改造仅</w:t>
            </w:r>
            <w:r>
              <w:rPr>
                <w:rFonts w:hint="eastAsia" w:ascii="Times New Roman" w:hAnsi="Times New Roman" w:eastAsia="宋体" w:cs="Times New Roman"/>
                <w:b w:val="0"/>
                <w:bCs/>
                <w:color w:val="auto"/>
                <w:kern w:val="2"/>
                <w:sz w:val="21"/>
                <w:szCs w:val="21"/>
                <w:lang w:val="en-US" w:eastAsia="zh-CN" w:bidi="ar-SA"/>
              </w:rPr>
              <w:t>通过电机升级实现节能降耗或提升运行效率，</w:t>
            </w:r>
            <w:r>
              <w:rPr>
                <w:rFonts w:hint="eastAsia" w:cs="Times New Roman"/>
                <w:b w:val="0"/>
                <w:bCs/>
                <w:color w:val="auto"/>
                <w:kern w:val="2"/>
                <w:sz w:val="21"/>
                <w:szCs w:val="21"/>
                <w:lang w:val="en-US" w:eastAsia="zh-CN" w:bidi="ar-SA"/>
              </w:rPr>
              <w:t>并</w:t>
            </w:r>
            <w:r>
              <w:rPr>
                <w:rFonts w:hint="eastAsia" w:ascii="Times New Roman" w:hAnsi="Times New Roman" w:eastAsia="宋体" w:cs="Times New Roman"/>
                <w:b w:val="0"/>
                <w:bCs w:val="0"/>
                <w:color w:val="auto"/>
                <w:kern w:val="2"/>
                <w:sz w:val="21"/>
                <w:szCs w:val="21"/>
                <w:lang w:val="en-US" w:eastAsia="zh-CN" w:bidi="ar-SA"/>
              </w:rPr>
              <w:t>不涉及增加产能和技术改造的</w:t>
            </w:r>
            <w:r>
              <w:rPr>
                <w:rFonts w:hint="eastAsia" w:cs="Times New Roman"/>
                <w:b w:val="0"/>
                <w:bCs w:val="0"/>
                <w:color w:val="auto"/>
                <w:kern w:val="2"/>
                <w:sz w:val="21"/>
                <w:szCs w:val="21"/>
                <w:lang w:val="en-US" w:eastAsia="zh-CN" w:bidi="ar-SA"/>
              </w:rPr>
              <w:t>其他方面</w:t>
            </w:r>
            <w:r>
              <w:rPr>
                <w:rFonts w:hint="eastAsia" w:ascii="Times New Roman" w:hAnsi="Times New Roman" w:eastAsia="宋体" w:cs="Times New Roman"/>
                <w:b w:val="0"/>
                <w:bCs w:val="0"/>
                <w:color w:val="auto"/>
                <w:kern w:val="2"/>
                <w:sz w:val="21"/>
                <w:szCs w:val="21"/>
                <w:lang w:val="en-US" w:eastAsia="zh-CN" w:bidi="ar-SA"/>
              </w:rPr>
              <w:t>。</w:t>
            </w:r>
          </w:p>
          <w:p>
            <w:pPr>
              <w:spacing w:line="500" w:lineRule="exact"/>
              <w:ind w:firstLine="420" w:firstLineChars="200"/>
              <w:rPr>
                <w:color w:val="auto"/>
              </w:rPr>
            </w:pPr>
            <w:r>
              <w:rPr>
                <w:rFonts w:hint="eastAsia" w:ascii="Times New Roman" w:hAnsi="Times New Roman" w:eastAsia="宋体" w:cs="Times New Roman"/>
                <w:color w:val="auto"/>
                <w:szCs w:val="21"/>
                <w:lang w:val="en-US" w:eastAsia="zh-CN"/>
              </w:rPr>
              <w:t>基于以上改扩建内容，建设单位本次</w:t>
            </w:r>
            <w:r>
              <w:rPr>
                <w:rFonts w:hint="eastAsia" w:eastAsia="宋体"/>
                <w:color w:val="auto"/>
                <w:szCs w:val="21"/>
                <w:lang w:eastAsia="zh-CN"/>
              </w:rPr>
              <w:t>利用现有厂房，对现有高端风电主轴及零部件生产线进行绿色化智能化升级改造，购置8000吨自由锻压机、80吨液压操作机、4500吨自由锻压机及锻造加热炉、调质热处理炉、重型车床、行车等先进的生产设备约80台套。淘汰6.3米碾环机、50吨操作机、10吨取料机、室式加热炉、电热处理炉、卧式车床等设备33台（套）。对现有产线进行高端化改造，改造完成后项目建成后，新增年产轴类锻件79000吨、模块类锻件20000吨。对照《</w:t>
            </w:r>
            <w:r>
              <w:rPr>
                <w:color w:val="auto"/>
              </w:rPr>
              <w:t>国民经济行业分类》（GB/T4754-2017），项目属于【</w:t>
            </w:r>
            <w:r>
              <w:rPr>
                <w:rFonts w:hint="eastAsia"/>
                <w:color w:val="auto"/>
                <w:szCs w:val="21"/>
                <w:lang w:val="en-US" w:eastAsia="zh-CN"/>
              </w:rPr>
              <w:t>C3393</w:t>
            </w:r>
            <w:r>
              <w:rPr>
                <w:color w:val="auto"/>
              </w:rPr>
              <w:t>】</w:t>
            </w:r>
            <w:r>
              <w:rPr>
                <w:rFonts w:hint="eastAsia"/>
                <w:color w:val="auto"/>
                <w:szCs w:val="21"/>
                <w:lang w:val="en-US" w:eastAsia="zh-CN"/>
              </w:rPr>
              <w:t>锻件及粉末冶金制品制造</w:t>
            </w:r>
            <w:r>
              <w:rPr>
                <w:color w:val="auto"/>
              </w:rPr>
              <w:t>。</w:t>
            </w:r>
            <w:r>
              <w:rPr>
                <w:rFonts w:hint="eastAsia"/>
                <w:color w:val="auto"/>
                <w:lang w:eastAsia="zh-CN"/>
              </w:rPr>
              <w:t>对照《建设项目环境影响评价分类管理目录》（2021 年版），项目属于</w:t>
            </w:r>
            <w:r>
              <w:rPr>
                <w:rFonts w:hint="eastAsia"/>
                <w:color w:val="auto"/>
                <w:szCs w:val="21"/>
                <w:lang w:val="en-US" w:eastAsia="zh-CN"/>
              </w:rPr>
              <w:t>三十、金属制品业 33-68铸造及其他金属制品制造339-其他(仅分割、焊接、组装的除外)</w:t>
            </w:r>
            <w:r>
              <w:rPr>
                <w:color w:val="auto"/>
              </w:rPr>
              <w:t>，因此需编制环境影响报告表。</w:t>
            </w:r>
          </w:p>
          <w:p>
            <w:pPr>
              <w:spacing w:line="500" w:lineRule="exact"/>
              <w:ind w:firstLine="420" w:firstLineChars="200"/>
              <w:rPr>
                <w:color w:val="auto"/>
              </w:rPr>
            </w:pPr>
            <w:r>
              <w:rPr>
                <w:color w:val="auto"/>
              </w:rPr>
              <w:t>受</w:t>
            </w:r>
            <w:r>
              <w:rPr>
                <w:rFonts w:hint="eastAsia" w:ascii="Times New Roman" w:hAnsi="Times New Roman" w:eastAsia="宋体" w:cs="Times New Roman"/>
                <w:color w:val="auto"/>
                <w:lang w:val="en-US" w:eastAsia="zh-CN"/>
              </w:rPr>
              <w:t>如皋市宏茂重型锻压有限公司</w:t>
            </w:r>
            <w:r>
              <w:rPr>
                <w:color w:val="auto"/>
              </w:rPr>
              <w:t>委托，我公司承担了该项目的环境影响评价工作。我公司接受委托后，立即组织有关技术人员到项目所在区域进行了环境状况的现场调查分析，筛选了项目的环境影响因素和评价因子。在此基础上，依据环境影响评价导则和相关技术规范，编制该项目环境影响报告表，呈报环境保护主管部门审批。</w:t>
            </w:r>
          </w:p>
          <w:p>
            <w:pPr>
              <w:spacing w:line="500" w:lineRule="exact"/>
              <w:ind w:firstLine="422" w:firstLineChars="200"/>
              <w:rPr>
                <w:b/>
                <w:bCs/>
                <w:color w:val="auto"/>
                <w:szCs w:val="21"/>
              </w:rPr>
            </w:pPr>
            <w:r>
              <w:rPr>
                <w:b/>
                <w:bCs/>
                <w:color w:val="auto"/>
                <w:szCs w:val="21"/>
              </w:rPr>
              <w:t>2、主要工程一览表</w:t>
            </w:r>
          </w:p>
          <w:p>
            <w:pPr>
              <w:keepNext w:val="0"/>
              <w:keepLines w:val="0"/>
              <w:pageBreakBefore w:val="0"/>
              <w:widowControl w:val="0"/>
              <w:kinsoku/>
              <w:wordWrap/>
              <w:overflowPunct/>
              <w:topLinePunct w:val="0"/>
              <w:autoSpaceDE/>
              <w:autoSpaceDN/>
              <w:bidi w:val="0"/>
              <w:spacing w:line="500" w:lineRule="exact"/>
              <w:jc w:val="center"/>
              <w:textAlignment w:val="auto"/>
              <w:rPr>
                <w:b/>
                <w:color w:val="auto"/>
                <w:lang w:val="zh-CN"/>
              </w:rPr>
            </w:pPr>
            <w:r>
              <w:rPr>
                <w:b/>
                <w:color w:val="auto"/>
                <w:lang w:val="zh-CN"/>
              </w:rPr>
              <w:t>表</w:t>
            </w:r>
            <w:r>
              <w:rPr>
                <w:rFonts w:hint="eastAsia"/>
                <w:b/>
                <w:color w:val="auto"/>
                <w:lang w:val="zh-CN"/>
              </w:rPr>
              <w:t>2</w:t>
            </w:r>
            <w:r>
              <w:rPr>
                <w:b/>
                <w:color w:val="auto"/>
                <w:lang w:val="zh-CN"/>
              </w:rPr>
              <w:t>-</w:t>
            </w:r>
            <w:r>
              <w:rPr>
                <w:rFonts w:hint="eastAsia"/>
                <w:b/>
                <w:color w:val="auto"/>
                <w:lang w:val="en-US" w:eastAsia="zh-CN"/>
              </w:rPr>
              <w:t>1</w:t>
            </w:r>
            <w:r>
              <w:rPr>
                <w:rFonts w:hint="eastAsia"/>
                <w:b/>
                <w:color w:val="auto"/>
                <w:lang w:val="zh-CN"/>
              </w:rPr>
              <w:t xml:space="preserve">  </w:t>
            </w:r>
            <w:r>
              <w:rPr>
                <w:rFonts w:hint="eastAsia" w:ascii="Times New Roman" w:hAnsi="Times New Roman" w:eastAsia="宋体" w:cs="Times New Roman"/>
                <w:b/>
                <w:color w:val="auto"/>
                <w:lang w:val="en-US" w:eastAsia="zh-CN"/>
              </w:rPr>
              <w:t>全厂构筑物</w:t>
            </w:r>
            <w:r>
              <w:rPr>
                <w:rFonts w:hint="eastAsia"/>
                <w:b/>
                <w:color w:val="auto"/>
                <w:lang w:val="zh-CN"/>
              </w:rPr>
              <w:t>一览表</w:t>
            </w:r>
          </w:p>
          <w:tbl>
            <w:tblPr>
              <w:tblStyle w:val="21"/>
              <w:tblW w:w="7998"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534"/>
              <w:gridCol w:w="1855"/>
              <w:gridCol w:w="1260"/>
              <w:gridCol w:w="2197"/>
              <w:gridCol w:w="115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01" w:hRule="atLeast"/>
                <w:jc w:val="center"/>
              </w:trPr>
              <w:tc>
                <w:tcPr>
                  <w:tcW w:w="958" w:type="pct"/>
                  <w:noWrap w:val="0"/>
                  <w:vAlign w:val="center"/>
                </w:tcPr>
                <w:p>
                  <w:pPr>
                    <w:jc w:val="center"/>
                    <w:rPr>
                      <w:rFonts w:hint="default" w:eastAsia="宋体"/>
                      <w:b/>
                      <w:bCs/>
                      <w:color w:val="auto"/>
                      <w:sz w:val="18"/>
                      <w:szCs w:val="21"/>
                      <w:lang w:val="en-US" w:eastAsia="zh-CN"/>
                    </w:rPr>
                  </w:pPr>
                  <w:r>
                    <w:rPr>
                      <w:b/>
                      <w:bCs/>
                      <w:color w:val="auto"/>
                      <w:sz w:val="18"/>
                      <w:szCs w:val="21"/>
                    </w:rPr>
                    <w:t>建设工程</w:t>
                  </w:r>
                </w:p>
              </w:tc>
              <w:tc>
                <w:tcPr>
                  <w:tcW w:w="1159" w:type="pct"/>
                  <w:noWrap w:val="0"/>
                  <w:vAlign w:val="center"/>
                </w:tcPr>
                <w:p>
                  <w:pPr>
                    <w:jc w:val="center"/>
                    <w:rPr>
                      <w:rFonts w:hint="eastAsia" w:eastAsia="宋体"/>
                      <w:b/>
                      <w:bCs/>
                      <w:color w:val="auto"/>
                      <w:sz w:val="18"/>
                      <w:szCs w:val="21"/>
                      <w:lang w:val="en-US" w:eastAsia="zh-CN"/>
                    </w:rPr>
                  </w:pPr>
                  <w:r>
                    <w:rPr>
                      <w:rFonts w:hint="eastAsia"/>
                      <w:b/>
                      <w:bCs/>
                      <w:color w:val="auto"/>
                      <w:sz w:val="18"/>
                      <w:szCs w:val="21"/>
                      <w:lang w:val="en-US" w:eastAsia="zh-CN"/>
                    </w:rPr>
                    <w:t>占地面积</w:t>
                  </w:r>
                </w:p>
              </w:tc>
              <w:tc>
                <w:tcPr>
                  <w:tcW w:w="787" w:type="pct"/>
                  <w:noWrap w:val="0"/>
                  <w:vAlign w:val="center"/>
                </w:tcPr>
                <w:p>
                  <w:pPr>
                    <w:jc w:val="center"/>
                    <w:rPr>
                      <w:b/>
                      <w:bCs/>
                      <w:color w:val="auto"/>
                      <w:sz w:val="18"/>
                      <w:szCs w:val="21"/>
                    </w:rPr>
                  </w:pPr>
                  <w:r>
                    <w:rPr>
                      <w:rFonts w:hint="eastAsia"/>
                      <w:b/>
                      <w:bCs/>
                      <w:color w:val="auto"/>
                      <w:sz w:val="18"/>
                      <w:szCs w:val="21"/>
                      <w:lang w:val="en-US" w:eastAsia="zh-CN"/>
                    </w:rPr>
                    <w:t>楼层</w:t>
                  </w:r>
                </w:p>
              </w:tc>
              <w:tc>
                <w:tcPr>
                  <w:tcW w:w="1373" w:type="pct"/>
                  <w:noWrap w:val="0"/>
                  <w:vAlign w:val="center"/>
                </w:tcPr>
                <w:p>
                  <w:pPr>
                    <w:jc w:val="center"/>
                    <w:rPr>
                      <w:rFonts w:hint="eastAsia" w:eastAsia="宋体"/>
                      <w:b/>
                      <w:bCs/>
                      <w:color w:val="auto"/>
                      <w:sz w:val="18"/>
                      <w:szCs w:val="21"/>
                      <w:lang w:val="en-US" w:eastAsia="zh-CN"/>
                    </w:rPr>
                  </w:pPr>
                  <w:r>
                    <w:rPr>
                      <w:rFonts w:hint="eastAsia"/>
                      <w:b/>
                      <w:bCs/>
                      <w:color w:val="auto"/>
                      <w:sz w:val="18"/>
                      <w:szCs w:val="21"/>
                      <w:lang w:val="en-US" w:eastAsia="zh-CN"/>
                    </w:rPr>
                    <w:t>功能</w:t>
                  </w:r>
                </w:p>
              </w:tc>
              <w:tc>
                <w:tcPr>
                  <w:tcW w:w="720" w:type="pct"/>
                  <w:noWrap w:val="0"/>
                  <w:vAlign w:val="center"/>
                </w:tcPr>
                <w:p>
                  <w:pPr>
                    <w:jc w:val="center"/>
                    <w:rPr>
                      <w:rFonts w:hint="default"/>
                      <w:b/>
                      <w:bCs/>
                      <w:color w:val="auto"/>
                      <w:sz w:val="18"/>
                      <w:szCs w:val="21"/>
                      <w:lang w:val="en-US" w:eastAsia="zh-CN"/>
                    </w:rPr>
                  </w:pPr>
                  <w:r>
                    <w:rPr>
                      <w:rFonts w:hint="eastAsia"/>
                      <w:b/>
                      <w:bCs/>
                      <w:color w:val="auto"/>
                      <w:sz w:val="18"/>
                      <w:szCs w:val="21"/>
                      <w:lang w:val="en-US" w:eastAsia="zh-CN"/>
                    </w:rPr>
                    <w:t>厂房高度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43" w:hRule="atLeast"/>
                <w:jc w:val="center"/>
              </w:trPr>
              <w:tc>
                <w:tcPr>
                  <w:tcW w:w="958" w:type="pct"/>
                  <w:shd w:val="clear" w:color="auto" w:fill="auto"/>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eastAsia="宋体" w:cs="Times New Roman"/>
                      <w:color w:val="auto"/>
                      <w:sz w:val="18"/>
                      <w:szCs w:val="18"/>
                      <w:lang w:eastAsia="zh-CN"/>
                    </w:rPr>
                    <w:t>热处理</w:t>
                  </w:r>
                  <w:r>
                    <w:rPr>
                      <w:rFonts w:hint="eastAsia" w:ascii="Times New Roman" w:hAnsi="Times New Roman" w:eastAsia="宋体" w:cs="Times New Roman"/>
                      <w:color w:val="auto"/>
                      <w:sz w:val="18"/>
                      <w:szCs w:val="18"/>
                      <w:lang w:eastAsia="zh-CN"/>
                    </w:rPr>
                    <w:t>车间</w:t>
                  </w:r>
                </w:p>
              </w:tc>
              <w:tc>
                <w:tcPr>
                  <w:tcW w:w="1159" w:type="pct"/>
                  <w:shd w:val="clear" w:color="auto" w:fill="auto"/>
                  <w:noWrap w:val="0"/>
                  <w:vAlign w:val="center"/>
                </w:tcPr>
                <w:p>
                  <w:pPr>
                    <w:jc w:val="center"/>
                    <w:rPr>
                      <w:rFonts w:hint="default" w:ascii="Times New Roman" w:hAnsi="Times New Roman" w:eastAsia="宋体" w:cs="Times New Roman"/>
                      <w:b w:val="0"/>
                      <w:bCs w:val="0"/>
                      <w:color w:val="auto"/>
                      <w:kern w:val="0"/>
                      <w:sz w:val="18"/>
                      <w:szCs w:val="18"/>
                      <w:vertAlign w:val="baseline"/>
                      <w:lang w:val="en-US" w:eastAsia="zh-CN" w:bidi="ar"/>
                    </w:rPr>
                  </w:pPr>
                  <w:r>
                    <w:rPr>
                      <w:rFonts w:hint="eastAsia" w:eastAsia="宋体" w:cs="Times New Roman"/>
                      <w:color w:val="auto"/>
                      <w:sz w:val="18"/>
                      <w:szCs w:val="18"/>
                      <w:lang w:val="en-US" w:eastAsia="zh-CN"/>
                    </w:rPr>
                    <w:t>13430.1</w:t>
                  </w:r>
                  <w:r>
                    <w:rPr>
                      <w:rFonts w:hint="eastAsia" w:ascii="Times New Roman" w:hAnsi="Times New Roman" w:eastAsia="宋体" w:cs="Times New Roman"/>
                      <w:color w:val="auto"/>
                      <w:sz w:val="18"/>
                      <w:szCs w:val="18"/>
                    </w:rPr>
                    <w:t>m</w:t>
                  </w:r>
                  <w:r>
                    <w:rPr>
                      <w:rFonts w:hint="eastAsia" w:ascii="Times New Roman" w:hAnsi="Times New Roman" w:eastAsia="宋体" w:cs="Times New Roman"/>
                      <w:color w:val="auto"/>
                      <w:sz w:val="18"/>
                      <w:szCs w:val="18"/>
                      <w:vertAlign w:val="superscript"/>
                    </w:rPr>
                    <w:t>2</w:t>
                  </w:r>
                </w:p>
              </w:tc>
              <w:tc>
                <w:tcPr>
                  <w:tcW w:w="787" w:type="pct"/>
                  <w:shd w:val="clear" w:color="auto" w:fill="auto"/>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1F</w:t>
                  </w:r>
                </w:p>
              </w:tc>
              <w:tc>
                <w:tcPr>
                  <w:tcW w:w="1373" w:type="pct"/>
                  <w:noWrap w:val="0"/>
                  <w:vAlign w:val="center"/>
                </w:tcPr>
                <w:p>
                  <w:pPr>
                    <w:jc w:val="center"/>
                    <w:rPr>
                      <w:rFonts w:hint="default" w:eastAsia="宋体"/>
                      <w:color w:val="auto"/>
                      <w:sz w:val="18"/>
                      <w:szCs w:val="21"/>
                      <w:lang w:val="en-US" w:eastAsia="zh-CN"/>
                    </w:rPr>
                  </w:pPr>
                  <w:r>
                    <w:rPr>
                      <w:rFonts w:hint="eastAsia" w:eastAsia="宋体" w:cs="Times New Roman"/>
                      <w:color w:val="auto"/>
                      <w:sz w:val="18"/>
                      <w:szCs w:val="18"/>
                      <w:lang w:eastAsia="zh-CN"/>
                    </w:rPr>
                    <w:t>热处理</w:t>
                  </w:r>
                </w:p>
              </w:tc>
              <w:tc>
                <w:tcPr>
                  <w:tcW w:w="720" w:type="pct"/>
                  <w:noWrap w:val="0"/>
                  <w:vAlign w:val="center"/>
                </w:tcPr>
                <w:p>
                  <w:pPr>
                    <w:jc w:val="center"/>
                    <w:rPr>
                      <w:rFonts w:hint="default" w:eastAsia="宋体"/>
                      <w:color w:val="auto"/>
                      <w:sz w:val="18"/>
                      <w:szCs w:val="21"/>
                      <w:lang w:val="en-US" w:eastAsia="zh-CN"/>
                    </w:rPr>
                  </w:pPr>
                  <w:r>
                    <w:rPr>
                      <w:rFonts w:hint="eastAsia" w:ascii="Times New Roman" w:hAnsi="Times New Roman" w:eastAsia="宋体" w:cs="Times New Roman"/>
                      <w:color w:val="auto"/>
                      <w:sz w:val="18"/>
                      <w:szCs w:val="18"/>
                      <w:lang w:val="en-US" w:eastAsia="zh-CN"/>
                    </w:rPr>
                    <w:t>12.7m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43" w:hRule="atLeast"/>
                <w:jc w:val="center"/>
              </w:trPr>
              <w:tc>
                <w:tcPr>
                  <w:tcW w:w="958"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eastAsia="宋体" w:cs="Times New Roman"/>
                      <w:color w:val="auto"/>
                      <w:sz w:val="18"/>
                      <w:szCs w:val="18"/>
                      <w:lang w:eastAsia="zh-CN"/>
                    </w:rPr>
                    <w:t>机加工车间</w:t>
                  </w:r>
                </w:p>
              </w:tc>
              <w:tc>
                <w:tcPr>
                  <w:tcW w:w="1159"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eastAsia="宋体" w:cs="Times New Roman"/>
                      <w:color w:val="auto"/>
                      <w:sz w:val="18"/>
                      <w:szCs w:val="18"/>
                      <w:lang w:val="en-US" w:eastAsia="zh-CN"/>
                    </w:rPr>
                    <w:t>18279.04</w:t>
                  </w:r>
                  <w:r>
                    <w:rPr>
                      <w:rFonts w:hint="eastAsia" w:ascii="Times New Roman" w:hAnsi="Times New Roman" w:eastAsia="宋体" w:cs="Times New Roman"/>
                      <w:color w:val="auto"/>
                      <w:sz w:val="18"/>
                      <w:szCs w:val="18"/>
                    </w:rPr>
                    <w:t>m</w:t>
                  </w:r>
                  <w:r>
                    <w:rPr>
                      <w:rFonts w:hint="eastAsia" w:ascii="Times New Roman" w:hAnsi="Times New Roman" w:eastAsia="宋体" w:cs="Times New Roman"/>
                      <w:color w:val="auto"/>
                      <w:sz w:val="18"/>
                      <w:szCs w:val="18"/>
                      <w:vertAlign w:val="superscript"/>
                    </w:rPr>
                    <w:t>2</w:t>
                  </w:r>
                </w:p>
              </w:tc>
              <w:tc>
                <w:tcPr>
                  <w:tcW w:w="787"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1F</w:t>
                  </w:r>
                </w:p>
              </w:tc>
              <w:tc>
                <w:tcPr>
                  <w:tcW w:w="1373" w:type="pct"/>
                  <w:noWrap w:val="0"/>
                  <w:vAlign w:val="center"/>
                </w:tcPr>
                <w:p>
                  <w:pPr>
                    <w:jc w:val="center"/>
                    <w:rPr>
                      <w:rFonts w:hint="eastAsia" w:eastAsia="宋体"/>
                      <w:color w:val="auto"/>
                      <w:sz w:val="18"/>
                      <w:szCs w:val="21"/>
                      <w:lang w:val="en-US" w:eastAsia="zh-CN"/>
                    </w:rPr>
                  </w:pPr>
                  <w:r>
                    <w:rPr>
                      <w:rFonts w:hint="eastAsia" w:eastAsia="宋体" w:cs="Times New Roman"/>
                      <w:color w:val="auto"/>
                      <w:sz w:val="18"/>
                      <w:szCs w:val="18"/>
                      <w:lang w:eastAsia="zh-CN"/>
                    </w:rPr>
                    <w:t>机加工</w:t>
                  </w:r>
                </w:p>
              </w:tc>
              <w:tc>
                <w:tcPr>
                  <w:tcW w:w="720" w:type="pct"/>
                  <w:noWrap w:val="0"/>
                  <w:vAlign w:val="center"/>
                </w:tcPr>
                <w:p>
                  <w:pPr>
                    <w:jc w:val="center"/>
                    <w:rPr>
                      <w:rFonts w:hint="default" w:eastAsia="宋体"/>
                      <w:color w:val="auto"/>
                      <w:sz w:val="18"/>
                      <w:szCs w:val="21"/>
                      <w:lang w:val="en-US" w:eastAsia="zh-CN"/>
                    </w:rPr>
                  </w:pPr>
                  <w:r>
                    <w:rPr>
                      <w:rFonts w:hint="eastAsia" w:ascii="Times New Roman" w:hAnsi="Times New Roman" w:eastAsia="宋体" w:cs="Times New Roman"/>
                      <w:color w:val="auto"/>
                      <w:sz w:val="18"/>
                      <w:szCs w:val="18"/>
                      <w:lang w:val="en-US" w:eastAsia="zh-CN"/>
                    </w:rPr>
                    <w:t>12.7m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43" w:hRule="atLeast"/>
                <w:jc w:val="center"/>
              </w:trPr>
              <w:tc>
                <w:tcPr>
                  <w:tcW w:w="958"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eastAsia="宋体" w:cs="Times New Roman"/>
                      <w:color w:val="auto"/>
                      <w:sz w:val="18"/>
                      <w:szCs w:val="18"/>
                      <w:lang w:eastAsia="zh-CN"/>
                    </w:rPr>
                    <w:t>锻造车间</w:t>
                  </w:r>
                </w:p>
              </w:tc>
              <w:tc>
                <w:tcPr>
                  <w:tcW w:w="1159"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eastAsia="宋体" w:cs="Times New Roman"/>
                      <w:color w:val="auto"/>
                      <w:sz w:val="18"/>
                      <w:szCs w:val="18"/>
                      <w:lang w:val="en-US" w:eastAsia="zh-CN"/>
                    </w:rPr>
                    <w:t>17100</w:t>
                  </w:r>
                  <w:r>
                    <w:rPr>
                      <w:rFonts w:hint="eastAsia" w:ascii="Times New Roman" w:hAnsi="Times New Roman" w:eastAsia="宋体" w:cs="Times New Roman"/>
                      <w:color w:val="auto"/>
                      <w:sz w:val="18"/>
                      <w:szCs w:val="18"/>
                    </w:rPr>
                    <w:t>m</w:t>
                  </w:r>
                  <w:r>
                    <w:rPr>
                      <w:rFonts w:hint="eastAsia" w:ascii="Times New Roman" w:hAnsi="Times New Roman" w:eastAsia="宋体" w:cs="Times New Roman"/>
                      <w:color w:val="auto"/>
                      <w:sz w:val="18"/>
                      <w:szCs w:val="18"/>
                      <w:vertAlign w:val="superscript"/>
                    </w:rPr>
                    <w:t>2</w:t>
                  </w:r>
                </w:p>
              </w:tc>
              <w:tc>
                <w:tcPr>
                  <w:tcW w:w="787"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1F</w:t>
                  </w:r>
                </w:p>
              </w:tc>
              <w:tc>
                <w:tcPr>
                  <w:tcW w:w="1373" w:type="pct"/>
                  <w:noWrap w:val="0"/>
                  <w:vAlign w:val="center"/>
                </w:tcPr>
                <w:p>
                  <w:pPr>
                    <w:jc w:val="center"/>
                    <w:rPr>
                      <w:rFonts w:hint="eastAsia" w:eastAsia="宋体"/>
                      <w:color w:val="auto"/>
                      <w:sz w:val="18"/>
                      <w:szCs w:val="21"/>
                      <w:lang w:val="en-US" w:eastAsia="zh-CN"/>
                    </w:rPr>
                  </w:pPr>
                  <w:r>
                    <w:rPr>
                      <w:rFonts w:hint="eastAsia" w:eastAsia="宋体" w:cs="Times New Roman"/>
                      <w:color w:val="auto"/>
                      <w:sz w:val="18"/>
                      <w:szCs w:val="18"/>
                      <w:lang w:eastAsia="zh-CN"/>
                    </w:rPr>
                    <w:t>锻造</w:t>
                  </w:r>
                </w:p>
              </w:tc>
              <w:tc>
                <w:tcPr>
                  <w:tcW w:w="720" w:type="pct"/>
                  <w:noWrap w:val="0"/>
                  <w:vAlign w:val="center"/>
                </w:tcPr>
                <w:p>
                  <w:pPr>
                    <w:jc w:val="center"/>
                    <w:rPr>
                      <w:rFonts w:hint="eastAsia" w:eastAsia="宋体"/>
                      <w:color w:val="auto"/>
                      <w:sz w:val="18"/>
                      <w:szCs w:val="21"/>
                      <w:lang w:val="en-US" w:eastAsia="zh-CN"/>
                    </w:rPr>
                  </w:pPr>
                  <w:r>
                    <w:rPr>
                      <w:rFonts w:hint="eastAsia" w:ascii="Times New Roman" w:hAnsi="Times New Roman" w:eastAsia="宋体" w:cs="Times New Roman"/>
                      <w:color w:val="auto"/>
                      <w:sz w:val="18"/>
                      <w:szCs w:val="18"/>
                      <w:lang w:val="en-US" w:eastAsia="zh-CN"/>
                    </w:rPr>
                    <w:t>12.7m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43" w:hRule="atLeast"/>
                <w:jc w:val="center"/>
              </w:trPr>
              <w:tc>
                <w:tcPr>
                  <w:tcW w:w="0" w:type="auto"/>
                  <w:shd w:val="clear" w:color="auto" w:fill="auto"/>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eastAsia="宋体" w:cs="Times New Roman"/>
                      <w:color w:val="auto"/>
                      <w:sz w:val="18"/>
                      <w:szCs w:val="18"/>
                      <w:lang w:eastAsia="zh-CN"/>
                    </w:rPr>
                    <w:t>检测</w:t>
                  </w:r>
                  <w:r>
                    <w:rPr>
                      <w:rFonts w:hint="eastAsia" w:cs="Times New Roman"/>
                      <w:color w:val="auto"/>
                      <w:sz w:val="18"/>
                      <w:szCs w:val="18"/>
                      <w:lang w:val="en-US" w:eastAsia="zh-CN"/>
                    </w:rPr>
                    <w:t>站</w:t>
                  </w:r>
                </w:p>
              </w:tc>
              <w:tc>
                <w:tcPr>
                  <w:tcW w:w="1159" w:type="pct"/>
                  <w:shd w:val="clear" w:color="auto" w:fill="auto"/>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eastAsia="宋体" w:cs="Times New Roman"/>
                      <w:color w:val="auto"/>
                      <w:sz w:val="18"/>
                      <w:szCs w:val="18"/>
                      <w:lang w:val="en-US" w:eastAsia="zh-CN"/>
                    </w:rPr>
                    <w:t>334</w:t>
                  </w:r>
                  <w:r>
                    <w:rPr>
                      <w:rFonts w:hint="eastAsia" w:ascii="Times New Roman" w:hAnsi="Times New Roman" w:eastAsia="宋体" w:cs="Times New Roman"/>
                      <w:color w:val="auto"/>
                      <w:sz w:val="18"/>
                      <w:szCs w:val="18"/>
                    </w:rPr>
                    <w:t>m</w:t>
                  </w:r>
                  <w:r>
                    <w:rPr>
                      <w:rFonts w:hint="eastAsia" w:ascii="Times New Roman" w:hAnsi="Times New Roman" w:eastAsia="宋体" w:cs="Times New Roman"/>
                      <w:color w:val="auto"/>
                      <w:sz w:val="18"/>
                      <w:szCs w:val="18"/>
                      <w:vertAlign w:val="superscript"/>
                    </w:rPr>
                    <w:t>2</w:t>
                  </w:r>
                </w:p>
              </w:tc>
              <w:tc>
                <w:tcPr>
                  <w:tcW w:w="787" w:type="pct"/>
                  <w:shd w:val="clear" w:color="auto" w:fill="auto"/>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2F</w:t>
                  </w:r>
                </w:p>
              </w:tc>
              <w:tc>
                <w:tcPr>
                  <w:tcW w:w="1373" w:type="pct"/>
                  <w:vAlign w:val="center"/>
                </w:tcPr>
                <w:p>
                  <w:pPr>
                    <w:jc w:val="center"/>
                    <w:rPr>
                      <w:rFonts w:hint="eastAsia" w:eastAsia="宋体"/>
                      <w:color w:val="auto"/>
                      <w:sz w:val="18"/>
                      <w:szCs w:val="21"/>
                      <w:lang w:val="en-US" w:eastAsia="zh-CN"/>
                    </w:rPr>
                  </w:pPr>
                  <w:r>
                    <w:rPr>
                      <w:rFonts w:hint="eastAsia" w:eastAsia="宋体" w:cs="Times New Roman"/>
                      <w:color w:val="auto"/>
                      <w:sz w:val="18"/>
                      <w:szCs w:val="18"/>
                      <w:lang w:eastAsia="zh-CN"/>
                    </w:rPr>
                    <w:t>检测</w:t>
                  </w:r>
                </w:p>
              </w:tc>
              <w:tc>
                <w:tcPr>
                  <w:tcW w:w="0" w:type="auto"/>
                  <w:vAlign w:val="center"/>
                </w:tcPr>
                <w:p>
                  <w:pPr>
                    <w:jc w:val="center"/>
                    <w:rPr>
                      <w:rFonts w:hint="eastAsia" w:eastAsia="宋体"/>
                      <w:color w:val="auto"/>
                      <w:sz w:val="18"/>
                      <w:szCs w:val="21"/>
                      <w:lang w:val="en-US" w:eastAsia="zh-CN"/>
                    </w:rPr>
                  </w:pPr>
                  <w:r>
                    <w:rPr>
                      <w:rFonts w:hint="eastAsia" w:eastAsia="宋体" w:cs="Times New Roman"/>
                      <w:color w:val="auto"/>
                      <w:sz w:val="18"/>
                      <w:szCs w:val="18"/>
                      <w:lang w:val="en-US" w:eastAsia="zh-CN"/>
                    </w:rPr>
                    <w:t>7.8</w:t>
                  </w:r>
                  <w:r>
                    <w:rPr>
                      <w:rFonts w:hint="eastAsia" w:ascii="Times New Roman" w:hAnsi="Times New Roman" w:eastAsia="宋体" w:cs="Times New Roman"/>
                      <w:color w:val="auto"/>
                      <w:sz w:val="18"/>
                      <w:szCs w:val="18"/>
                      <w:lang w:val="en-US" w:eastAsia="zh-CN"/>
                    </w:rPr>
                    <w:t>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43" w:hRule="atLeast"/>
                <w:jc w:val="center"/>
              </w:trPr>
              <w:tc>
                <w:tcPr>
                  <w:tcW w:w="0" w:type="auto"/>
                  <w:shd w:val="clear" w:color="auto" w:fill="auto"/>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eastAsia="宋体" w:cs="Times New Roman"/>
                      <w:color w:val="auto"/>
                      <w:sz w:val="18"/>
                      <w:szCs w:val="18"/>
                      <w:lang w:eastAsia="zh-CN"/>
                    </w:rPr>
                    <w:t>办公楼</w:t>
                  </w:r>
                </w:p>
              </w:tc>
              <w:tc>
                <w:tcPr>
                  <w:tcW w:w="1159" w:type="pct"/>
                  <w:shd w:val="clear" w:color="auto" w:fill="auto"/>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eastAsia="宋体" w:cs="Times New Roman"/>
                      <w:color w:val="auto"/>
                      <w:sz w:val="18"/>
                      <w:szCs w:val="18"/>
                      <w:lang w:val="en-US" w:eastAsia="zh-CN"/>
                    </w:rPr>
                    <w:t>663</w:t>
                  </w:r>
                  <w:r>
                    <w:rPr>
                      <w:rFonts w:hint="eastAsia" w:ascii="Times New Roman" w:hAnsi="Times New Roman" w:eastAsia="宋体" w:cs="Times New Roman"/>
                      <w:color w:val="auto"/>
                      <w:sz w:val="18"/>
                      <w:szCs w:val="18"/>
                    </w:rPr>
                    <w:t>m</w:t>
                  </w:r>
                  <w:r>
                    <w:rPr>
                      <w:rFonts w:hint="eastAsia" w:ascii="Times New Roman" w:hAnsi="Times New Roman" w:eastAsia="宋体" w:cs="Times New Roman"/>
                      <w:color w:val="auto"/>
                      <w:sz w:val="18"/>
                      <w:szCs w:val="18"/>
                      <w:vertAlign w:val="superscript"/>
                    </w:rPr>
                    <w:t>2</w:t>
                  </w:r>
                </w:p>
              </w:tc>
              <w:tc>
                <w:tcPr>
                  <w:tcW w:w="787" w:type="pct"/>
                  <w:shd w:val="clear" w:color="auto" w:fill="auto"/>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4F</w:t>
                  </w:r>
                </w:p>
              </w:tc>
              <w:tc>
                <w:tcPr>
                  <w:tcW w:w="1373" w:type="pct"/>
                  <w:vAlign w:val="center"/>
                </w:tcPr>
                <w:p>
                  <w:pPr>
                    <w:jc w:val="center"/>
                    <w:rPr>
                      <w:rFonts w:hint="eastAsia" w:eastAsia="宋体"/>
                      <w:color w:val="auto"/>
                      <w:sz w:val="18"/>
                      <w:szCs w:val="21"/>
                      <w:lang w:val="en-US" w:eastAsia="zh-CN"/>
                    </w:rPr>
                  </w:pPr>
                  <w:r>
                    <w:rPr>
                      <w:rFonts w:hint="eastAsia" w:eastAsia="宋体"/>
                      <w:color w:val="auto"/>
                      <w:sz w:val="18"/>
                      <w:szCs w:val="21"/>
                      <w:lang w:val="en-US" w:eastAsia="zh-CN"/>
                    </w:rPr>
                    <w:t>办公</w:t>
                  </w:r>
                </w:p>
              </w:tc>
              <w:tc>
                <w:tcPr>
                  <w:tcW w:w="0" w:type="auto"/>
                  <w:vAlign w:val="center"/>
                </w:tcPr>
                <w:p>
                  <w:pPr>
                    <w:jc w:val="center"/>
                    <w:rPr>
                      <w:rFonts w:hint="eastAsia" w:eastAsia="宋体"/>
                      <w:color w:val="auto"/>
                      <w:sz w:val="18"/>
                      <w:szCs w:val="21"/>
                      <w:lang w:val="en-US" w:eastAsia="zh-CN"/>
                    </w:rPr>
                  </w:pPr>
                  <w:r>
                    <w:rPr>
                      <w:rFonts w:hint="eastAsia" w:ascii="Times New Roman" w:hAnsi="Times New Roman" w:eastAsia="宋体" w:cs="Times New Roman"/>
                      <w:color w:val="auto"/>
                      <w:sz w:val="18"/>
                      <w:szCs w:val="18"/>
                      <w:lang w:val="en-US" w:eastAsia="zh-CN"/>
                    </w:rPr>
                    <w:t>15.6m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32" w:hRule="atLeast"/>
                <w:jc w:val="center"/>
              </w:trPr>
              <w:tc>
                <w:tcPr>
                  <w:tcW w:w="958" w:type="pct"/>
                  <w:shd w:val="clear" w:color="auto" w:fill="auto"/>
                  <w:vAlign w:val="center"/>
                </w:tcPr>
                <w:p>
                  <w:pPr>
                    <w:jc w:val="center"/>
                    <w:rPr>
                      <w:rFonts w:hint="eastAsia" w:eastAsia="宋体" w:cs="Times New Roman"/>
                      <w:color w:val="auto"/>
                      <w:sz w:val="18"/>
                      <w:szCs w:val="18"/>
                      <w:lang w:eastAsia="zh-CN"/>
                    </w:rPr>
                  </w:pPr>
                  <w:r>
                    <w:rPr>
                      <w:rFonts w:hint="eastAsia"/>
                      <w:color w:val="auto"/>
                      <w:sz w:val="18"/>
                      <w:szCs w:val="18"/>
                      <w:lang w:eastAsia="zh-CN"/>
                    </w:rPr>
                    <w:t>原料</w:t>
                  </w:r>
                  <w:r>
                    <w:rPr>
                      <w:rFonts w:hint="eastAsia"/>
                      <w:color w:val="auto"/>
                      <w:sz w:val="18"/>
                      <w:szCs w:val="18"/>
                    </w:rPr>
                    <w:t>仓库</w:t>
                  </w:r>
                </w:p>
              </w:tc>
              <w:tc>
                <w:tcPr>
                  <w:tcW w:w="1159" w:type="pct"/>
                  <w:shd w:val="clear" w:color="auto" w:fill="auto"/>
                  <w:vAlign w:val="center"/>
                </w:tcPr>
                <w:p>
                  <w:pPr>
                    <w:jc w:val="center"/>
                    <w:rPr>
                      <w:rFonts w:hint="eastAsia" w:eastAsia="宋体" w:cs="Times New Roman"/>
                      <w:color w:val="auto"/>
                      <w:sz w:val="18"/>
                      <w:szCs w:val="18"/>
                      <w:lang w:val="en-US" w:eastAsia="zh-CN"/>
                    </w:rPr>
                  </w:pPr>
                  <w:r>
                    <w:rPr>
                      <w:rFonts w:hint="eastAsia"/>
                      <w:color w:val="auto"/>
                      <w:sz w:val="18"/>
                      <w:szCs w:val="18"/>
                      <w:lang w:val="en-US" w:eastAsia="zh-CN"/>
                    </w:rPr>
                    <w:t>735.18</w:t>
                  </w:r>
                  <w:r>
                    <w:rPr>
                      <w:rFonts w:hint="eastAsia"/>
                      <w:color w:val="auto"/>
                      <w:sz w:val="18"/>
                      <w:szCs w:val="18"/>
                    </w:rPr>
                    <w:t>m</w:t>
                  </w:r>
                  <w:r>
                    <w:rPr>
                      <w:rFonts w:hint="eastAsia"/>
                      <w:color w:val="auto"/>
                      <w:sz w:val="18"/>
                      <w:szCs w:val="18"/>
                      <w:vertAlign w:val="superscript"/>
                    </w:rPr>
                    <w:t>2</w:t>
                  </w:r>
                </w:p>
              </w:tc>
              <w:tc>
                <w:tcPr>
                  <w:tcW w:w="787" w:type="pct"/>
                  <w:shd w:val="clear" w:color="auto" w:fill="auto"/>
                  <w:vAlign w:val="center"/>
                </w:tcPr>
                <w:p>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2F</w:t>
                  </w:r>
                </w:p>
              </w:tc>
              <w:tc>
                <w:tcPr>
                  <w:tcW w:w="1373" w:type="pct"/>
                  <w:vAlign w:val="center"/>
                </w:tcPr>
                <w:p>
                  <w:pPr>
                    <w:jc w:val="center"/>
                    <w:rPr>
                      <w:rFonts w:hint="default" w:eastAsia="宋体"/>
                      <w:color w:val="auto"/>
                      <w:sz w:val="18"/>
                      <w:szCs w:val="21"/>
                      <w:lang w:val="en-US" w:eastAsia="zh-CN"/>
                    </w:rPr>
                  </w:pPr>
                  <w:r>
                    <w:rPr>
                      <w:rFonts w:hint="eastAsia" w:eastAsia="宋体" w:cs="Times New Roman"/>
                      <w:color w:val="auto"/>
                      <w:sz w:val="18"/>
                      <w:szCs w:val="18"/>
                      <w:lang w:val="en-US" w:eastAsia="zh-CN"/>
                    </w:rPr>
                    <w:t>1F用于食堂，2F用于</w:t>
                  </w:r>
                  <w:r>
                    <w:rPr>
                      <w:rFonts w:hint="default" w:ascii="Times New Roman" w:hAnsi="Times New Roman" w:cs="Times New Roman"/>
                      <w:color w:val="auto"/>
                      <w:sz w:val="18"/>
                      <w:szCs w:val="18"/>
                    </w:rPr>
                    <w:t>贮运</w:t>
                  </w:r>
                </w:p>
              </w:tc>
              <w:tc>
                <w:tcPr>
                  <w:tcW w:w="0" w:type="auto"/>
                  <w:vAlign w:val="center"/>
                </w:tcPr>
                <w:p>
                  <w:pPr>
                    <w:jc w:val="center"/>
                    <w:rPr>
                      <w:rFonts w:hint="eastAsia" w:eastAsia="宋体"/>
                      <w:color w:val="auto"/>
                      <w:sz w:val="18"/>
                      <w:szCs w:val="21"/>
                      <w:lang w:val="en-US" w:eastAsia="zh-CN"/>
                    </w:rPr>
                  </w:pPr>
                  <w:r>
                    <w:rPr>
                      <w:rFonts w:hint="eastAsia" w:eastAsia="宋体" w:cs="Times New Roman"/>
                      <w:color w:val="auto"/>
                      <w:sz w:val="18"/>
                      <w:szCs w:val="18"/>
                      <w:lang w:val="en-US" w:eastAsia="zh-CN"/>
                    </w:rPr>
                    <w:t>7.8</w:t>
                  </w:r>
                  <w:r>
                    <w:rPr>
                      <w:rFonts w:hint="eastAsia" w:ascii="Times New Roman" w:hAnsi="Times New Roman" w:eastAsia="宋体" w:cs="Times New Roman"/>
                      <w:color w:val="auto"/>
                      <w:sz w:val="18"/>
                      <w:szCs w:val="18"/>
                      <w:lang w:val="en-US" w:eastAsia="zh-CN"/>
                    </w:rPr>
                    <w:t>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30" w:hRule="atLeast"/>
                <w:jc w:val="center"/>
              </w:trPr>
              <w:tc>
                <w:tcPr>
                  <w:tcW w:w="958" w:type="pct"/>
                  <w:shd w:val="clear" w:color="auto" w:fill="auto"/>
                  <w:vAlign w:val="center"/>
                </w:tcPr>
                <w:p>
                  <w:pPr>
                    <w:jc w:val="center"/>
                    <w:rPr>
                      <w:rFonts w:hint="eastAsia" w:eastAsia="宋体" w:cs="Times New Roman"/>
                      <w:color w:val="auto"/>
                      <w:sz w:val="18"/>
                      <w:szCs w:val="18"/>
                      <w:lang w:eastAsia="zh-CN"/>
                    </w:rPr>
                  </w:pPr>
                  <w:r>
                    <w:rPr>
                      <w:rFonts w:hint="eastAsia"/>
                      <w:color w:val="auto"/>
                      <w:sz w:val="18"/>
                      <w:szCs w:val="18"/>
                      <w:lang w:eastAsia="zh-CN"/>
                    </w:rPr>
                    <w:t>成品仓库</w:t>
                  </w:r>
                </w:p>
              </w:tc>
              <w:tc>
                <w:tcPr>
                  <w:tcW w:w="1159" w:type="pct"/>
                  <w:shd w:val="clear" w:color="auto" w:fill="auto"/>
                  <w:vAlign w:val="center"/>
                </w:tcPr>
                <w:p>
                  <w:pPr>
                    <w:jc w:val="center"/>
                    <w:rPr>
                      <w:rFonts w:hint="eastAsia" w:eastAsia="宋体" w:cs="Times New Roman"/>
                      <w:color w:val="auto"/>
                      <w:sz w:val="18"/>
                      <w:szCs w:val="18"/>
                      <w:lang w:val="en-US" w:eastAsia="zh-CN"/>
                    </w:rPr>
                  </w:pPr>
                  <w:r>
                    <w:rPr>
                      <w:rFonts w:hint="eastAsia"/>
                      <w:color w:val="auto"/>
                      <w:sz w:val="18"/>
                      <w:szCs w:val="18"/>
                      <w:lang w:val="en-US" w:eastAsia="zh-CN"/>
                    </w:rPr>
                    <w:t>735.18</w:t>
                  </w:r>
                  <w:r>
                    <w:rPr>
                      <w:rFonts w:hint="eastAsia"/>
                      <w:color w:val="auto"/>
                      <w:sz w:val="18"/>
                      <w:szCs w:val="18"/>
                    </w:rPr>
                    <w:t>m</w:t>
                  </w:r>
                  <w:r>
                    <w:rPr>
                      <w:rFonts w:hint="eastAsia"/>
                      <w:color w:val="auto"/>
                      <w:sz w:val="18"/>
                      <w:szCs w:val="18"/>
                      <w:vertAlign w:val="superscript"/>
                    </w:rPr>
                    <w:t>2</w:t>
                  </w:r>
                </w:p>
              </w:tc>
              <w:tc>
                <w:tcPr>
                  <w:tcW w:w="787" w:type="pct"/>
                  <w:shd w:val="clear" w:color="auto" w:fill="auto"/>
                  <w:vAlign w:val="center"/>
                </w:tcPr>
                <w:p>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2F</w:t>
                  </w:r>
                </w:p>
              </w:tc>
              <w:tc>
                <w:tcPr>
                  <w:tcW w:w="1373" w:type="pct"/>
                  <w:vAlign w:val="center"/>
                </w:tcPr>
                <w:p>
                  <w:pPr>
                    <w:jc w:val="center"/>
                    <w:rPr>
                      <w:rFonts w:hint="eastAsia" w:eastAsia="宋体"/>
                      <w:color w:val="auto"/>
                      <w:sz w:val="18"/>
                      <w:szCs w:val="21"/>
                      <w:lang w:val="en-US" w:eastAsia="zh-CN"/>
                    </w:rPr>
                  </w:pPr>
                  <w:r>
                    <w:rPr>
                      <w:rFonts w:hint="eastAsia" w:eastAsia="宋体" w:cs="Times New Roman"/>
                      <w:color w:val="auto"/>
                      <w:sz w:val="18"/>
                      <w:szCs w:val="18"/>
                      <w:lang w:val="en-US" w:eastAsia="zh-CN"/>
                    </w:rPr>
                    <w:t>1F用于</w:t>
                  </w:r>
                  <w:r>
                    <w:rPr>
                      <w:rFonts w:hint="default" w:ascii="Times New Roman" w:hAnsi="Times New Roman" w:cs="Times New Roman"/>
                      <w:color w:val="auto"/>
                      <w:sz w:val="18"/>
                      <w:szCs w:val="18"/>
                    </w:rPr>
                    <w:t>贮运</w:t>
                  </w:r>
                </w:p>
              </w:tc>
              <w:tc>
                <w:tcPr>
                  <w:tcW w:w="0" w:type="auto"/>
                  <w:vAlign w:val="center"/>
                </w:tcPr>
                <w:p>
                  <w:pPr>
                    <w:jc w:val="center"/>
                    <w:rPr>
                      <w:rFonts w:hint="eastAsia" w:eastAsia="宋体"/>
                      <w:color w:val="auto"/>
                      <w:sz w:val="18"/>
                      <w:szCs w:val="21"/>
                      <w:lang w:val="en-US" w:eastAsia="zh-CN"/>
                    </w:rPr>
                  </w:pPr>
                  <w:r>
                    <w:rPr>
                      <w:rFonts w:hint="eastAsia" w:eastAsia="宋体" w:cs="Times New Roman"/>
                      <w:color w:val="auto"/>
                      <w:sz w:val="18"/>
                      <w:szCs w:val="18"/>
                      <w:lang w:val="en-US" w:eastAsia="zh-CN"/>
                    </w:rPr>
                    <w:t>7.8</w:t>
                  </w:r>
                  <w:r>
                    <w:rPr>
                      <w:rFonts w:hint="eastAsia" w:ascii="Times New Roman" w:hAnsi="Times New Roman" w:eastAsia="宋体" w:cs="Times New Roman"/>
                      <w:color w:val="auto"/>
                      <w:sz w:val="18"/>
                      <w:szCs w:val="18"/>
                      <w:lang w:val="en-US" w:eastAsia="zh-CN"/>
                    </w:rPr>
                    <w:t>m</w:t>
                  </w:r>
                </w:p>
              </w:tc>
            </w:tr>
          </w:tbl>
          <w:p>
            <w:pPr>
              <w:spacing w:line="500" w:lineRule="exact"/>
              <w:jc w:val="center"/>
              <w:rPr>
                <w:b/>
                <w:color w:val="auto"/>
                <w:lang w:val="zh-CN"/>
              </w:rPr>
            </w:pPr>
            <w:r>
              <w:rPr>
                <w:b/>
                <w:color w:val="auto"/>
                <w:lang w:val="zh-CN"/>
              </w:rPr>
              <w:t>表2-</w:t>
            </w:r>
            <w:r>
              <w:rPr>
                <w:rFonts w:hint="eastAsia"/>
                <w:b/>
                <w:color w:val="auto"/>
                <w:lang w:val="en-US" w:eastAsia="zh-CN"/>
              </w:rPr>
              <w:t>2</w:t>
            </w:r>
            <w:r>
              <w:rPr>
                <w:b/>
                <w:color w:val="auto"/>
                <w:lang w:val="zh-CN"/>
              </w:rPr>
              <w:t xml:space="preserve">  工程建设内容一览表</w:t>
            </w:r>
          </w:p>
          <w:tbl>
            <w:tblPr>
              <w:tblStyle w:val="22"/>
              <w:tblW w:w="7979"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9"/>
              <w:gridCol w:w="529"/>
              <w:gridCol w:w="927"/>
              <w:gridCol w:w="1630"/>
              <w:gridCol w:w="1433"/>
              <w:gridCol w:w="1197"/>
              <w:gridCol w:w="15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463"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kern w:val="0"/>
                      <w:sz w:val="18"/>
                      <w:szCs w:val="18"/>
                      <w:vertAlign w:val="baseline"/>
                      <w:lang w:val="en-US" w:eastAsia="zh-CN" w:bidi="ar"/>
                    </w:rPr>
                  </w:pPr>
                  <w:r>
                    <w:rPr>
                      <w:rFonts w:hint="default" w:ascii="Times New Roman" w:hAnsi="Times New Roman" w:cs="Times New Roman"/>
                      <w:b w:val="0"/>
                      <w:bCs w:val="0"/>
                      <w:color w:val="auto"/>
                      <w:kern w:val="0"/>
                      <w:sz w:val="18"/>
                      <w:szCs w:val="18"/>
                      <w:vertAlign w:val="baseline"/>
                      <w:lang w:val="en-US" w:eastAsia="zh-CN" w:bidi="ar"/>
                    </w:rPr>
                    <w:t>工程名称</w:t>
                  </w:r>
                </w:p>
              </w:tc>
              <w:tc>
                <w:tcPr>
                  <w:tcW w:w="912" w:type="pct"/>
                  <w:gridSpan w:val="2"/>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kern w:val="0"/>
                      <w:sz w:val="18"/>
                      <w:szCs w:val="18"/>
                      <w:vertAlign w:val="baseline"/>
                      <w:lang w:val="en-US" w:eastAsia="zh-CN" w:bidi="ar"/>
                    </w:rPr>
                  </w:pPr>
                  <w:r>
                    <w:rPr>
                      <w:rFonts w:hint="default" w:ascii="Times New Roman" w:hAnsi="Times New Roman" w:cs="Times New Roman"/>
                      <w:b w:val="0"/>
                      <w:bCs w:val="0"/>
                      <w:color w:val="auto"/>
                      <w:kern w:val="0"/>
                      <w:sz w:val="18"/>
                      <w:szCs w:val="18"/>
                      <w:vertAlign w:val="baseline"/>
                      <w:lang w:val="en-US" w:eastAsia="zh-CN" w:bidi="ar"/>
                    </w:rPr>
                    <w:t>建设名称</w:t>
                  </w:r>
                </w:p>
              </w:tc>
              <w:tc>
                <w:tcPr>
                  <w:tcW w:w="2669"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kern w:val="0"/>
                      <w:sz w:val="18"/>
                      <w:szCs w:val="18"/>
                      <w:vertAlign w:val="baseline"/>
                      <w:lang w:val="en-US" w:eastAsia="zh-CN" w:bidi="ar"/>
                    </w:rPr>
                  </w:pPr>
                  <w:r>
                    <w:rPr>
                      <w:rFonts w:hint="default" w:ascii="Times New Roman" w:hAnsi="Times New Roman" w:cs="Times New Roman"/>
                      <w:b w:val="0"/>
                      <w:bCs w:val="0"/>
                      <w:color w:val="auto"/>
                      <w:kern w:val="0"/>
                      <w:sz w:val="18"/>
                      <w:szCs w:val="18"/>
                      <w:vertAlign w:val="baseline"/>
                      <w:lang w:val="en-US" w:eastAsia="zh-CN" w:bidi="ar"/>
                    </w:rPr>
                    <w:t>设计能力</w:t>
                  </w:r>
                </w:p>
              </w:tc>
              <w:tc>
                <w:tcPr>
                  <w:tcW w:w="955"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kern w:val="0"/>
                      <w:sz w:val="18"/>
                      <w:szCs w:val="18"/>
                      <w:vertAlign w:val="baseline"/>
                      <w:lang w:val="en-US" w:eastAsia="zh-CN" w:bidi="ar"/>
                    </w:rPr>
                  </w:pPr>
                  <w:r>
                    <w:rPr>
                      <w:rFonts w:hint="default" w:ascii="Times New Roman" w:hAnsi="Times New Roman" w:cs="Times New Roman"/>
                      <w:b w:val="0"/>
                      <w:bCs w:val="0"/>
                      <w:color w:val="auto"/>
                      <w:kern w:val="0"/>
                      <w:sz w:val="18"/>
                      <w:szCs w:val="18"/>
                      <w:vertAlign w:val="baseline"/>
                      <w:lang w:val="en-US" w:eastAsia="zh-CN" w:bidi="ar"/>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463"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kern w:val="0"/>
                      <w:sz w:val="18"/>
                      <w:szCs w:val="18"/>
                      <w:vertAlign w:val="baseline"/>
                      <w:lang w:val="en-US" w:eastAsia="zh-CN" w:bidi="ar"/>
                    </w:rPr>
                  </w:pPr>
                </w:p>
              </w:tc>
              <w:tc>
                <w:tcPr>
                  <w:tcW w:w="912" w:type="pct"/>
                  <w:gridSpan w:val="2"/>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kern w:val="0"/>
                      <w:sz w:val="18"/>
                      <w:szCs w:val="18"/>
                      <w:vertAlign w:val="baseline"/>
                      <w:lang w:val="en-US" w:eastAsia="zh-CN" w:bidi="ar"/>
                    </w:rPr>
                  </w:pPr>
                </w:p>
              </w:tc>
              <w:tc>
                <w:tcPr>
                  <w:tcW w:w="102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kern w:val="0"/>
                      <w:sz w:val="18"/>
                      <w:szCs w:val="18"/>
                      <w:vertAlign w:val="baseline"/>
                      <w:lang w:val="en-US" w:eastAsia="zh-CN" w:bidi="ar"/>
                    </w:rPr>
                  </w:pPr>
                  <w:r>
                    <w:rPr>
                      <w:rFonts w:hint="eastAsia" w:cs="Times New Roman"/>
                      <w:b w:val="0"/>
                      <w:bCs w:val="0"/>
                      <w:color w:val="auto"/>
                      <w:kern w:val="0"/>
                      <w:sz w:val="18"/>
                      <w:szCs w:val="18"/>
                      <w:vertAlign w:val="baseline"/>
                      <w:lang w:val="en-US" w:eastAsia="zh-CN" w:bidi="ar"/>
                    </w:rPr>
                    <w:t>改扩建</w:t>
                  </w:r>
                  <w:r>
                    <w:rPr>
                      <w:rFonts w:hint="default" w:ascii="Times New Roman" w:hAnsi="Times New Roman" w:cs="Times New Roman"/>
                      <w:b w:val="0"/>
                      <w:bCs w:val="0"/>
                      <w:color w:val="auto"/>
                      <w:kern w:val="0"/>
                      <w:sz w:val="18"/>
                      <w:szCs w:val="18"/>
                      <w:vertAlign w:val="baseline"/>
                      <w:lang w:val="en-US" w:eastAsia="zh-CN" w:bidi="ar"/>
                    </w:rPr>
                    <w:t>前</w:t>
                  </w:r>
                </w:p>
              </w:tc>
              <w:tc>
                <w:tcPr>
                  <w:tcW w:w="89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kern w:val="0"/>
                      <w:sz w:val="18"/>
                      <w:szCs w:val="18"/>
                      <w:vertAlign w:val="baseline"/>
                      <w:lang w:val="en-US" w:eastAsia="zh-CN" w:bidi="ar"/>
                    </w:rPr>
                  </w:pPr>
                  <w:r>
                    <w:rPr>
                      <w:rFonts w:hint="eastAsia" w:cs="Times New Roman"/>
                      <w:b w:val="0"/>
                      <w:bCs w:val="0"/>
                      <w:color w:val="auto"/>
                      <w:kern w:val="0"/>
                      <w:sz w:val="18"/>
                      <w:szCs w:val="18"/>
                      <w:vertAlign w:val="baseline"/>
                      <w:lang w:val="en-US" w:eastAsia="zh-CN" w:bidi="ar"/>
                    </w:rPr>
                    <w:t>改扩建</w:t>
                  </w:r>
                  <w:r>
                    <w:rPr>
                      <w:rFonts w:hint="default" w:ascii="Times New Roman" w:hAnsi="Times New Roman" w:cs="Times New Roman"/>
                      <w:b w:val="0"/>
                      <w:bCs w:val="0"/>
                      <w:color w:val="auto"/>
                      <w:kern w:val="0"/>
                      <w:sz w:val="18"/>
                      <w:szCs w:val="18"/>
                      <w:vertAlign w:val="baseline"/>
                      <w:lang w:val="en-US" w:eastAsia="zh-CN" w:bidi="ar"/>
                    </w:rPr>
                    <w:t>后</w:t>
                  </w:r>
                </w:p>
              </w:tc>
              <w:tc>
                <w:tcPr>
                  <w:tcW w:w="75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kern w:val="0"/>
                      <w:sz w:val="18"/>
                      <w:szCs w:val="18"/>
                      <w:vertAlign w:val="baseline"/>
                      <w:lang w:val="en-US" w:eastAsia="zh-CN" w:bidi="ar"/>
                    </w:rPr>
                  </w:pPr>
                  <w:r>
                    <w:rPr>
                      <w:rFonts w:hint="default" w:ascii="Times New Roman" w:hAnsi="Times New Roman" w:cs="Times New Roman"/>
                      <w:b w:val="0"/>
                      <w:bCs w:val="0"/>
                      <w:color w:val="auto"/>
                      <w:kern w:val="0"/>
                      <w:sz w:val="18"/>
                      <w:szCs w:val="18"/>
                      <w:vertAlign w:val="baseline"/>
                      <w:lang w:val="en-US" w:eastAsia="zh-CN" w:bidi="ar"/>
                    </w:rPr>
                    <w:t>变化情况</w:t>
                  </w:r>
                </w:p>
              </w:tc>
              <w:tc>
                <w:tcPr>
                  <w:tcW w:w="955"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kern w:val="0"/>
                      <w:sz w:val="18"/>
                      <w:szCs w:val="18"/>
                      <w:vertAlign w:val="baseli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16" w:hRule="atLeast"/>
              </w:trPr>
              <w:tc>
                <w:tcPr>
                  <w:tcW w:w="463"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kern w:val="0"/>
                      <w:sz w:val="18"/>
                      <w:szCs w:val="18"/>
                      <w:vertAlign w:val="baseline"/>
                      <w:lang w:val="en-US" w:eastAsia="zh-CN" w:bidi="ar"/>
                    </w:rPr>
                  </w:pPr>
                  <w:r>
                    <w:rPr>
                      <w:rFonts w:hint="default" w:ascii="Times New Roman" w:hAnsi="Times New Roman" w:cs="Times New Roman"/>
                      <w:b w:val="0"/>
                      <w:bCs w:val="0"/>
                      <w:color w:val="auto"/>
                      <w:kern w:val="0"/>
                      <w:sz w:val="18"/>
                      <w:szCs w:val="18"/>
                      <w:vertAlign w:val="baseline"/>
                      <w:lang w:val="en-US" w:eastAsia="zh-CN" w:bidi="ar"/>
                    </w:rPr>
                    <w:t>主体工程</w:t>
                  </w:r>
                </w:p>
              </w:tc>
              <w:tc>
                <w:tcPr>
                  <w:tcW w:w="912" w:type="pct"/>
                  <w:gridSpan w:val="2"/>
                  <w:tcBorders>
                    <w:tl2br w:val="nil"/>
                    <w:tr2bl w:val="nil"/>
                  </w:tcBorders>
                  <w:noWrap w:val="0"/>
                  <w:vAlign w:val="center"/>
                </w:tcPr>
                <w:p>
                  <w:pPr>
                    <w:jc w:val="center"/>
                    <w:rPr>
                      <w:rFonts w:hint="default" w:ascii="Times New Roman" w:hAnsi="Times New Roman" w:eastAsia="宋体" w:cs="Times New Roman"/>
                      <w:color w:val="auto"/>
                      <w:sz w:val="18"/>
                      <w:szCs w:val="18"/>
                      <w:lang w:eastAsia="zh-CN"/>
                    </w:rPr>
                  </w:pPr>
                  <w:r>
                    <w:rPr>
                      <w:rFonts w:hint="eastAsia" w:eastAsia="宋体" w:cs="Times New Roman"/>
                      <w:color w:val="auto"/>
                      <w:sz w:val="18"/>
                      <w:szCs w:val="18"/>
                      <w:lang w:eastAsia="zh-CN"/>
                    </w:rPr>
                    <w:t>热处理</w:t>
                  </w:r>
                  <w:r>
                    <w:rPr>
                      <w:rFonts w:hint="eastAsia" w:ascii="Times New Roman" w:hAnsi="Times New Roman" w:eastAsia="宋体" w:cs="Times New Roman"/>
                      <w:color w:val="auto"/>
                      <w:sz w:val="18"/>
                      <w:szCs w:val="18"/>
                      <w:lang w:eastAsia="zh-CN"/>
                    </w:rPr>
                    <w:t>车间</w:t>
                  </w:r>
                </w:p>
              </w:tc>
              <w:tc>
                <w:tcPr>
                  <w:tcW w:w="1021" w:type="pct"/>
                  <w:tcBorders>
                    <w:tl2br w:val="nil"/>
                    <w:tr2bl w:val="nil"/>
                  </w:tcBorders>
                  <w:noWrap w:val="0"/>
                  <w:vAlign w:val="center"/>
                </w:tcPr>
                <w:p>
                  <w:pPr>
                    <w:jc w:val="center"/>
                    <w:rPr>
                      <w:rFonts w:hint="default" w:ascii="Times New Roman" w:hAnsi="Times New Roman" w:cs="Times New Roman"/>
                      <w:b w:val="0"/>
                      <w:bCs w:val="0"/>
                      <w:color w:val="auto"/>
                      <w:kern w:val="0"/>
                      <w:sz w:val="18"/>
                      <w:szCs w:val="18"/>
                      <w:vertAlign w:val="baseline"/>
                      <w:lang w:val="en-US" w:eastAsia="zh-CN" w:bidi="ar"/>
                    </w:rPr>
                  </w:pPr>
                  <w:r>
                    <w:rPr>
                      <w:rFonts w:hint="eastAsia"/>
                      <w:color w:val="auto"/>
                      <w:sz w:val="18"/>
                      <w:szCs w:val="18"/>
                    </w:rPr>
                    <w:t>占地</w:t>
                  </w:r>
                  <w:r>
                    <w:rPr>
                      <w:color w:val="auto"/>
                      <w:sz w:val="18"/>
                      <w:szCs w:val="18"/>
                    </w:rPr>
                    <w:t>面积</w:t>
                  </w:r>
                  <w:r>
                    <w:rPr>
                      <w:rFonts w:hint="eastAsia" w:eastAsia="宋体" w:cs="Times New Roman"/>
                      <w:color w:val="auto"/>
                      <w:sz w:val="18"/>
                      <w:szCs w:val="18"/>
                      <w:lang w:val="en-US" w:eastAsia="zh-CN"/>
                    </w:rPr>
                    <w:t>13430.1</w:t>
                  </w:r>
                  <w:r>
                    <w:rPr>
                      <w:rFonts w:hint="eastAsia" w:ascii="Times New Roman" w:hAnsi="Times New Roman" w:eastAsia="宋体" w:cs="Times New Roman"/>
                      <w:color w:val="auto"/>
                      <w:sz w:val="18"/>
                      <w:szCs w:val="18"/>
                    </w:rPr>
                    <w:t>m</w:t>
                  </w:r>
                  <w:r>
                    <w:rPr>
                      <w:rFonts w:hint="eastAsia" w:ascii="Times New Roman" w:hAnsi="Times New Roman" w:eastAsia="宋体" w:cs="Times New Roman"/>
                      <w:color w:val="auto"/>
                      <w:sz w:val="18"/>
                      <w:szCs w:val="18"/>
                      <w:vertAlign w:val="superscript"/>
                    </w:rPr>
                    <w:t>2</w:t>
                  </w:r>
                </w:p>
              </w:tc>
              <w:tc>
                <w:tcPr>
                  <w:tcW w:w="897" w:type="pct"/>
                  <w:tcBorders>
                    <w:tl2br w:val="nil"/>
                    <w:tr2bl w:val="nil"/>
                  </w:tcBorders>
                  <w:noWrap w:val="0"/>
                  <w:vAlign w:val="center"/>
                </w:tcPr>
                <w:p>
                  <w:pPr>
                    <w:jc w:val="center"/>
                    <w:rPr>
                      <w:rFonts w:hint="default" w:ascii="Times New Roman" w:hAnsi="Times New Roman" w:cs="Times New Roman"/>
                      <w:b w:val="0"/>
                      <w:bCs w:val="0"/>
                      <w:color w:val="auto"/>
                      <w:kern w:val="0"/>
                      <w:sz w:val="18"/>
                      <w:szCs w:val="18"/>
                      <w:vertAlign w:val="baseline"/>
                      <w:lang w:val="en-US" w:eastAsia="zh-CN" w:bidi="ar"/>
                    </w:rPr>
                  </w:pPr>
                  <w:r>
                    <w:rPr>
                      <w:rFonts w:hint="eastAsia"/>
                      <w:color w:val="auto"/>
                      <w:sz w:val="18"/>
                      <w:szCs w:val="18"/>
                    </w:rPr>
                    <w:t>占地</w:t>
                  </w:r>
                  <w:r>
                    <w:rPr>
                      <w:color w:val="auto"/>
                      <w:sz w:val="18"/>
                      <w:szCs w:val="18"/>
                    </w:rPr>
                    <w:t>面积</w:t>
                  </w:r>
                  <w:r>
                    <w:rPr>
                      <w:rFonts w:hint="eastAsia" w:eastAsia="宋体" w:cs="Times New Roman"/>
                      <w:color w:val="auto"/>
                      <w:sz w:val="18"/>
                      <w:szCs w:val="18"/>
                      <w:lang w:val="en-US" w:eastAsia="zh-CN"/>
                    </w:rPr>
                    <w:t>13430.1</w:t>
                  </w:r>
                  <w:r>
                    <w:rPr>
                      <w:rFonts w:hint="eastAsia" w:ascii="Times New Roman" w:hAnsi="Times New Roman" w:eastAsia="宋体" w:cs="Times New Roman"/>
                      <w:color w:val="auto"/>
                      <w:sz w:val="18"/>
                      <w:szCs w:val="18"/>
                    </w:rPr>
                    <w:t>m</w:t>
                  </w:r>
                  <w:r>
                    <w:rPr>
                      <w:rFonts w:hint="eastAsia" w:ascii="Times New Roman" w:hAnsi="Times New Roman" w:eastAsia="宋体" w:cs="Times New Roman"/>
                      <w:color w:val="auto"/>
                      <w:sz w:val="18"/>
                      <w:szCs w:val="18"/>
                      <w:vertAlign w:val="superscript"/>
                    </w:rPr>
                    <w:t>2</w:t>
                  </w:r>
                </w:p>
              </w:tc>
              <w:tc>
                <w:tcPr>
                  <w:tcW w:w="750" w:type="pct"/>
                  <w:tcBorders>
                    <w:tl2br w:val="nil"/>
                    <w:tr2bl w:val="nil"/>
                  </w:tcBorders>
                  <w:noWrap w:val="0"/>
                  <w:vAlign w:val="center"/>
                </w:tcPr>
                <w:p>
                  <w:pPr>
                    <w:jc w:val="center"/>
                    <w:rPr>
                      <w:rFonts w:hint="default" w:ascii="Times New Roman" w:hAnsi="Times New Roman" w:cs="Times New Roman"/>
                      <w:b w:val="0"/>
                      <w:bCs w:val="0"/>
                      <w:color w:val="auto"/>
                      <w:kern w:val="0"/>
                      <w:sz w:val="18"/>
                      <w:szCs w:val="18"/>
                      <w:vertAlign w:val="baseline"/>
                      <w:lang w:val="en-US" w:eastAsia="zh-CN" w:bidi="ar"/>
                    </w:rPr>
                  </w:pPr>
                  <w:r>
                    <w:rPr>
                      <w:rFonts w:hint="eastAsia" w:ascii="Times New Roman" w:hAnsi="Times New Roman" w:eastAsia="宋体" w:cs="Times New Roman"/>
                      <w:color w:val="auto"/>
                      <w:sz w:val="18"/>
                      <w:szCs w:val="18"/>
                    </w:rPr>
                    <w:t>不变</w:t>
                  </w:r>
                </w:p>
              </w:tc>
              <w:tc>
                <w:tcPr>
                  <w:tcW w:w="955" w:type="pct"/>
                  <w:tcBorders>
                    <w:tl2br w:val="nil"/>
                    <w:tr2bl w:val="nil"/>
                  </w:tcBorders>
                  <w:noWrap w:val="0"/>
                  <w:vAlign w:val="center"/>
                </w:tcPr>
                <w:p>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依托现有</w:t>
                  </w:r>
                  <w:r>
                    <w:rPr>
                      <w:rFonts w:hint="eastAsia" w:cs="Times New Roman"/>
                      <w:color w:val="auto"/>
                      <w:sz w:val="18"/>
                      <w:szCs w:val="18"/>
                      <w:lang w:val="en-US" w:eastAsia="zh-CN"/>
                    </w:rPr>
                    <w:t>，车间</w:t>
                  </w:r>
                  <w:r>
                    <w:rPr>
                      <w:rFonts w:hint="eastAsia" w:ascii="Times New Roman" w:hAnsi="Times New Roman" w:eastAsia="宋体" w:cs="Times New Roman"/>
                      <w:color w:val="auto"/>
                      <w:sz w:val="18"/>
                      <w:szCs w:val="18"/>
                      <w:lang w:val="en-US" w:eastAsia="zh-CN"/>
                    </w:rPr>
                    <w:t>涉及改扩建的设备</w:t>
                  </w:r>
                  <w:r>
                    <w:rPr>
                      <w:rFonts w:hint="eastAsia" w:cs="Times New Roman"/>
                      <w:color w:val="auto"/>
                      <w:sz w:val="18"/>
                      <w:szCs w:val="18"/>
                      <w:lang w:val="en-US" w:eastAsia="zh-CN"/>
                    </w:rPr>
                    <w:t>位于原有设备附近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16" w:hRule="atLeast"/>
              </w:trPr>
              <w:tc>
                <w:tcPr>
                  <w:tcW w:w="463"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kern w:val="0"/>
                      <w:sz w:val="18"/>
                      <w:szCs w:val="18"/>
                      <w:vertAlign w:val="baseline"/>
                      <w:lang w:val="en-US" w:eastAsia="zh-CN" w:bidi="ar"/>
                    </w:rPr>
                  </w:pPr>
                </w:p>
              </w:tc>
              <w:tc>
                <w:tcPr>
                  <w:tcW w:w="912" w:type="pct"/>
                  <w:gridSpan w:val="2"/>
                  <w:tcBorders>
                    <w:tl2br w:val="nil"/>
                    <w:tr2bl w:val="nil"/>
                  </w:tcBorders>
                  <w:noWrap w:val="0"/>
                  <w:vAlign w:val="center"/>
                </w:tcPr>
                <w:p>
                  <w:pPr>
                    <w:jc w:val="center"/>
                    <w:rPr>
                      <w:rFonts w:hint="eastAsia" w:ascii="Times New Roman" w:hAnsi="Times New Roman" w:eastAsia="宋体" w:cs="Times New Roman"/>
                      <w:color w:val="auto"/>
                      <w:sz w:val="18"/>
                      <w:szCs w:val="18"/>
                      <w:lang w:eastAsia="zh-CN"/>
                    </w:rPr>
                  </w:pPr>
                  <w:r>
                    <w:rPr>
                      <w:rFonts w:hint="eastAsia" w:eastAsia="宋体" w:cs="Times New Roman"/>
                      <w:color w:val="auto"/>
                      <w:sz w:val="18"/>
                      <w:szCs w:val="18"/>
                      <w:lang w:eastAsia="zh-CN"/>
                    </w:rPr>
                    <w:t>机加工车间</w:t>
                  </w:r>
                </w:p>
              </w:tc>
              <w:tc>
                <w:tcPr>
                  <w:tcW w:w="1021" w:type="pct"/>
                  <w:tcBorders>
                    <w:tl2br w:val="nil"/>
                    <w:tr2bl w:val="nil"/>
                  </w:tcBorders>
                  <w:noWrap w:val="0"/>
                  <w:vAlign w:val="center"/>
                </w:tcPr>
                <w:p>
                  <w:pPr>
                    <w:jc w:val="center"/>
                    <w:rPr>
                      <w:rFonts w:hint="eastAsia"/>
                      <w:color w:val="auto"/>
                      <w:sz w:val="18"/>
                      <w:szCs w:val="18"/>
                    </w:rPr>
                  </w:pPr>
                  <w:r>
                    <w:rPr>
                      <w:rFonts w:hint="eastAsia"/>
                      <w:color w:val="auto"/>
                      <w:sz w:val="18"/>
                      <w:szCs w:val="18"/>
                    </w:rPr>
                    <w:t>占地</w:t>
                  </w:r>
                  <w:r>
                    <w:rPr>
                      <w:color w:val="auto"/>
                      <w:sz w:val="18"/>
                      <w:szCs w:val="18"/>
                    </w:rPr>
                    <w:t>面积</w:t>
                  </w:r>
                  <w:r>
                    <w:rPr>
                      <w:rFonts w:hint="eastAsia" w:eastAsia="宋体" w:cs="Times New Roman"/>
                      <w:color w:val="auto"/>
                      <w:sz w:val="18"/>
                      <w:szCs w:val="18"/>
                      <w:lang w:val="en-US" w:eastAsia="zh-CN"/>
                    </w:rPr>
                    <w:t>18279.04</w:t>
                  </w:r>
                  <w:r>
                    <w:rPr>
                      <w:rFonts w:hint="eastAsia" w:ascii="Times New Roman" w:hAnsi="Times New Roman" w:eastAsia="宋体" w:cs="Times New Roman"/>
                      <w:color w:val="auto"/>
                      <w:sz w:val="18"/>
                      <w:szCs w:val="18"/>
                    </w:rPr>
                    <w:t>m</w:t>
                  </w:r>
                  <w:r>
                    <w:rPr>
                      <w:rFonts w:hint="eastAsia" w:ascii="Times New Roman" w:hAnsi="Times New Roman" w:eastAsia="宋体" w:cs="Times New Roman"/>
                      <w:color w:val="auto"/>
                      <w:sz w:val="18"/>
                      <w:szCs w:val="18"/>
                      <w:vertAlign w:val="superscript"/>
                    </w:rPr>
                    <w:t>2</w:t>
                  </w:r>
                </w:p>
              </w:tc>
              <w:tc>
                <w:tcPr>
                  <w:tcW w:w="897" w:type="pct"/>
                  <w:tcBorders>
                    <w:tl2br w:val="nil"/>
                    <w:tr2bl w:val="nil"/>
                  </w:tcBorders>
                  <w:noWrap w:val="0"/>
                  <w:vAlign w:val="center"/>
                </w:tcPr>
                <w:p>
                  <w:pPr>
                    <w:jc w:val="center"/>
                    <w:rPr>
                      <w:rFonts w:hint="eastAsia"/>
                      <w:color w:val="auto"/>
                      <w:sz w:val="18"/>
                      <w:szCs w:val="18"/>
                    </w:rPr>
                  </w:pPr>
                  <w:r>
                    <w:rPr>
                      <w:rFonts w:hint="eastAsia"/>
                      <w:color w:val="auto"/>
                      <w:sz w:val="18"/>
                      <w:szCs w:val="18"/>
                    </w:rPr>
                    <w:t>占地</w:t>
                  </w:r>
                  <w:r>
                    <w:rPr>
                      <w:color w:val="auto"/>
                      <w:sz w:val="18"/>
                      <w:szCs w:val="18"/>
                    </w:rPr>
                    <w:t>面积</w:t>
                  </w:r>
                  <w:r>
                    <w:rPr>
                      <w:rFonts w:hint="eastAsia" w:eastAsia="宋体" w:cs="Times New Roman"/>
                      <w:color w:val="auto"/>
                      <w:sz w:val="18"/>
                      <w:szCs w:val="18"/>
                      <w:lang w:val="en-US" w:eastAsia="zh-CN"/>
                    </w:rPr>
                    <w:t>18279.04</w:t>
                  </w:r>
                  <w:r>
                    <w:rPr>
                      <w:rFonts w:hint="eastAsia" w:ascii="Times New Roman" w:hAnsi="Times New Roman" w:eastAsia="宋体" w:cs="Times New Roman"/>
                      <w:color w:val="auto"/>
                      <w:sz w:val="18"/>
                      <w:szCs w:val="18"/>
                    </w:rPr>
                    <w:t>m</w:t>
                  </w:r>
                  <w:r>
                    <w:rPr>
                      <w:rFonts w:hint="eastAsia" w:ascii="Times New Roman" w:hAnsi="Times New Roman" w:eastAsia="宋体" w:cs="Times New Roman"/>
                      <w:color w:val="auto"/>
                      <w:sz w:val="18"/>
                      <w:szCs w:val="18"/>
                      <w:vertAlign w:val="superscript"/>
                    </w:rPr>
                    <w:t>2</w:t>
                  </w:r>
                </w:p>
              </w:tc>
              <w:tc>
                <w:tcPr>
                  <w:tcW w:w="750" w:type="pct"/>
                  <w:tcBorders>
                    <w:tl2br w:val="nil"/>
                    <w:tr2bl w:val="nil"/>
                  </w:tcBorders>
                  <w:noWrap w:val="0"/>
                  <w:vAlign w:val="center"/>
                </w:tcPr>
                <w:p>
                  <w:pPr>
                    <w:jc w:val="center"/>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不变</w:t>
                  </w:r>
                </w:p>
              </w:tc>
              <w:tc>
                <w:tcPr>
                  <w:tcW w:w="955" w:type="pct"/>
                  <w:tcBorders>
                    <w:tl2br w:val="nil"/>
                    <w:tr2bl w:val="nil"/>
                  </w:tcBorders>
                  <w:noWrap w:val="0"/>
                  <w:vAlign w:val="center"/>
                </w:tcPr>
                <w:p>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依托现有</w:t>
                  </w:r>
                  <w:r>
                    <w:rPr>
                      <w:rFonts w:hint="eastAsia" w:cs="Times New Roman"/>
                      <w:color w:val="auto"/>
                      <w:sz w:val="18"/>
                      <w:szCs w:val="18"/>
                      <w:lang w:val="en-US" w:eastAsia="zh-CN"/>
                    </w:rPr>
                    <w:t>，车间</w:t>
                  </w:r>
                  <w:r>
                    <w:rPr>
                      <w:rFonts w:hint="eastAsia" w:ascii="Times New Roman" w:hAnsi="Times New Roman" w:eastAsia="宋体" w:cs="Times New Roman"/>
                      <w:color w:val="auto"/>
                      <w:sz w:val="18"/>
                      <w:szCs w:val="18"/>
                      <w:lang w:val="en-US" w:eastAsia="zh-CN"/>
                    </w:rPr>
                    <w:t>涉及改扩建的设备</w:t>
                  </w:r>
                  <w:r>
                    <w:rPr>
                      <w:rFonts w:hint="eastAsia" w:cs="Times New Roman"/>
                      <w:color w:val="auto"/>
                      <w:sz w:val="18"/>
                      <w:szCs w:val="18"/>
                      <w:lang w:val="en-US" w:eastAsia="zh-CN"/>
                    </w:rPr>
                    <w:t>位于原有设备附近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16" w:hRule="atLeast"/>
              </w:trPr>
              <w:tc>
                <w:tcPr>
                  <w:tcW w:w="463"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kern w:val="0"/>
                      <w:sz w:val="18"/>
                      <w:szCs w:val="18"/>
                      <w:vertAlign w:val="baseline"/>
                      <w:lang w:val="en-US" w:eastAsia="zh-CN" w:bidi="ar"/>
                    </w:rPr>
                  </w:pPr>
                </w:p>
              </w:tc>
              <w:tc>
                <w:tcPr>
                  <w:tcW w:w="912" w:type="pct"/>
                  <w:gridSpan w:val="2"/>
                  <w:tcBorders>
                    <w:tl2br w:val="nil"/>
                    <w:tr2bl w:val="nil"/>
                  </w:tcBorders>
                  <w:noWrap w:val="0"/>
                  <w:vAlign w:val="center"/>
                </w:tcPr>
                <w:p>
                  <w:pPr>
                    <w:jc w:val="center"/>
                    <w:rPr>
                      <w:rFonts w:hint="eastAsia" w:ascii="Times New Roman" w:hAnsi="Times New Roman" w:eastAsia="宋体" w:cs="Times New Roman"/>
                      <w:color w:val="auto"/>
                      <w:sz w:val="18"/>
                      <w:szCs w:val="18"/>
                      <w:lang w:eastAsia="zh-CN"/>
                    </w:rPr>
                  </w:pPr>
                  <w:r>
                    <w:rPr>
                      <w:rFonts w:hint="eastAsia" w:eastAsia="宋体" w:cs="Times New Roman"/>
                      <w:color w:val="auto"/>
                      <w:sz w:val="18"/>
                      <w:szCs w:val="18"/>
                      <w:lang w:eastAsia="zh-CN"/>
                    </w:rPr>
                    <w:t>锻造车间</w:t>
                  </w:r>
                </w:p>
              </w:tc>
              <w:tc>
                <w:tcPr>
                  <w:tcW w:w="1021" w:type="pct"/>
                  <w:tcBorders>
                    <w:tl2br w:val="nil"/>
                    <w:tr2bl w:val="nil"/>
                  </w:tcBorders>
                  <w:noWrap w:val="0"/>
                  <w:vAlign w:val="center"/>
                </w:tcPr>
                <w:p>
                  <w:pPr>
                    <w:jc w:val="center"/>
                    <w:rPr>
                      <w:rFonts w:hint="eastAsia"/>
                      <w:color w:val="auto"/>
                      <w:sz w:val="18"/>
                      <w:szCs w:val="18"/>
                    </w:rPr>
                  </w:pPr>
                  <w:r>
                    <w:rPr>
                      <w:rFonts w:hint="eastAsia"/>
                      <w:color w:val="auto"/>
                      <w:sz w:val="18"/>
                      <w:szCs w:val="18"/>
                    </w:rPr>
                    <w:t>占地</w:t>
                  </w:r>
                  <w:r>
                    <w:rPr>
                      <w:color w:val="auto"/>
                      <w:sz w:val="18"/>
                      <w:szCs w:val="18"/>
                    </w:rPr>
                    <w:t>面积</w:t>
                  </w:r>
                  <w:r>
                    <w:rPr>
                      <w:rFonts w:hint="eastAsia" w:eastAsia="宋体" w:cs="Times New Roman"/>
                      <w:color w:val="auto"/>
                      <w:sz w:val="18"/>
                      <w:szCs w:val="18"/>
                      <w:lang w:val="en-US" w:eastAsia="zh-CN"/>
                    </w:rPr>
                    <w:t>17100</w:t>
                  </w:r>
                  <w:r>
                    <w:rPr>
                      <w:rFonts w:hint="eastAsia" w:ascii="Times New Roman" w:hAnsi="Times New Roman" w:eastAsia="宋体" w:cs="Times New Roman"/>
                      <w:color w:val="auto"/>
                      <w:sz w:val="18"/>
                      <w:szCs w:val="18"/>
                    </w:rPr>
                    <w:t>m</w:t>
                  </w:r>
                  <w:r>
                    <w:rPr>
                      <w:rFonts w:hint="eastAsia" w:ascii="Times New Roman" w:hAnsi="Times New Roman" w:eastAsia="宋体" w:cs="Times New Roman"/>
                      <w:color w:val="auto"/>
                      <w:sz w:val="18"/>
                      <w:szCs w:val="18"/>
                      <w:vertAlign w:val="superscript"/>
                    </w:rPr>
                    <w:t>2</w:t>
                  </w:r>
                </w:p>
              </w:tc>
              <w:tc>
                <w:tcPr>
                  <w:tcW w:w="897" w:type="pct"/>
                  <w:tcBorders>
                    <w:tl2br w:val="nil"/>
                    <w:tr2bl w:val="nil"/>
                  </w:tcBorders>
                  <w:noWrap w:val="0"/>
                  <w:vAlign w:val="center"/>
                </w:tcPr>
                <w:p>
                  <w:pPr>
                    <w:jc w:val="center"/>
                    <w:rPr>
                      <w:rFonts w:hint="eastAsia"/>
                      <w:color w:val="auto"/>
                      <w:sz w:val="18"/>
                      <w:szCs w:val="18"/>
                    </w:rPr>
                  </w:pPr>
                  <w:r>
                    <w:rPr>
                      <w:rFonts w:hint="eastAsia"/>
                      <w:color w:val="auto"/>
                      <w:sz w:val="18"/>
                      <w:szCs w:val="18"/>
                    </w:rPr>
                    <w:t>占地</w:t>
                  </w:r>
                  <w:r>
                    <w:rPr>
                      <w:color w:val="auto"/>
                      <w:sz w:val="18"/>
                      <w:szCs w:val="18"/>
                    </w:rPr>
                    <w:t>面积</w:t>
                  </w:r>
                  <w:r>
                    <w:rPr>
                      <w:rFonts w:hint="eastAsia" w:eastAsia="宋体" w:cs="Times New Roman"/>
                      <w:color w:val="auto"/>
                      <w:sz w:val="18"/>
                      <w:szCs w:val="18"/>
                      <w:lang w:val="en-US" w:eastAsia="zh-CN"/>
                    </w:rPr>
                    <w:t>17100</w:t>
                  </w:r>
                  <w:r>
                    <w:rPr>
                      <w:rFonts w:hint="eastAsia" w:ascii="Times New Roman" w:hAnsi="Times New Roman" w:eastAsia="宋体" w:cs="Times New Roman"/>
                      <w:color w:val="auto"/>
                      <w:sz w:val="18"/>
                      <w:szCs w:val="18"/>
                    </w:rPr>
                    <w:t>m</w:t>
                  </w:r>
                  <w:r>
                    <w:rPr>
                      <w:rFonts w:hint="eastAsia" w:ascii="Times New Roman" w:hAnsi="Times New Roman" w:eastAsia="宋体" w:cs="Times New Roman"/>
                      <w:color w:val="auto"/>
                      <w:sz w:val="18"/>
                      <w:szCs w:val="18"/>
                      <w:vertAlign w:val="superscript"/>
                    </w:rPr>
                    <w:t>2</w:t>
                  </w:r>
                </w:p>
              </w:tc>
              <w:tc>
                <w:tcPr>
                  <w:tcW w:w="750" w:type="pct"/>
                  <w:tcBorders>
                    <w:tl2br w:val="nil"/>
                    <w:tr2bl w:val="nil"/>
                  </w:tcBorders>
                  <w:noWrap w:val="0"/>
                  <w:vAlign w:val="center"/>
                </w:tcPr>
                <w:p>
                  <w:pPr>
                    <w:jc w:val="center"/>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不变</w:t>
                  </w:r>
                </w:p>
              </w:tc>
              <w:tc>
                <w:tcPr>
                  <w:tcW w:w="955" w:type="pct"/>
                  <w:tcBorders>
                    <w:tl2br w:val="nil"/>
                    <w:tr2bl w:val="nil"/>
                  </w:tcBorders>
                  <w:noWrap w:val="0"/>
                  <w:vAlign w:val="center"/>
                </w:tcPr>
                <w:p>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依托现有</w:t>
                  </w:r>
                  <w:r>
                    <w:rPr>
                      <w:rFonts w:hint="eastAsia" w:cs="Times New Roman"/>
                      <w:color w:val="auto"/>
                      <w:sz w:val="18"/>
                      <w:szCs w:val="18"/>
                      <w:lang w:val="en-US" w:eastAsia="zh-CN"/>
                    </w:rPr>
                    <w:t>，车间</w:t>
                  </w:r>
                  <w:r>
                    <w:rPr>
                      <w:rFonts w:hint="eastAsia" w:ascii="Times New Roman" w:hAnsi="Times New Roman" w:eastAsia="宋体" w:cs="Times New Roman"/>
                      <w:color w:val="auto"/>
                      <w:sz w:val="18"/>
                      <w:szCs w:val="18"/>
                      <w:lang w:val="en-US" w:eastAsia="zh-CN"/>
                    </w:rPr>
                    <w:t>涉及改扩建的设备</w:t>
                  </w:r>
                  <w:r>
                    <w:rPr>
                      <w:rFonts w:hint="eastAsia" w:cs="Times New Roman"/>
                      <w:color w:val="auto"/>
                      <w:sz w:val="18"/>
                      <w:szCs w:val="18"/>
                      <w:lang w:val="en-US" w:eastAsia="zh-CN"/>
                    </w:rPr>
                    <w:t>位于原有设备附近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463"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kern w:val="0"/>
                      <w:sz w:val="18"/>
                      <w:szCs w:val="18"/>
                      <w:vertAlign w:val="baseline"/>
                      <w:lang w:val="en-US" w:eastAsia="zh-CN" w:bidi="ar"/>
                    </w:rPr>
                  </w:pPr>
                </w:p>
              </w:tc>
              <w:tc>
                <w:tcPr>
                  <w:tcW w:w="912" w:type="pct"/>
                  <w:gridSpan w:val="2"/>
                  <w:tcBorders>
                    <w:tl2br w:val="nil"/>
                    <w:tr2bl w:val="nil"/>
                  </w:tcBorders>
                  <w:noWrap w:val="0"/>
                  <w:vAlign w:val="center"/>
                </w:tcPr>
                <w:p>
                  <w:pPr>
                    <w:jc w:val="center"/>
                    <w:rPr>
                      <w:rFonts w:hint="eastAsia" w:eastAsia="宋体" w:cs="Times New Roman"/>
                      <w:color w:val="auto"/>
                      <w:sz w:val="18"/>
                      <w:szCs w:val="18"/>
                      <w:lang w:eastAsia="zh-CN"/>
                    </w:rPr>
                  </w:pPr>
                  <w:r>
                    <w:rPr>
                      <w:rFonts w:hint="eastAsia" w:eastAsia="宋体" w:cs="Times New Roman"/>
                      <w:color w:val="auto"/>
                      <w:sz w:val="18"/>
                      <w:szCs w:val="18"/>
                      <w:lang w:eastAsia="zh-CN"/>
                    </w:rPr>
                    <w:t>检测</w:t>
                  </w:r>
                  <w:r>
                    <w:rPr>
                      <w:rFonts w:hint="eastAsia" w:cs="Times New Roman"/>
                      <w:color w:val="auto"/>
                      <w:sz w:val="18"/>
                      <w:szCs w:val="18"/>
                      <w:lang w:val="en-US" w:eastAsia="zh-CN"/>
                    </w:rPr>
                    <w:t>站</w:t>
                  </w:r>
                </w:p>
              </w:tc>
              <w:tc>
                <w:tcPr>
                  <w:tcW w:w="1021" w:type="pct"/>
                  <w:tcBorders>
                    <w:tl2br w:val="nil"/>
                    <w:tr2bl w:val="nil"/>
                  </w:tcBorders>
                  <w:noWrap w:val="0"/>
                  <w:vAlign w:val="center"/>
                </w:tcPr>
                <w:p>
                  <w:pPr>
                    <w:jc w:val="center"/>
                    <w:rPr>
                      <w:rFonts w:hint="eastAsia"/>
                      <w:color w:val="auto"/>
                      <w:sz w:val="18"/>
                      <w:szCs w:val="18"/>
                    </w:rPr>
                  </w:pPr>
                  <w:r>
                    <w:rPr>
                      <w:rFonts w:hint="eastAsia"/>
                      <w:color w:val="auto"/>
                      <w:sz w:val="18"/>
                      <w:szCs w:val="18"/>
                    </w:rPr>
                    <w:t>占地</w:t>
                  </w:r>
                  <w:r>
                    <w:rPr>
                      <w:color w:val="auto"/>
                      <w:sz w:val="18"/>
                      <w:szCs w:val="18"/>
                    </w:rPr>
                    <w:t>面积</w:t>
                  </w:r>
                  <w:r>
                    <w:rPr>
                      <w:rFonts w:hint="eastAsia" w:eastAsia="宋体" w:cs="Times New Roman"/>
                      <w:color w:val="auto"/>
                      <w:sz w:val="18"/>
                      <w:szCs w:val="18"/>
                      <w:lang w:val="en-US" w:eastAsia="zh-CN"/>
                    </w:rPr>
                    <w:t>334</w:t>
                  </w:r>
                  <w:r>
                    <w:rPr>
                      <w:rFonts w:hint="eastAsia" w:ascii="Times New Roman" w:hAnsi="Times New Roman" w:eastAsia="宋体" w:cs="Times New Roman"/>
                      <w:color w:val="auto"/>
                      <w:sz w:val="18"/>
                      <w:szCs w:val="18"/>
                    </w:rPr>
                    <w:t>m</w:t>
                  </w:r>
                  <w:r>
                    <w:rPr>
                      <w:rFonts w:hint="eastAsia" w:ascii="Times New Roman" w:hAnsi="Times New Roman" w:eastAsia="宋体" w:cs="Times New Roman"/>
                      <w:color w:val="auto"/>
                      <w:sz w:val="18"/>
                      <w:szCs w:val="18"/>
                      <w:vertAlign w:val="superscript"/>
                    </w:rPr>
                    <w:t>2</w:t>
                  </w:r>
                </w:p>
              </w:tc>
              <w:tc>
                <w:tcPr>
                  <w:tcW w:w="897" w:type="pct"/>
                  <w:tcBorders>
                    <w:tl2br w:val="nil"/>
                    <w:tr2bl w:val="nil"/>
                  </w:tcBorders>
                  <w:noWrap w:val="0"/>
                  <w:vAlign w:val="center"/>
                </w:tcPr>
                <w:p>
                  <w:pPr>
                    <w:jc w:val="center"/>
                    <w:rPr>
                      <w:rFonts w:hint="eastAsia"/>
                      <w:color w:val="auto"/>
                      <w:sz w:val="18"/>
                      <w:szCs w:val="18"/>
                    </w:rPr>
                  </w:pPr>
                  <w:r>
                    <w:rPr>
                      <w:rFonts w:hint="eastAsia"/>
                      <w:color w:val="auto"/>
                      <w:sz w:val="18"/>
                      <w:szCs w:val="18"/>
                    </w:rPr>
                    <w:t>占地</w:t>
                  </w:r>
                  <w:r>
                    <w:rPr>
                      <w:color w:val="auto"/>
                      <w:sz w:val="18"/>
                      <w:szCs w:val="18"/>
                    </w:rPr>
                    <w:t>面积</w:t>
                  </w:r>
                  <w:r>
                    <w:rPr>
                      <w:rFonts w:hint="eastAsia" w:eastAsia="宋体" w:cs="Times New Roman"/>
                      <w:color w:val="auto"/>
                      <w:sz w:val="18"/>
                      <w:szCs w:val="18"/>
                      <w:lang w:val="en-US" w:eastAsia="zh-CN"/>
                    </w:rPr>
                    <w:t>334</w:t>
                  </w:r>
                  <w:r>
                    <w:rPr>
                      <w:rFonts w:hint="eastAsia" w:ascii="Times New Roman" w:hAnsi="Times New Roman" w:eastAsia="宋体" w:cs="Times New Roman"/>
                      <w:color w:val="auto"/>
                      <w:sz w:val="18"/>
                      <w:szCs w:val="18"/>
                    </w:rPr>
                    <w:t>m</w:t>
                  </w:r>
                  <w:r>
                    <w:rPr>
                      <w:rFonts w:hint="eastAsia" w:ascii="Times New Roman" w:hAnsi="Times New Roman" w:eastAsia="宋体" w:cs="Times New Roman"/>
                      <w:color w:val="auto"/>
                      <w:sz w:val="18"/>
                      <w:szCs w:val="18"/>
                      <w:vertAlign w:val="superscript"/>
                    </w:rPr>
                    <w:t>2</w:t>
                  </w:r>
                </w:p>
              </w:tc>
              <w:tc>
                <w:tcPr>
                  <w:tcW w:w="750" w:type="pct"/>
                  <w:tcBorders>
                    <w:tl2br w:val="nil"/>
                    <w:tr2bl w:val="nil"/>
                  </w:tcBorders>
                  <w:noWrap w:val="0"/>
                  <w:vAlign w:val="center"/>
                </w:tcPr>
                <w:p>
                  <w:pPr>
                    <w:jc w:val="center"/>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不变</w:t>
                  </w:r>
                </w:p>
              </w:tc>
              <w:tc>
                <w:tcPr>
                  <w:tcW w:w="955" w:type="pct"/>
                  <w:tcBorders>
                    <w:tl2br w:val="nil"/>
                    <w:tr2bl w:val="nil"/>
                  </w:tcBorders>
                  <w:noWrap w:val="0"/>
                  <w:vAlign w:val="center"/>
                </w:tcPr>
                <w:p>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463"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kern w:val="0"/>
                      <w:sz w:val="18"/>
                      <w:szCs w:val="18"/>
                      <w:vertAlign w:val="baseline"/>
                      <w:lang w:val="en-US" w:eastAsia="zh-CN" w:bidi="ar"/>
                    </w:rPr>
                  </w:pPr>
                </w:p>
              </w:tc>
              <w:tc>
                <w:tcPr>
                  <w:tcW w:w="912" w:type="pct"/>
                  <w:gridSpan w:val="2"/>
                  <w:tcBorders>
                    <w:tl2br w:val="nil"/>
                    <w:tr2bl w:val="nil"/>
                  </w:tcBorders>
                  <w:noWrap w:val="0"/>
                  <w:vAlign w:val="center"/>
                </w:tcPr>
                <w:p>
                  <w:pPr>
                    <w:jc w:val="center"/>
                    <w:rPr>
                      <w:rFonts w:hint="eastAsia" w:eastAsia="宋体" w:cs="Times New Roman"/>
                      <w:color w:val="auto"/>
                      <w:sz w:val="18"/>
                      <w:szCs w:val="18"/>
                      <w:lang w:eastAsia="zh-CN"/>
                    </w:rPr>
                  </w:pPr>
                  <w:r>
                    <w:rPr>
                      <w:rFonts w:hint="eastAsia" w:eastAsia="宋体" w:cs="Times New Roman"/>
                      <w:color w:val="auto"/>
                      <w:sz w:val="18"/>
                      <w:szCs w:val="18"/>
                      <w:lang w:eastAsia="zh-CN"/>
                    </w:rPr>
                    <w:t>办公楼</w:t>
                  </w:r>
                </w:p>
              </w:tc>
              <w:tc>
                <w:tcPr>
                  <w:tcW w:w="1021" w:type="pct"/>
                  <w:tcBorders>
                    <w:tl2br w:val="nil"/>
                    <w:tr2bl w:val="nil"/>
                  </w:tcBorders>
                  <w:noWrap w:val="0"/>
                  <w:vAlign w:val="center"/>
                </w:tcPr>
                <w:p>
                  <w:pPr>
                    <w:jc w:val="center"/>
                    <w:rPr>
                      <w:rFonts w:hint="eastAsia"/>
                      <w:color w:val="auto"/>
                      <w:sz w:val="18"/>
                      <w:szCs w:val="18"/>
                    </w:rPr>
                  </w:pPr>
                  <w:r>
                    <w:rPr>
                      <w:rFonts w:hint="eastAsia"/>
                      <w:color w:val="auto"/>
                      <w:sz w:val="18"/>
                      <w:szCs w:val="18"/>
                    </w:rPr>
                    <w:t>占地</w:t>
                  </w:r>
                  <w:r>
                    <w:rPr>
                      <w:color w:val="auto"/>
                      <w:sz w:val="18"/>
                      <w:szCs w:val="18"/>
                    </w:rPr>
                    <w:t>面积</w:t>
                  </w:r>
                  <w:r>
                    <w:rPr>
                      <w:rFonts w:hint="eastAsia" w:eastAsia="宋体" w:cs="Times New Roman"/>
                      <w:color w:val="auto"/>
                      <w:sz w:val="18"/>
                      <w:szCs w:val="18"/>
                      <w:lang w:val="en-US" w:eastAsia="zh-CN"/>
                    </w:rPr>
                    <w:t>663</w:t>
                  </w:r>
                  <w:r>
                    <w:rPr>
                      <w:rFonts w:hint="eastAsia" w:ascii="Times New Roman" w:hAnsi="Times New Roman" w:eastAsia="宋体" w:cs="Times New Roman"/>
                      <w:color w:val="auto"/>
                      <w:sz w:val="18"/>
                      <w:szCs w:val="18"/>
                    </w:rPr>
                    <w:t>m</w:t>
                  </w:r>
                  <w:r>
                    <w:rPr>
                      <w:rFonts w:hint="eastAsia" w:ascii="Times New Roman" w:hAnsi="Times New Roman" w:eastAsia="宋体" w:cs="Times New Roman"/>
                      <w:color w:val="auto"/>
                      <w:sz w:val="18"/>
                      <w:szCs w:val="18"/>
                      <w:vertAlign w:val="superscript"/>
                    </w:rPr>
                    <w:t>2</w:t>
                  </w:r>
                </w:p>
              </w:tc>
              <w:tc>
                <w:tcPr>
                  <w:tcW w:w="897" w:type="pct"/>
                  <w:tcBorders>
                    <w:tl2br w:val="nil"/>
                    <w:tr2bl w:val="nil"/>
                  </w:tcBorders>
                  <w:noWrap w:val="0"/>
                  <w:vAlign w:val="center"/>
                </w:tcPr>
                <w:p>
                  <w:pPr>
                    <w:jc w:val="center"/>
                    <w:rPr>
                      <w:rFonts w:hint="eastAsia"/>
                      <w:color w:val="auto"/>
                      <w:sz w:val="18"/>
                      <w:szCs w:val="18"/>
                    </w:rPr>
                  </w:pPr>
                  <w:r>
                    <w:rPr>
                      <w:rFonts w:hint="eastAsia"/>
                      <w:color w:val="auto"/>
                      <w:sz w:val="18"/>
                      <w:szCs w:val="18"/>
                    </w:rPr>
                    <w:t>占地</w:t>
                  </w:r>
                  <w:r>
                    <w:rPr>
                      <w:color w:val="auto"/>
                      <w:sz w:val="18"/>
                      <w:szCs w:val="18"/>
                    </w:rPr>
                    <w:t>面积</w:t>
                  </w:r>
                  <w:r>
                    <w:rPr>
                      <w:rFonts w:hint="eastAsia" w:eastAsia="宋体" w:cs="Times New Roman"/>
                      <w:color w:val="auto"/>
                      <w:sz w:val="18"/>
                      <w:szCs w:val="18"/>
                      <w:lang w:val="en-US" w:eastAsia="zh-CN"/>
                    </w:rPr>
                    <w:t>663</w:t>
                  </w:r>
                  <w:r>
                    <w:rPr>
                      <w:rFonts w:hint="eastAsia" w:ascii="Times New Roman" w:hAnsi="Times New Roman" w:eastAsia="宋体" w:cs="Times New Roman"/>
                      <w:color w:val="auto"/>
                      <w:sz w:val="18"/>
                      <w:szCs w:val="18"/>
                    </w:rPr>
                    <w:t>m</w:t>
                  </w:r>
                  <w:r>
                    <w:rPr>
                      <w:rFonts w:hint="eastAsia" w:ascii="Times New Roman" w:hAnsi="Times New Roman" w:eastAsia="宋体" w:cs="Times New Roman"/>
                      <w:color w:val="auto"/>
                      <w:sz w:val="18"/>
                      <w:szCs w:val="18"/>
                      <w:vertAlign w:val="superscript"/>
                    </w:rPr>
                    <w:t>2</w:t>
                  </w:r>
                </w:p>
              </w:tc>
              <w:tc>
                <w:tcPr>
                  <w:tcW w:w="750" w:type="pct"/>
                  <w:tcBorders>
                    <w:tl2br w:val="nil"/>
                    <w:tr2bl w:val="nil"/>
                  </w:tcBorders>
                  <w:noWrap w:val="0"/>
                  <w:vAlign w:val="center"/>
                </w:tcPr>
                <w:p>
                  <w:pPr>
                    <w:jc w:val="center"/>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不变</w:t>
                  </w:r>
                </w:p>
              </w:tc>
              <w:tc>
                <w:tcPr>
                  <w:tcW w:w="955" w:type="pct"/>
                  <w:tcBorders>
                    <w:tl2br w:val="nil"/>
                    <w:tr2bl w:val="nil"/>
                  </w:tcBorders>
                  <w:noWrap w:val="0"/>
                  <w:vAlign w:val="center"/>
                </w:tcPr>
                <w:p>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463"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kern w:val="0"/>
                      <w:sz w:val="18"/>
                      <w:szCs w:val="18"/>
                      <w:vertAlign w:val="baseline"/>
                      <w:lang w:val="en-US" w:eastAsia="zh-CN" w:bidi="ar"/>
                    </w:rPr>
                  </w:pPr>
                  <w:r>
                    <w:rPr>
                      <w:rFonts w:hint="default" w:ascii="Times New Roman" w:hAnsi="Times New Roman" w:cs="Times New Roman"/>
                      <w:color w:val="auto"/>
                      <w:sz w:val="18"/>
                      <w:szCs w:val="18"/>
                    </w:rPr>
                    <w:t>贮运工程</w:t>
                  </w:r>
                </w:p>
              </w:tc>
              <w:tc>
                <w:tcPr>
                  <w:tcW w:w="912" w:type="pct"/>
                  <w:gridSpan w:val="2"/>
                  <w:tcBorders>
                    <w:tl2br w:val="nil"/>
                    <w:tr2bl w:val="nil"/>
                  </w:tcBorders>
                  <w:noWrap w:val="0"/>
                  <w:vAlign w:val="center"/>
                </w:tcPr>
                <w:p>
                  <w:pPr>
                    <w:jc w:val="center"/>
                    <w:rPr>
                      <w:rFonts w:hint="eastAsia"/>
                      <w:color w:val="auto"/>
                      <w:kern w:val="2"/>
                      <w:sz w:val="18"/>
                      <w:szCs w:val="18"/>
                      <w:lang w:val="en-US" w:eastAsia="zh-CN" w:bidi="ar-SA"/>
                    </w:rPr>
                  </w:pPr>
                  <w:r>
                    <w:rPr>
                      <w:rFonts w:hint="eastAsia"/>
                      <w:color w:val="auto"/>
                      <w:sz w:val="18"/>
                      <w:szCs w:val="18"/>
                      <w:lang w:eastAsia="zh-CN"/>
                    </w:rPr>
                    <w:t>原料</w:t>
                  </w:r>
                  <w:r>
                    <w:rPr>
                      <w:rFonts w:hint="eastAsia"/>
                      <w:color w:val="auto"/>
                      <w:sz w:val="18"/>
                      <w:szCs w:val="18"/>
                    </w:rPr>
                    <w:t>仓库</w:t>
                  </w:r>
                </w:p>
              </w:tc>
              <w:tc>
                <w:tcPr>
                  <w:tcW w:w="1021" w:type="pct"/>
                  <w:tcBorders>
                    <w:tl2br w:val="nil"/>
                    <w:tr2bl w:val="nil"/>
                  </w:tcBorders>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rPr>
                    <w:t>占地</w:t>
                  </w:r>
                  <w:r>
                    <w:rPr>
                      <w:color w:val="auto"/>
                      <w:sz w:val="18"/>
                      <w:szCs w:val="18"/>
                    </w:rPr>
                    <w:t>面积</w:t>
                  </w:r>
                  <w:r>
                    <w:rPr>
                      <w:rFonts w:hint="eastAsia"/>
                      <w:color w:val="auto"/>
                      <w:sz w:val="18"/>
                      <w:szCs w:val="18"/>
                      <w:lang w:val="en-US" w:eastAsia="zh-CN"/>
                    </w:rPr>
                    <w:t>735.18</w:t>
                  </w:r>
                  <w:r>
                    <w:rPr>
                      <w:rFonts w:hint="eastAsia"/>
                      <w:color w:val="auto"/>
                      <w:sz w:val="18"/>
                      <w:szCs w:val="18"/>
                    </w:rPr>
                    <w:t>m</w:t>
                  </w:r>
                  <w:r>
                    <w:rPr>
                      <w:rFonts w:hint="eastAsia"/>
                      <w:color w:val="auto"/>
                      <w:sz w:val="18"/>
                      <w:szCs w:val="18"/>
                      <w:vertAlign w:val="superscript"/>
                    </w:rPr>
                    <w:t>2</w:t>
                  </w:r>
                </w:p>
              </w:tc>
              <w:tc>
                <w:tcPr>
                  <w:tcW w:w="897" w:type="pct"/>
                  <w:tcBorders>
                    <w:tl2br w:val="nil"/>
                    <w:tr2bl w:val="nil"/>
                  </w:tcBorders>
                  <w:noWrap w:val="0"/>
                  <w:vAlign w:val="center"/>
                </w:tcPr>
                <w:p>
                  <w:pPr>
                    <w:jc w:val="center"/>
                    <w:rPr>
                      <w:rFonts w:ascii="Times New Roman" w:hAnsi="Times New Roman" w:eastAsia="宋体" w:cs="Times New Roman"/>
                      <w:color w:val="auto"/>
                      <w:kern w:val="2"/>
                      <w:sz w:val="18"/>
                      <w:szCs w:val="18"/>
                      <w:lang w:val="en-US" w:eastAsia="zh-CN" w:bidi="ar-SA"/>
                    </w:rPr>
                  </w:pPr>
                  <w:r>
                    <w:rPr>
                      <w:rFonts w:hint="eastAsia"/>
                      <w:color w:val="auto"/>
                      <w:sz w:val="18"/>
                      <w:szCs w:val="18"/>
                    </w:rPr>
                    <w:t>占地</w:t>
                  </w:r>
                  <w:r>
                    <w:rPr>
                      <w:color w:val="auto"/>
                      <w:sz w:val="18"/>
                      <w:szCs w:val="18"/>
                    </w:rPr>
                    <w:t>面积</w:t>
                  </w:r>
                  <w:r>
                    <w:rPr>
                      <w:rFonts w:hint="eastAsia"/>
                      <w:color w:val="auto"/>
                      <w:sz w:val="18"/>
                      <w:szCs w:val="18"/>
                      <w:lang w:val="en-US" w:eastAsia="zh-CN"/>
                    </w:rPr>
                    <w:t>735.18</w:t>
                  </w:r>
                  <w:r>
                    <w:rPr>
                      <w:rFonts w:hint="eastAsia"/>
                      <w:color w:val="auto"/>
                      <w:sz w:val="18"/>
                      <w:szCs w:val="18"/>
                    </w:rPr>
                    <w:t>m</w:t>
                  </w:r>
                  <w:r>
                    <w:rPr>
                      <w:rFonts w:hint="eastAsia"/>
                      <w:color w:val="auto"/>
                      <w:sz w:val="18"/>
                      <w:szCs w:val="18"/>
                      <w:vertAlign w:val="superscript"/>
                    </w:rPr>
                    <w:t>2</w:t>
                  </w:r>
                </w:p>
              </w:tc>
              <w:tc>
                <w:tcPr>
                  <w:tcW w:w="750" w:type="pct"/>
                  <w:tcBorders>
                    <w:tl2br w:val="nil"/>
                    <w:tr2bl w:val="nil"/>
                  </w:tcBorders>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rPr>
                    <w:t>不变</w:t>
                  </w:r>
                </w:p>
              </w:tc>
              <w:tc>
                <w:tcPr>
                  <w:tcW w:w="955" w:type="pct"/>
                  <w:tcBorders>
                    <w:tl2br w:val="nil"/>
                    <w:tr2bl w:val="nil"/>
                  </w:tcBorders>
                  <w:noWrap w:val="0"/>
                  <w:vAlign w:val="center"/>
                </w:tcPr>
                <w:p>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463"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rPr>
                  </w:pPr>
                </w:p>
              </w:tc>
              <w:tc>
                <w:tcPr>
                  <w:tcW w:w="912" w:type="pct"/>
                  <w:gridSpan w:val="2"/>
                  <w:tcBorders>
                    <w:tl2br w:val="nil"/>
                    <w:tr2bl w:val="nil"/>
                  </w:tcBorders>
                  <w:noWrap w:val="0"/>
                  <w:vAlign w:val="center"/>
                </w:tcPr>
                <w:p>
                  <w:pPr>
                    <w:jc w:val="center"/>
                    <w:rPr>
                      <w:rFonts w:hint="eastAsia" w:eastAsia="宋体"/>
                      <w:color w:val="auto"/>
                      <w:sz w:val="18"/>
                      <w:szCs w:val="18"/>
                      <w:lang w:eastAsia="zh-CN"/>
                    </w:rPr>
                  </w:pPr>
                  <w:r>
                    <w:rPr>
                      <w:rFonts w:hint="eastAsia"/>
                      <w:color w:val="auto"/>
                      <w:sz w:val="18"/>
                      <w:szCs w:val="18"/>
                      <w:lang w:eastAsia="zh-CN"/>
                    </w:rPr>
                    <w:t>成品仓库</w:t>
                  </w:r>
                </w:p>
              </w:tc>
              <w:tc>
                <w:tcPr>
                  <w:tcW w:w="1021" w:type="pct"/>
                  <w:tcBorders>
                    <w:tl2br w:val="nil"/>
                    <w:tr2bl w:val="nil"/>
                  </w:tcBorders>
                  <w:noWrap w:val="0"/>
                  <w:vAlign w:val="center"/>
                </w:tcPr>
                <w:p>
                  <w:pPr>
                    <w:jc w:val="center"/>
                    <w:rPr>
                      <w:rFonts w:hint="eastAsia"/>
                      <w:color w:val="auto"/>
                      <w:sz w:val="18"/>
                      <w:szCs w:val="18"/>
                    </w:rPr>
                  </w:pPr>
                  <w:r>
                    <w:rPr>
                      <w:rFonts w:hint="eastAsia"/>
                      <w:color w:val="auto"/>
                      <w:sz w:val="18"/>
                      <w:szCs w:val="18"/>
                    </w:rPr>
                    <w:t>占地</w:t>
                  </w:r>
                  <w:r>
                    <w:rPr>
                      <w:color w:val="auto"/>
                      <w:sz w:val="18"/>
                      <w:szCs w:val="18"/>
                    </w:rPr>
                    <w:t>面积</w:t>
                  </w:r>
                  <w:r>
                    <w:rPr>
                      <w:rFonts w:hint="eastAsia"/>
                      <w:color w:val="auto"/>
                      <w:sz w:val="18"/>
                      <w:szCs w:val="18"/>
                      <w:lang w:val="en-US" w:eastAsia="zh-CN"/>
                    </w:rPr>
                    <w:t>735.18</w:t>
                  </w:r>
                  <w:r>
                    <w:rPr>
                      <w:rFonts w:hint="eastAsia"/>
                      <w:color w:val="auto"/>
                      <w:sz w:val="18"/>
                      <w:szCs w:val="18"/>
                    </w:rPr>
                    <w:t>m</w:t>
                  </w:r>
                  <w:r>
                    <w:rPr>
                      <w:rFonts w:hint="eastAsia"/>
                      <w:color w:val="auto"/>
                      <w:sz w:val="18"/>
                      <w:szCs w:val="18"/>
                      <w:vertAlign w:val="superscript"/>
                    </w:rPr>
                    <w:t>2</w:t>
                  </w:r>
                </w:p>
              </w:tc>
              <w:tc>
                <w:tcPr>
                  <w:tcW w:w="897" w:type="pct"/>
                  <w:tcBorders>
                    <w:tl2br w:val="nil"/>
                    <w:tr2bl w:val="nil"/>
                  </w:tcBorders>
                  <w:noWrap w:val="0"/>
                  <w:vAlign w:val="center"/>
                </w:tcPr>
                <w:p>
                  <w:pPr>
                    <w:jc w:val="center"/>
                    <w:rPr>
                      <w:rFonts w:hint="eastAsia"/>
                      <w:color w:val="auto"/>
                      <w:sz w:val="18"/>
                      <w:szCs w:val="18"/>
                    </w:rPr>
                  </w:pPr>
                  <w:r>
                    <w:rPr>
                      <w:rFonts w:hint="eastAsia"/>
                      <w:color w:val="auto"/>
                      <w:sz w:val="18"/>
                      <w:szCs w:val="18"/>
                    </w:rPr>
                    <w:t>占地</w:t>
                  </w:r>
                  <w:r>
                    <w:rPr>
                      <w:color w:val="auto"/>
                      <w:sz w:val="18"/>
                      <w:szCs w:val="18"/>
                    </w:rPr>
                    <w:t>面积</w:t>
                  </w:r>
                  <w:r>
                    <w:rPr>
                      <w:rFonts w:hint="eastAsia"/>
                      <w:color w:val="auto"/>
                      <w:sz w:val="18"/>
                      <w:szCs w:val="18"/>
                      <w:lang w:val="en-US" w:eastAsia="zh-CN"/>
                    </w:rPr>
                    <w:t>735.18</w:t>
                  </w:r>
                  <w:r>
                    <w:rPr>
                      <w:rFonts w:hint="eastAsia"/>
                      <w:color w:val="auto"/>
                      <w:sz w:val="18"/>
                      <w:szCs w:val="18"/>
                    </w:rPr>
                    <w:t>m</w:t>
                  </w:r>
                  <w:r>
                    <w:rPr>
                      <w:rFonts w:hint="eastAsia"/>
                      <w:color w:val="auto"/>
                      <w:sz w:val="18"/>
                      <w:szCs w:val="18"/>
                      <w:vertAlign w:val="superscript"/>
                    </w:rPr>
                    <w:t>2</w:t>
                  </w:r>
                </w:p>
              </w:tc>
              <w:tc>
                <w:tcPr>
                  <w:tcW w:w="750" w:type="pct"/>
                  <w:tcBorders>
                    <w:tl2br w:val="nil"/>
                    <w:tr2bl w:val="nil"/>
                  </w:tcBorders>
                  <w:noWrap w:val="0"/>
                  <w:vAlign w:val="center"/>
                </w:tcPr>
                <w:p>
                  <w:pPr>
                    <w:jc w:val="center"/>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不变</w:t>
                  </w:r>
                </w:p>
              </w:tc>
              <w:tc>
                <w:tcPr>
                  <w:tcW w:w="955" w:type="pct"/>
                  <w:tcBorders>
                    <w:tl2br w:val="nil"/>
                    <w:tr2bl w:val="nil"/>
                  </w:tcBorders>
                  <w:noWrap w:val="0"/>
                  <w:vAlign w:val="center"/>
                </w:tcPr>
                <w:p>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463"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公用工程</w:t>
                  </w:r>
                </w:p>
              </w:tc>
              <w:tc>
                <w:tcPr>
                  <w:tcW w:w="912"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给水</w:t>
                  </w:r>
                </w:p>
              </w:tc>
              <w:tc>
                <w:tcPr>
                  <w:tcW w:w="1021" w:type="pct"/>
                  <w:tcBorders>
                    <w:tl2br w:val="nil"/>
                    <w:tr2bl w:val="nil"/>
                  </w:tcBorders>
                  <w:noWrap w:val="0"/>
                  <w:vAlign w:val="center"/>
                </w:tcPr>
                <w:p>
                  <w:pPr>
                    <w:jc w:val="center"/>
                    <w:rPr>
                      <w:rFonts w:hint="default" w:ascii="Times New Roman" w:hAnsi="Times New Roman" w:cs="Times New Roman"/>
                      <w:b w:val="0"/>
                      <w:bCs w:val="0"/>
                      <w:color w:val="auto"/>
                      <w:kern w:val="0"/>
                      <w:sz w:val="18"/>
                      <w:szCs w:val="18"/>
                      <w:highlight w:val="none"/>
                      <w:vertAlign w:val="baseline"/>
                      <w:lang w:val="en-US" w:eastAsia="zh-CN" w:bidi="ar"/>
                    </w:rPr>
                  </w:pPr>
                  <w:r>
                    <w:rPr>
                      <w:rFonts w:hint="eastAsia" w:cs="Times New Roman"/>
                      <w:color w:val="auto"/>
                      <w:sz w:val="18"/>
                      <w:szCs w:val="18"/>
                      <w:lang w:val="en-US" w:eastAsia="zh-CN"/>
                    </w:rPr>
                    <w:t>18172</w:t>
                  </w:r>
                  <w:r>
                    <w:rPr>
                      <w:rFonts w:ascii="Times New Roman" w:hAnsi="Times New Roman" w:eastAsia="宋体" w:cs="Times New Roman"/>
                      <w:color w:val="auto"/>
                      <w:sz w:val="18"/>
                      <w:szCs w:val="18"/>
                    </w:rPr>
                    <w:t>t/a</w:t>
                  </w:r>
                </w:p>
              </w:tc>
              <w:tc>
                <w:tcPr>
                  <w:tcW w:w="897" w:type="pct"/>
                  <w:tcBorders>
                    <w:tl2br w:val="nil"/>
                    <w:tr2bl w:val="nil"/>
                  </w:tcBorders>
                  <w:noWrap w:val="0"/>
                  <w:vAlign w:val="center"/>
                </w:tcPr>
                <w:p>
                  <w:pPr>
                    <w:jc w:val="center"/>
                    <w:rPr>
                      <w:rFonts w:hint="default" w:ascii="Times New Roman" w:hAnsi="Times New Roman" w:cs="Times New Roman"/>
                      <w:b w:val="0"/>
                      <w:bCs w:val="0"/>
                      <w:color w:val="auto"/>
                      <w:kern w:val="0"/>
                      <w:sz w:val="18"/>
                      <w:szCs w:val="18"/>
                      <w:highlight w:val="none"/>
                      <w:vertAlign w:val="baseline"/>
                      <w:lang w:val="en-US" w:eastAsia="zh-CN" w:bidi="ar"/>
                    </w:rPr>
                  </w:pPr>
                  <w:r>
                    <w:rPr>
                      <w:rFonts w:hint="eastAsia" w:cs="Times New Roman"/>
                      <w:color w:val="auto"/>
                      <w:sz w:val="18"/>
                      <w:szCs w:val="18"/>
                      <w:lang w:val="en-US" w:eastAsia="zh-CN"/>
                    </w:rPr>
                    <w:t>56694.74</w:t>
                  </w:r>
                  <w:r>
                    <w:rPr>
                      <w:rFonts w:ascii="Times New Roman" w:hAnsi="Times New Roman" w:eastAsia="宋体" w:cs="Times New Roman"/>
                      <w:color w:val="auto"/>
                      <w:sz w:val="18"/>
                      <w:szCs w:val="18"/>
                    </w:rPr>
                    <w:t>t/a</w:t>
                  </w:r>
                </w:p>
              </w:tc>
              <w:tc>
                <w:tcPr>
                  <w:tcW w:w="750" w:type="pct"/>
                  <w:tcBorders>
                    <w:tl2br w:val="nil"/>
                    <w:tr2bl w:val="nil"/>
                  </w:tcBorders>
                  <w:noWrap w:val="0"/>
                  <w:vAlign w:val="center"/>
                </w:tcPr>
                <w:p>
                  <w:pPr>
                    <w:jc w:val="center"/>
                    <w:rPr>
                      <w:rFonts w:hint="default" w:ascii="Times New Roman" w:hAnsi="Times New Roman" w:cs="Times New Roman"/>
                      <w:b w:val="0"/>
                      <w:bCs w:val="0"/>
                      <w:color w:val="auto"/>
                      <w:kern w:val="0"/>
                      <w:sz w:val="18"/>
                      <w:szCs w:val="18"/>
                      <w:highlight w:val="none"/>
                      <w:vertAlign w:val="baseline"/>
                      <w:lang w:val="en-US" w:eastAsia="zh-CN" w:bidi="ar"/>
                    </w:rPr>
                  </w:pPr>
                  <w:r>
                    <w:rPr>
                      <w:rFonts w:hint="eastAsia" w:ascii="Times New Roman" w:hAnsi="Times New Roman" w:eastAsia="宋体" w:cs="Times New Roman"/>
                      <w:color w:val="auto"/>
                      <w:sz w:val="18"/>
                      <w:szCs w:val="18"/>
                    </w:rPr>
                    <w:t>+</w:t>
                  </w:r>
                  <w:r>
                    <w:rPr>
                      <w:rFonts w:hint="eastAsia" w:cs="Times New Roman"/>
                      <w:color w:val="auto"/>
                      <w:sz w:val="18"/>
                      <w:szCs w:val="18"/>
                      <w:lang w:val="en-US" w:eastAsia="zh-CN"/>
                    </w:rPr>
                    <w:t>38522.74</w:t>
                  </w:r>
                  <w:r>
                    <w:rPr>
                      <w:rFonts w:ascii="Times New Roman" w:hAnsi="Times New Roman" w:eastAsia="宋体" w:cs="Times New Roman"/>
                      <w:color w:val="auto"/>
                      <w:sz w:val="18"/>
                      <w:szCs w:val="18"/>
                    </w:rPr>
                    <w:t>t/a</w:t>
                  </w:r>
                </w:p>
              </w:tc>
              <w:tc>
                <w:tcPr>
                  <w:tcW w:w="95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kern w:val="0"/>
                      <w:sz w:val="18"/>
                      <w:szCs w:val="18"/>
                      <w:vertAlign w:val="baseline"/>
                      <w:lang w:val="en-US" w:eastAsia="zh-CN" w:bidi="ar"/>
                    </w:rPr>
                  </w:pPr>
                  <w:r>
                    <w:rPr>
                      <w:rFonts w:hint="default" w:ascii="Times New Roman" w:hAnsi="Times New Roman" w:cs="Times New Roman"/>
                      <w:b w:val="0"/>
                      <w:bCs w:val="0"/>
                      <w:color w:val="auto"/>
                      <w:kern w:val="0"/>
                      <w:sz w:val="18"/>
                      <w:szCs w:val="18"/>
                      <w:vertAlign w:val="baseline"/>
                      <w:lang w:val="en-US" w:eastAsia="zh-CN" w:bidi="ar"/>
                    </w:rPr>
                    <w:t>市政管网供水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5" w:hRule="atLeast"/>
              </w:trPr>
              <w:tc>
                <w:tcPr>
                  <w:tcW w:w="463"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rPr>
                  </w:pPr>
                </w:p>
              </w:tc>
              <w:tc>
                <w:tcPr>
                  <w:tcW w:w="912"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w:t>
                  </w:r>
                  <w:r>
                    <w:rPr>
                      <w:rFonts w:hint="default" w:ascii="Times New Roman" w:hAnsi="Times New Roman" w:cs="Times New Roman"/>
                      <w:color w:val="auto"/>
                      <w:sz w:val="18"/>
                      <w:szCs w:val="18"/>
                      <w:lang w:eastAsia="zh-CN"/>
                    </w:rPr>
                    <w:t>水</w:t>
                  </w:r>
                </w:p>
              </w:tc>
              <w:tc>
                <w:tcPr>
                  <w:tcW w:w="1021" w:type="pct"/>
                  <w:tcBorders>
                    <w:tl2br w:val="nil"/>
                    <w:tr2bl w:val="nil"/>
                  </w:tcBorders>
                  <w:noWrap w:val="0"/>
                  <w:vAlign w:val="center"/>
                </w:tcPr>
                <w:p>
                  <w:pPr>
                    <w:jc w:val="center"/>
                    <w:rPr>
                      <w:rFonts w:hint="default" w:ascii="Times New Roman" w:hAnsi="Times New Roman" w:cs="Times New Roman"/>
                      <w:b w:val="0"/>
                      <w:bCs w:val="0"/>
                      <w:color w:val="auto"/>
                      <w:kern w:val="0"/>
                      <w:sz w:val="18"/>
                      <w:szCs w:val="18"/>
                      <w:highlight w:val="none"/>
                      <w:vertAlign w:val="baseline"/>
                      <w:lang w:val="en-US" w:eastAsia="zh-CN" w:bidi="ar"/>
                    </w:rPr>
                  </w:pPr>
                  <w:r>
                    <w:rPr>
                      <w:rFonts w:hint="eastAsia" w:cs="Times New Roman"/>
                      <w:color w:val="auto"/>
                      <w:sz w:val="18"/>
                      <w:szCs w:val="18"/>
                      <w:lang w:val="en-US" w:eastAsia="zh-CN"/>
                    </w:rPr>
                    <w:t>3684</w:t>
                  </w:r>
                  <w:r>
                    <w:rPr>
                      <w:rFonts w:ascii="Times New Roman" w:hAnsi="Times New Roman" w:eastAsia="宋体" w:cs="Times New Roman"/>
                      <w:color w:val="auto"/>
                      <w:sz w:val="18"/>
                      <w:szCs w:val="18"/>
                    </w:rPr>
                    <w:t>t/a</w:t>
                  </w:r>
                </w:p>
              </w:tc>
              <w:tc>
                <w:tcPr>
                  <w:tcW w:w="897" w:type="pct"/>
                  <w:tcBorders>
                    <w:tl2br w:val="nil"/>
                    <w:tr2bl w:val="nil"/>
                  </w:tcBorders>
                  <w:noWrap w:val="0"/>
                  <w:vAlign w:val="center"/>
                </w:tcPr>
                <w:p>
                  <w:pPr>
                    <w:jc w:val="center"/>
                    <w:rPr>
                      <w:rFonts w:hint="default" w:ascii="Times New Roman" w:hAnsi="Times New Roman" w:cs="Times New Roman"/>
                      <w:b w:val="0"/>
                      <w:bCs w:val="0"/>
                      <w:color w:val="auto"/>
                      <w:kern w:val="0"/>
                      <w:sz w:val="18"/>
                      <w:szCs w:val="18"/>
                      <w:highlight w:val="none"/>
                      <w:vertAlign w:val="baseline"/>
                      <w:lang w:val="en-US" w:eastAsia="zh-CN" w:bidi="ar"/>
                    </w:rPr>
                  </w:pPr>
                  <w:r>
                    <w:rPr>
                      <w:rFonts w:hint="eastAsia" w:cs="Times New Roman"/>
                      <w:color w:val="auto"/>
                      <w:sz w:val="18"/>
                      <w:szCs w:val="18"/>
                      <w:lang w:val="en-US" w:eastAsia="zh-CN"/>
                    </w:rPr>
                    <w:t>6900</w:t>
                  </w:r>
                  <w:r>
                    <w:rPr>
                      <w:rFonts w:ascii="Times New Roman" w:hAnsi="Times New Roman" w:eastAsia="宋体" w:cs="Times New Roman"/>
                      <w:color w:val="auto"/>
                      <w:sz w:val="18"/>
                      <w:szCs w:val="18"/>
                    </w:rPr>
                    <w:t>t/a</w:t>
                  </w:r>
                </w:p>
              </w:tc>
              <w:tc>
                <w:tcPr>
                  <w:tcW w:w="750" w:type="pct"/>
                  <w:tcBorders>
                    <w:tl2br w:val="nil"/>
                    <w:tr2bl w:val="nil"/>
                  </w:tcBorders>
                  <w:noWrap w:val="0"/>
                  <w:vAlign w:val="center"/>
                </w:tcPr>
                <w:p>
                  <w:pPr>
                    <w:jc w:val="center"/>
                    <w:rPr>
                      <w:rFonts w:hint="default" w:ascii="Times New Roman" w:hAnsi="Times New Roman" w:cs="Times New Roman"/>
                      <w:b w:val="0"/>
                      <w:bCs w:val="0"/>
                      <w:color w:val="auto"/>
                      <w:kern w:val="0"/>
                      <w:sz w:val="18"/>
                      <w:szCs w:val="18"/>
                      <w:highlight w:val="none"/>
                      <w:vertAlign w:val="baseline"/>
                      <w:lang w:val="en-US" w:eastAsia="zh-CN" w:bidi="ar"/>
                    </w:rPr>
                  </w:pPr>
                  <w:r>
                    <w:rPr>
                      <w:rFonts w:hint="eastAsia" w:ascii="Times New Roman" w:hAnsi="Times New Roman" w:eastAsia="宋体" w:cs="Times New Roman"/>
                      <w:color w:val="auto"/>
                      <w:sz w:val="18"/>
                      <w:szCs w:val="18"/>
                    </w:rPr>
                    <w:t>+</w:t>
                  </w:r>
                  <w:r>
                    <w:rPr>
                      <w:rFonts w:hint="eastAsia" w:cs="Times New Roman"/>
                      <w:color w:val="auto"/>
                      <w:sz w:val="18"/>
                      <w:szCs w:val="18"/>
                      <w:lang w:val="en-US" w:eastAsia="zh-CN"/>
                    </w:rPr>
                    <w:t>3216</w:t>
                  </w:r>
                  <w:r>
                    <w:rPr>
                      <w:rFonts w:ascii="Times New Roman" w:hAnsi="Times New Roman" w:eastAsia="宋体" w:cs="Times New Roman"/>
                      <w:color w:val="auto"/>
                      <w:sz w:val="18"/>
                      <w:szCs w:val="18"/>
                    </w:rPr>
                    <w:t>t/a</w:t>
                  </w:r>
                </w:p>
              </w:tc>
              <w:tc>
                <w:tcPr>
                  <w:tcW w:w="95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kern w:val="0"/>
                      <w:sz w:val="18"/>
                      <w:szCs w:val="18"/>
                      <w:vertAlign w:val="baseline"/>
                      <w:lang w:val="en-US" w:eastAsia="zh-CN" w:bidi="ar"/>
                    </w:rPr>
                  </w:pPr>
                  <w:r>
                    <w:rPr>
                      <w:rFonts w:hint="eastAsia" w:ascii="Times New Roman" w:hAnsi="Times New Roman" w:eastAsia="宋体" w:cs="Times New Roman"/>
                      <w:color w:val="auto"/>
                      <w:sz w:val="18"/>
                      <w:szCs w:val="18"/>
                      <w:lang w:val="en-US" w:eastAsia="zh-CN"/>
                    </w:rPr>
                    <w:t>依托现有，</w:t>
                  </w:r>
                  <w:r>
                    <w:rPr>
                      <w:rFonts w:hint="eastAsia" w:cs="Times New Roman"/>
                      <w:b w:val="0"/>
                      <w:bCs w:val="0"/>
                      <w:color w:val="auto"/>
                      <w:kern w:val="0"/>
                      <w:sz w:val="18"/>
                      <w:szCs w:val="18"/>
                      <w:vertAlign w:val="baseline"/>
                      <w:lang w:val="en-US" w:eastAsia="zh-CN" w:bidi="ar"/>
                    </w:rPr>
                    <w:t>接管</w:t>
                  </w:r>
                  <w:r>
                    <w:rPr>
                      <w:rFonts w:hint="default" w:ascii="Times New Roman" w:hAnsi="Times New Roman" w:cs="Times New Roman"/>
                      <w:b w:val="0"/>
                      <w:bCs w:val="0"/>
                      <w:color w:val="auto"/>
                      <w:kern w:val="0"/>
                      <w:sz w:val="18"/>
                      <w:szCs w:val="18"/>
                      <w:vertAlign w:val="baseline"/>
                      <w:lang w:val="en-US" w:eastAsia="zh-CN" w:bidi="ar"/>
                    </w:rPr>
                    <w:t>至</w:t>
                  </w:r>
                  <w:r>
                    <w:rPr>
                      <w:rFonts w:hint="eastAsia" w:ascii="Times New Roman" w:hAnsi="Times New Roman" w:eastAsia="宋体" w:cs="Times New Roman"/>
                      <w:color w:val="auto"/>
                      <w:sz w:val="18"/>
                      <w:szCs w:val="18"/>
                      <w:lang w:val="en-US" w:eastAsia="zh-CN"/>
                    </w:rPr>
                    <w:t>如皋市富港水处理有限公司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463"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rPr>
                  </w:pPr>
                </w:p>
              </w:tc>
              <w:tc>
                <w:tcPr>
                  <w:tcW w:w="912"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供电</w:t>
                  </w:r>
                </w:p>
              </w:tc>
              <w:tc>
                <w:tcPr>
                  <w:tcW w:w="1021" w:type="pct"/>
                  <w:tcBorders>
                    <w:tl2br w:val="nil"/>
                    <w:tr2bl w:val="nil"/>
                  </w:tcBorders>
                  <w:noWrap w:val="0"/>
                  <w:vAlign w:val="center"/>
                </w:tcPr>
                <w:p>
                  <w:pPr>
                    <w:jc w:val="center"/>
                    <w:rPr>
                      <w:rFonts w:hint="default" w:ascii="Times New Roman" w:hAnsi="Times New Roman" w:cs="Times New Roman"/>
                      <w:b w:val="0"/>
                      <w:bCs w:val="0"/>
                      <w:color w:val="auto"/>
                      <w:kern w:val="0"/>
                      <w:sz w:val="18"/>
                      <w:szCs w:val="18"/>
                      <w:vertAlign w:val="baseline"/>
                      <w:lang w:val="en-US" w:eastAsia="zh-CN" w:bidi="ar"/>
                    </w:rPr>
                  </w:pPr>
                  <w:r>
                    <w:rPr>
                      <w:rFonts w:hint="eastAsia" w:eastAsia="宋体" w:cs="Times New Roman"/>
                      <w:color w:val="auto"/>
                      <w:sz w:val="18"/>
                      <w:szCs w:val="18"/>
                      <w:lang w:val="en-US" w:eastAsia="zh-CN"/>
                    </w:rPr>
                    <w:t>9405</w:t>
                  </w:r>
                  <w:r>
                    <w:rPr>
                      <w:rFonts w:hint="eastAsia" w:ascii="Times New Roman" w:hAnsi="Times New Roman" w:eastAsia="宋体" w:cs="Times New Roman"/>
                      <w:color w:val="auto"/>
                      <w:sz w:val="18"/>
                      <w:szCs w:val="18"/>
                    </w:rPr>
                    <w:t>万k</w:t>
                  </w:r>
                  <w:r>
                    <w:rPr>
                      <w:rFonts w:ascii="Times New Roman" w:hAnsi="Times New Roman" w:eastAsia="宋体" w:cs="Times New Roman"/>
                      <w:color w:val="auto"/>
                      <w:sz w:val="18"/>
                      <w:szCs w:val="18"/>
                    </w:rPr>
                    <w:t>w</w:t>
                  </w:r>
                  <w:r>
                    <w:rPr>
                      <w:rFonts w:hint="eastAsia" w:ascii="Times New Roman" w:hAnsi="Times New Roman" w:eastAsia="宋体" w:cs="Times New Roman"/>
                      <w:color w:val="auto"/>
                      <w:sz w:val="18"/>
                      <w:szCs w:val="18"/>
                    </w:rPr>
                    <w:t>h/a</w:t>
                  </w:r>
                </w:p>
              </w:tc>
              <w:tc>
                <w:tcPr>
                  <w:tcW w:w="897" w:type="pct"/>
                  <w:tcBorders>
                    <w:tl2br w:val="nil"/>
                    <w:tr2bl w:val="nil"/>
                  </w:tcBorders>
                  <w:noWrap w:val="0"/>
                  <w:vAlign w:val="center"/>
                </w:tcPr>
                <w:p>
                  <w:pPr>
                    <w:jc w:val="center"/>
                    <w:rPr>
                      <w:rFonts w:hint="default" w:ascii="Times New Roman" w:hAnsi="Times New Roman" w:cs="Times New Roman"/>
                      <w:b w:val="0"/>
                      <w:bCs w:val="0"/>
                      <w:color w:val="auto"/>
                      <w:kern w:val="0"/>
                      <w:sz w:val="18"/>
                      <w:szCs w:val="18"/>
                      <w:vertAlign w:val="baseline"/>
                      <w:lang w:val="en-US" w:eastAsia="zh-CN" w:bidi="ar"/>
                    </w:rPr>
                  </w:pPr>
                  <w:r>
                    <w:rPr>
                      <w:rFonts w:hint="eastAsia" w:ascii="Times New Roman" w:hAnsi="Times New Roman" w:eastAsia="宋体" w:cs="Times New Roman"/>
                      <w:color w:val="auto"/>
                      <w:sz w:val="18"/>
                      <w:szCs w:val="18"/>
                      <w:lang w:val="en-US" w:eastAsia="zh-CN"/>
                    </w:rPr>
                    <w:t>+4601.58万kwh/a</w:t>
                  </w:r>
                </w:p>
              </w:tc>
              <w:tc>
                <w:tcPr>
                  <w:tcW w:w="750" w:type="pct"/>
                  <w:tcBorders>
                    <w:tl2br w:val="nil"/>
                    <w:tr2bl w:val="nil"/>
                  </w:tcBorders>
                  <w:noWrap w:val="0"/>
                  <w:vAlign w:val="center"/>
                </w:tcPr>
                <w:p>
                  <w:pPr>
                    <w:jc w:val="center"/>
                    <w:rPr>
                      <w:rFonts w:hint="default" w:ascii="Times New Roman" w:hAnsi="Times New Roman" w:cs="Times New Roman"/>
                      <w:b w:val="0"/>
                      <w:bCs w:val="0"/>
                      <w:color w:val="auto"/>
                      <w:kern w:val="0"/>
                      <w:sz w:val="18"/>
                      <w:szCs w:val="18"/>
                      <w:vertAlign w:val="baseline"/>
                      <w:lang w:val="en-US" w:eastAsia="zh-CN" w:bidi="ar"/>
                    </w:rPr>
                  </w:pPr>
                  <w:r>
                    <w:rPr>
                      <w:rFonts w:hint="eastAsia" w:ascii="Times New Roman" w:hAnsi="Times New Roman" w:eastAsia="宋体" w:cs="Times New Roman"/>
                      <w:color w:val="auto"/>
                      <w:sz w:val="18"/>
                      <w:szCs w:val="18"/>
                    </w:rPr>
                    <w:t>+</w:t>
                  </w:r>
                  <w:r>
                    <w:rPr>
                      <w:rFonts w:hint="eastAsia" w:cs="Times New Roman"/>
                      <w:color w:val="auto"/>
                      <w:sz w:val="18"/>
                      <w:szCs w:val="18"/>
                      <w:lang w:val="en-US" w:eastAsia="zh-CN"/>
                    </w:rPr>
                    <w:t>14006.58</w:t>
                  </w:r>
                  <w:r>
                    <w:rPr>
                      <w:rFonts w:hint="eastAsia" w:ascii="Times New Roman" w:hAnsi="Times New Roman" w:eastAsia="宋体" w:cs="Times New Roman"/>
                      <w:color w:val="auto"/>
                      <w:sz w:val="18"/>
                      <w:szCs w:val="18"/>
                    </w:rPr>
                    <w:t>万k</w:t>
                  </w:r>
                  <w:r>
                    <w:rPr>
                      <w:rFonts w:ascii="Times New Roman" w:hAnsi="Times New Roman" w:eastAsia="宋体" w:cs="Times New Roman"/>
                      <w:color w:val="auto"/>
                      <w:sz w:val="18"/>
                      <w:szCs w:val="18"/>
                    </w:rPr>
                    <w:t>w</w:t>
                  </w:r>
                  <w:r>
                    <w:rPr>
                      <w:rFonts w:hint="eastAsia" w:ascii="Times New Roman" w:hAnsi="Times New Roman" w:eastAsia="宋体" w:cs="Times New Roman"/>
                      <w:color w:val="auto"/>
                      <w:sz w:val="18"/>
                      <w:szCs w:val="18"/>
                    </w:rPr>
                    <w:t>h/a</w:t>
                  </w:r>
                </w:p>
              </w:tc>
              <w:tc>
                <w:tcPr>
                  <w:tcW w:w="95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kern w:val="0"/>
                      <w:sz w:val="18"/>
                      <w:szCs w:val="18"/>
                      <w:vertAlign w:val="baseline"/>
                      <w:lang w:val="en-US" w:eastAsia="zh-CN" w:bidi="ar"/>
                    </w:rPr>
                  </w:pPr>
                  <w:r>
                    <w:rPr>
                      <w:rFonts w:hint="eastAsia" w:ascii="Times New Roman" w:hAnsi="Times New Roman" w:eastAsia="宋体" w:cs="Times New Roman"/>
                      <w:color w:val="auto"/>
                      <w:sz w:val="18"/>
                      <w:szCs w:val="18"/>
                      <w:lang w:val="en-US" w:eastAsia="zh-CN"/>
                    </w:rPr>
                    <w:t>依托现有，</w:t>
                  </w:r>
                  <w:r>
                    <w:rPr>
                      <w:rFonts w:hint="default" w:ascii="Times New Roman" w:hAnsi="Times New Roman" w:cs="Times New Roman"/>
                      <w:b w:val="0"/>
                      <w:bCs w:val="0"/>
                      <w:color w:val="auto"/>
                      <w:kern w:val="0"/>
                      <w:sz w:val="18"/>
                      <w:szCs w:val="18"/>
                      <w:vertAlign w:val="baseline"/>
                      <w:lang w:val="en-US" w:eastAsia="zh-CN" w:bidi="ar"/>
                    </w:rPr>
                    <w:t>市政电网供电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3" w:hRule="atLeast"/>
              </w:trPr>
              <w:tc>
                <w:tcPr>
                  <w:tcW w:w="463"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rPr>
                  </w:pPr>
                </w:p>
              </w:tc>
              <w:tc>
                <w:tcPr>
                  <w:tcW w:w="912"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供</w:t>
                  </w:r>
                  <w:r>
                    <w:rPr>
                      <w:rFonts w:hint="eastAsia" w:cs="Times New Roman"/>
                      <w:color w:val="auto"/>
                      <w:sz w:val="18"/>
                      <w:szCs w:val="18"/>
                      <w:lang w:eastAsia="zh-CN"/>
                    </w:rPr>
                    <w:t>气</w:t>
                  </w:r>
                </w:p>
              </w:tc>
              <w:tc>
                <w:tcPr>
                  <w:tcW w:w="1021" w:type="pct"/>
                  <w:tcBorders>
                    <w:tl2br w:val="nil"/>
                    <w:tr2bl w:val="nil"/>
                  </w:tcBorders>
                  <w:noWrap w:val="0"/>
                  <w:vAlign w:val="center"/>
                </w:tcPr>
                <w:p>
                  <w:pPr>
                    <w:jc w:val="center"/>
                    <w:rPr>
                      <w:rFonts w:hint="default" w:eastAsia="宋体" w:cs="Times New Roman"/>
                      <w:color w:val="auto"/>
                      <w:sz w:val="18"/>
                      <w:szCs w:val="18"/>
                      <w:lang w:val="en-US" w:eastAsia="zh-CN"/>
                    </w:rPr>
                  </w:pPr>
                  <w:r>
                    <w:rPr>
                      <w:rFonts w:hint="eastAsia" w:cs="Times New Roman"/>
                      <w:color w:val="auto"/>
                      <w:sz w:val="18"/>
                      <w:szCs w:val="18"/>
                      <w:lang w:val="en-US" w:eastAsia="zh-CN"/>
                    </w:rPr>
                    <w:t>3960</w:t>
                  </w:r>
                  <w:r>
                    <w:rPr>
                      <w:rFonts w:hint="eastAsia" w:ascii="Times New Roman" w:hAnsi="Times New Roman" w:eastAsia="宋体" w:cs="Times New Roman"/>
                      <w:color w:val="auto"/>
                      <w:sz w:val="18"/>
                      <w:szCs w:val="18"/>
                    </w:rPr>
                    <w:t>万</w:t>
                  </w:r>
                  <w:r>
                    <w:rPr>
                      <w:rFonts w:hint="eastAsia" w:ascii="Times New Roman" w:hAnsi="Times New Roman" w:eastAsia="宋体" w:cs="Times New Roman"/>
                      <w:color w:val="auto"/>
                      <w:sz w:val="18"/>
                      <w:szCs w:val="18"/>
                      <w:highlight w:val="none"/>
                      <w:lang w:val="en-US" w:eastAsia="zh-CN"/>
                    </w:rPr>
                    <w:t>m</w:t>
                  </w:r>
                  <w:r>
                    <w:rPr>
                      <w:rFonts w:hint="eastAsia" w:ascii="Times New Roman" w:hAnsi="Times New Roman" w:eastAsia="宋体" w:cs="Times New Roman"/>
                      <w:color w:val="auto"/>
                      <w:sz w:val="18"/>
                      <w:szCs w:val="18"/>
                      <w:highlight w:val="none"/>
                      <w:vertAlign w:val="superscript"/>
                      <w:lang w:val="en-US" w:eastAsia="zh-CN"/>
                    </w:rPr>
                    <w:t>3</w:t>
                  </w:r>
                  <w:r>
                    <w:rPr>
                      <w:rFonts w:hint="eastAsia" w:ascii="Times New Roman" w:hAnsi="Times New Roman" w:eastAsia="宋体" w:cs="Times New Roman"/>
                      <w:color w:val="auto"/>
                      <w:sz w:val="18"/>
                      <w:szCs w:val="18"/>
                      <w:highlight w:val="none"/>
                      <w:lang w:val="en-US" w:eastAsia="zh-CN"/>
                    </w:rPr>
                    <w:t>/</w:t>
                  </w:r>
                  <w:r>
                    <w:rPr>
                      <w:rFonts w:hint="eastAsia" w:eastAsia="宋体" w:cs="Times New Roman"/>
                      <w:color w:val="auto"/>
                      <w:sz w:val="18"/>
                      <w:szCs w:val="18"/>
                      <w:highlight w:val="none"/>
                      <w:lang w:val="en-US" w:eastAsia="zh-CN"/>
                    </w:rPr>
                    <w:t>a</w:t>
                  </w:r>
                </w:p>
              </w:tc>
              <w:tc>
                <w:tcPr>
                  <w:tcW w:w="897" w:type="pct"/>
                  <w:tcBorders>
                    <w:tl2br w:val="nil"/>
                    <w:tr2bl w:val="nil"/>
                  </w:tcBorders>
                  <w:noWrap w:val="0"/>
                  <w:vAlign w:val="center"/>
                </w:tcPr>
                <w:p>
                  <w:pPr>
                    <w:jc w:val="center"/>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4110</w:t>
                  </w:r>
                  <w:r>
                    <w:rPr>
                      <w:rFonts w:hint="eastAsia" w:ascii="Times New Roman" w:hAnsi="Times New Roman" w:eastAsia="宋体" w:cs="Times New Roman"/>
                      <w:color w:val="auto"/>
                      <w:sz w:val="18"/>
                      <w:szCs w:val="18"/>
                    </w:rPr>
                    <w:t>万</w:t>
                  </w:r>
                  <w:r>
                    <w:rPr>
                      <w:rFonts w:hint="eastAsia" w:ascii="Times New Roman" w:hAnsi="Times New Roman" w:eastAsia="宋体" w:cs="Times New Roman"/>
                      <w:color w:val="auto"/>
                      <w:sz w:val="18"/>
                      <w:szCs w:val="18"/>
                      <w:highlight w:val="none"/>
                      <w:lang w:val="en-US" w:eastAsia="zh-CN"/>
                    </w:rPr>
                    <w:t>m</w:t>
                  </w:r>
                  <w:r>
                    <w:rPr>
                      <w:rFonts w:hint="eastAsia" w:ascii="Times New Roman" w:hAnsi="Times New Roman" w:eastAsia="宋体" w:cs="Times New Roman"/>
                      <w:color w:val="auto"/>
                      <w:sz w:val="18"/>
                      <w:szCs w:val="18"/>
                      <w:highlight w:val="none"/>
                      <w:vertAlign w:val="superscript"/>
                      <w:lang w:val="en-US" w:eastAsia="zh-CN"/>
                    </w:rPr>
                    <w:t>3</w:t>
                  </w:r>
                  <w:r>
                    <w:rPr>
                      <w:rFonts w:hint="eastAsia" w:ascii="Times New Roman" w:hAnsi="Times New Roman" w:eastAsia="宋体" w:cs="Times New Roman"/>
                      <w:color w:val="auto"/>
                      <w:sz w:val="18"/>
                      <w:szCs w:val="18"/>
                      <w:highlight w:val="none"/>
                      <w:lang w:val="en-US" w:eastAsia="zh-CN"/>
                    </w:rPr>
                    <w:t>/</w:t>
                  </w:r>
                  <w:r>
                    <w:rPr>
                      <w:rFonts w:hint="eastAsia" w:eastAsia="宋体" w:cs="Times New Roman"/>
                      <w:color w:val="auto"/>
                      <w:sz w:val="18"/>
                      <w:szCs w:val="18"/>
                      <w:highlight w:val="none"/>
                      <w:lang w:val="en-US" w:eastAsia="zh-CN"/>
                    </w:rPr>
                    <w:t>a</w:t>
                  </w:r>
                </w:p>
              </w:tc>
              <w:tc>
                <w:tcPr>
                  <w:tcW w:w="750" w:type="pct"/>
                  <w:tcBorders>
                    <w:tl2br w:val="nil"/>
                    <w:tr2bl w:val="nil"/>
                  </w:tcBorders>
                  <w:noWrap w:val="0"/>
                  <w:vAlign w:val="center"/>
                </w:tcPr>
                <w:p>
                  <w:pPr>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+150</w:t>
                  </w:r>
                  <w:r>
                    <w:rPr>
                      <w:rFonts w:hint="eastAsia" w:ascii="Times New Roman" w:hAnsi="Times New Roman" w:eastAsia="宋体" w:cs="Times New Roman"/>
                      <w:color w:val="auto"/>
                      <w:sz w:val="18"/>
                      <w:szCs w:val="18"/>
                    </w:rPr>
                    <w:t>万</w:t>
                  </w:r>
                  <w:r>
                    <w:rPr>
                      <w:rFonts w:hint="eastAsia" w:ascii="Times New Roman" w:hAnsi="Times New Roman" w:eastAsia="宋体" w:cs="Times New Roman"/>
                      <w:color w:val="auto"/>
                      <w:sz w:val="18"/>
                      <w:szCs w:val="18"/>
                      <w:highlight w:val="none"/>
                      <w:lang w:val="en-US" w:eastAsia="zh-CN"/>
                    </w:rPr>
                    <w:t>m</w:t>
                  </w:r>
                  <w:r>
                    <w:rPr>
                      <w:rFonts w:hint="eastAsia" w:ascii="Times New Roman" w:hAnsi="Times New Roman" w:eastAsia="宋体" w:cs="Times New Roman"/>
                      <w:color w:val="auto"/>
                      <w:sz w:val="18"/>
                      <w:szCs w:val="18"/>
                      <w:highlight w:val="none"/>
                      <w:vertAlign w:val="superscript"/>
                      <w:lang w:val="en-US" w:eastAsia="zh-CN"/>
                    </w:rPr>
                    <w:t>3</w:t>
                  </w:r>
                  <w:r>
                    <w:rPr>
                      <w:rFonts w:hint="eastAsia" w:ascii="Times New Roman" w:hAnsi="Times New Roman" w:eastAsia="宋体" w:cs="Times New Roman"/>
                      <w:color w:val="auto"/>
                      <w:sz w:val="18"/>
                      <w:szCs w:val="18"/>
                      <w:highlight w:val="none"/>
                      <w:lang w:val="en-US" w:eastAsia="zh-CN"/>
                    </w:rPr>
                    <w:t>/</w:t>
                  </w:r>
                  <w:r>
                    <w:rPr>
                      <w:rFonts w:hint="eastAsia" w:eastAsia="宋体" w:cs="Times New Roman"/>
                      <w:color w:val="auto"/>
                      <w:sz w:val="18"/>
                      <w:szCs w:val="18"/>
                      <w:highlight w:val="none"/>
                      <w:lang w:val="en-US" w:eastAsia="zh-CN"/>
                    </w:rPr>
                    <w:t>a</w:t>
                  </w:r>
                </w:p>
              </w:tc>
              <w:tc>
                <w:tcPr>
                  <w:tcW w:w="95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依托现有，市政天然气管道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16" w:hRule="atLeast"/>
              </w:trPr>
              <w:tc>
                <w:tcPr>
                  <w:tcW w:w="463"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rPr>
                  </w:pPr>
                </w:p>
              </w:tc>
              <w:tc>
                <w:tcPr>
                  <w:tcW w:w="912"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空压系统</w:t>
                  </w:r>
                </w:p>
              </w:tc>
              <w:tc>
                <w:tcPr>
                  <w:tcW w:w="1021" w:type="pct"/>
                  <w:tcBorders>
                    <w:tl2br w:val="nil"/>
                    <w:tr2bl w:val="nil"/>
                  </w:tcBorders>
                  <w:noWrap w:val="0"/>
                  <w:vAlign w:val="center"/>
                </w:tcPr>
                <w:p>
                  <w:pPr>
                    <w:jc w:val="center"/>
                    <w:rPr>
                      <w:rFonts w:hint="eastAsia" w:cs="Times New Roman"/>
                      <w:color w:val="auto"/>
                      <w:sz w:val="18"/>
                      <w:szCs w:val="18"/>
                      <w:lang w:val="en-US" w:eastAsia="zh-CN"/>
                    </w:rPr>
                  </w:pPr>
                  <w:r>
                    <w:rPr>
                      <w:rFonts w:hint="eastAsia" w:cs="Times New Roman"/>
                      <w:color w:val="auto"/>
                      <w:sz w:val="18"/>
                      <w:szCs w:val="18"/>
                      <w:lang w:val="en-US" w:eastAsia="zh-CN"/>
                    </w:rPr>
                    <w:t>2套台空压机组，供气能力</w:t>
                  </w:r>
                  <w:r>
                    <w:rPr>
                      <w:rFonts w:hint="eastAsia" w:cs="Times New Roman"/>
                      <w:color w:val="auto"/>
                      <w:sz w:val="18"/>
                      <w:szCs w:val="18"/>
                      <w:highlight w:val="none"/>
                      <w:lang w:val="en-US" w:eastAsia="zh-CN"/>
                    </w:rPr>
                    <w:t>12.6N</w:t>
                  </w:r>
                  <w:r>
                    <w:rPr>
                      <w:rFonts w:hint="eastAsia" w:ascii="Times New Roman" w:hAnsi="Times New Roman" w:eastAsia="宋体" w:cs="Times New Roman"/>
                      <w:color w:val="auto"/>
                      <w:sz w:val="18"/>
                      <w:szCs w:val="18"/>
                      <w:highlight w:val="none"/>
                      <w:lang w:val="en-US" w:eastAsia="zh-CN"/>
                    </w:rPr>
                    <w:t>m</w:t>
                  </w:r>
                  <w:r>
                    <w:rPr>
                      <w:rFonts w:hint="eastAsia" w:ascii="Times New Roman" w:hAnsi="Times New Roman" w:eastAsia="宋体" w:cs="Times New Roman"/>
                      <w:color w:val="auto"/>
                      <w:sz w:val="18"/>
                      <w:szCs w:val="18"/>
                      <w:highlight w:val="none"/>
                      <w:vertAlign w:val="superscript"/>
                      <w:lang w:val="en-US" w:eastAsia="zh-CN"/>
                    </w:rPr>
                    <w:t>3</w:t>
                  </w:r>
                  <w:r>
                    <w:rPr>
                      <w:rFonts w:hint="eastAsia" w:ascii="Times New Roman" w:hAnsi="Times New Roman" w:eastAsia="宋体" w:cs="Times New Roman"/>
                      <w:color w:val="auto"/>
                      <w:sz w:val="18"/>
                      <w:szCs w:val="18"/>
                      <w:highlight w:val="none"/>
                      <w:lang w:val="en-US" w:eastAsia="zh-CN"/>
                    </w:rPr>
                    <w:t>/min</w:t>
                  </w:r>
                </w:p>
              </w:tc>
              <w:tc>
                <w:tcPr>
                  <w:tcW w:w="897" w:type="pct"/>
                  <w:tcBorders>
                    <w:tl2br w:val="nil"/>
                    <w:tr2bl w:val="nil"/>
                  </w:tcBorders>
                  <w:noWrap w:val="0"/>
                  <w:vAlign w:val="center"/>
                </w:tcPr>
                <w:p>
                  <w:pPr>
                    <w:jc w:val="center"/>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2套台空压机组，供气能力</w:t>
                  </w:r>
                  <w:r>
                    <w:rPr>
                      <w:rFonts w:hint="eastAsia" w:cs="Times New Roman"/>
                      <w:color w:val="auto"/>
                      <w:sz w:val="18"/>
                      <w:szCs w:val="18"/>
                      <w:highlight w:val="none"/>
                      <w:lang w:val="en-US" w:eastAsia="zh-CN"/>
                    </w:rPr>
                    <w:t>12.6N</w:t>
                  </w:r>
                  <w:r>
                    <w:rPr>
                      <w:rFonts w:hint="eastAsia" w:ascii="Times New Roman" w:hAnsi="Times New Roman" w:eastAsia="宋体" w:cs="Times New Roman"/>
                      <w:color w:val="auto"/>
                      <w:sz w:val="18"/>
                      <w:szCs w:val="18"/>
                      <w:highlight w:val="none"/>
                      <w:lang w:val="en-US" w:eastAsia="zh-CN"/>
                    </w:rPr>
                    <w:t>m</w:t>
                  </w:r>
                  <w:r>
                    <w:rPr>
                      <w:rFonts w:hint="eastAsia" w:ascii="Times New Roman" w:hAnsi="Times New Roman" w:eastAsia="宋体" w:cs="Times New Roman"/>
                      <w:color w:val="auto"/>
                      <w:sz w:val="18"/>
                      <w:szCs w:val="18"/>
                      <w:highlight w:val="none"/>
                      <w:vertAlign w:val="superscript"/>
                      <w:lang w:val="en-US" w:eastAsia="zh-CN"/>
                    </w:rPr>
                    <w:t>3</w:t>
                  </w:r>
                  <w:r>
                    <w:rPr>
                      <w:rFonts w:hint="eastAsia" w:ascii="Times New Roman" w:hAnsi="Times New Roman" w:eastAsia="宋体" w:cs="Times New Roman"/>
                      <w:color w:val="auto"/>
                      <w:sz w:val="18"/>
                      <w:szCs w:val="18"/>
                      <w:highlight w:val="none"/>
                      <w:lang w:val="en-US" w:eastAsia="zh-CN"/>
                    </w:rPr>
                    <w:t>/min</w:t>
                  </w:r>
                </w:p>
              </w:tc>
              <w:tc>
                <w:tcPr>
                  <w:tcW w:w="7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18"/>
                      <w:szCs w:val="18"/>
                    </w:rPr>
                  </w:pPr>
                  <w:r>
                    <w:rPr>
                      <w:rFonts w:hint="eastAsia"/>
                      <w:color w:val="auto"/>
                      <w:sz w:val="18"/>
                      <w:szCs w:val="21"/>
                      <w:lang w:val="en-US" w:eastAsia="zh-CN"/>
                    </w:rPr>
                    <w:t>不变</w:t>
                  </w:r>
                </w:p>
              </w:tc>
              <w:tc>
                <w:tcPr>
                  <w:tcW w:w="955" w:type="pct"/>
                  <w:tcBorders>
                    <w:tl2br w:val="nil"/>
                    <w:tr2bl w:val="nil"/>
                  </w:tcBorders>
                  <w:noWrap w:val="0"/>
                  <w:vAlign w:val="center"/>
                </w:tcPr>
                <w:p>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本项目不涉及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3" w:hRule="atLeast"/>
              </w:trPr>
              <w:tc>
                <w:tcPr>
                  <w:tcW w:w="463"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rPr>
                  </w:pPr>
                </w:p>
              </w:tc>
              <w:tc>
                <w:tcPr>
                  <w:tcW w:w="912"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冷却系统</w:t>
                  </w:r>
                </w:p>
              </w:tc>
              <w:tc>
                <w:tcPr>
                  <w:tcW w:w="1021" w:type="pct"/>
                  <w:tcBorders>
                    <w:tl2br w:val="nil"/>
                    <w:tr2bl w:val="nil"/>
                  </w:tcBorders>
                  <w:noWrap w:val="0"/>
                  <w:vAlign w:val="center"/>
                </w:tcPr>
                <w:p>
                  <w:pPr>
                    <w:jc w:val="center"/>
                    <w:rPr>
                      <w:rFonts w:ascii="Times New Roman" w:hAnsi="Times New Roman" w:eastAsia="宋体" w:cs="Times New Roman"/>
                      <w:color w:val="auto"/>
                      <w:sz w:val="18"/>
                      <w:szCs w:val="18"/>
                    </w:rPr>
                  </w:pPr>
                  <w:r>
                    <w:rPr>
                      <w:rFonts w:hint="eastAsia" w:eastAsia="宋体" w:cs="Times New Roman"/>
                      <w:color w:val="auto"/>
                      <w:sz w:val="18"/>
                      <w:szCs w:val="18"/>
                      <w:lang w:val="en-US" w:eastAsia="zh-CN"/>
                    </w:rPr>
                    <w:t>3台</w:t>
                  </w:r>
                  <w:r>
                    <w:rPr>
                      <w:rFonts w:hint="eastAsia" w:ascii="Times New Roman" w:hAnsi="Times New Roman" w:eastAsia="宋体" w:cs="Times New Roman"/>
                      <w:color w:val="auto"/>
                      <w:sz w:val="18"/>
                      <w:szCs w:val="18"/>
                      <w:lang w:val="en-US" w:eastAsia="zh-CN"/>
                    </w:rPr>
                    <w:t>冷却塔</w:t>
                  </w:r>
                  <w:r>
                    <w:rPr>
                      <w:rFonts w:hint="eastAsia" w:eastAsia="宋体" w:cs="Times New Roman"/>
                      <w:color w:val="auto"/>
                      <w:sz w:val="18"/>
                      <w:szCs w:val="18"/>
                      <w:lang w:val="en-US" w:eastAsia="zh-CN"/>
                    </w:rPr>
                    <w:t>，每台</w:t>
                  </w:r>
                  <w:r>
                    <w:rPr>
                      <w:rFonts w:hint="eastAsia"/>
                      <w:color w:val="auto"/>
                      <w:spacing w:val="-6"/>
                      <w:sz w:val="18"/>
                      <w:szCs w:val="21"/>
                      <w:lang w:val="en-US" w:eastAsia="zh-CN"/>
                    </w:rPr>
                    <w:t>200m</w:t>
                  </w:r>
                  <w:r>
                    <w:rPr>
                      <w:rFonts w:hint="eastAsia"/>
                      <w:color w:val="auto"/>
                      <w:spacing w:val="-6"/>
                      <w:sz w:val="18"/>
                      <w:szCs w:val="21"/>
                      <w:vertAlign w:val="superscript"/>
                      <w:lang w:val="en-US" w:eastAsia="zh-CN"/>
                    </w:rPr>
                    <w:t>3</w:t>
                  </w:r>
                  <w:r>
                    <w:rPr>
                      <w:rFonts w:hint="eastAsia"/>
                      <w:color w:val="auto"/>
                      <w:sz w:val="18"/>
                      <w:szCs w:val="21"/>
                      <w:lang w:val="en-US" w:eastAsia="zh-CN"/>
                    </w:rPr>
                    <w:t>/h</w:t>
                  </w:r>
                </w:p>
              </w:tc>
              <w:tc>
                <w:tcPr>
                  <w:tcW w:w="897" w:type="pct"/>
                  <w:tcBorders>
                    <w:tl2br w:val="nil"/>
                    <w:tr2bl w:val="nil"/>
                  </w:tcBorders>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6</w:t>
                  </w:r>
                  <w:r>
                    <w:rPr>
                      <w:rFonts w:hint="eastAsia" w:eastAsia="宋体" w:cs="Times New Roman"/>
                      <w:color w:val="auto"/>
                      <w:sz w:val="18"/>
                      <w:szCs w:val="18"/>
                      <w:lang w:val="en-US" w:eastAsia="zh-CN"/>
                    </w:rPr>
                    <w:t>台</w:t>
                  </w:r>
                  <w:r>
                    <w:rPr>
                      <w:rFonts w:hint="eastAsia" w:ascii="Times New Roman" w:hAnsi="Times New Roman" w:eastAsia="宋体" w:cs="Times New Roman"/>
                      <w:color w:val="auto"/>
                      <w:sz w:val="18"/>
                      <w:szCs w:val="18"/>
                      <w:lang w:val="en-US" w:eastAsia="zh-CN"/>
                    </w:rPr>
                    <w:t>冷却塔</w:t>
                  </w:r>
                  <w:r>
                    <w:rPr>
                      <w:rFonts w:hint="eastAsia" w:eastAsia="宋体" w:cs="Times New Roman"/>
                      <w:color w:val="auto"/>
                      <w:sz w:val="18"/>
                      <w:szCs w:val="18"/>
                      <w:lang w:val="en-US" w:eastAsia="zh-CN"/>
                    </w:rPr>
                    <w:t>，每台</w:t>
                  </w:r>
                  <w:r>
                    <w:rPr>
                      <w:rFonts w:hint="eastAsia"/>
                      <w:color w:val="auto"/>
                      <w:spacing w:val="-6"/>
                      <w:sz w:val="18"/>
                      <w:szCs w:val="21"/>
                      <w:lang w:val="en-US" w:eastAsia="zh-CN"/>
                    </w:rPr>
                    <w:t>200m</w:t>
                  </w:r>
                  <w:r>
                    <w:rPr>
                      <w:rFonts w:hint="eastAsia"/>
                      <w:color w:val="auto"/>
                      <w:spacing w:val="-6"/>
                      <w:sz w:val="18"/>
                      <w:szCs w:val="21"/>
                      <w:vertAlign w:val="superscript"/>
                      <w:lang w:val="en-US" w:eastAsia="zh-CN"/>
                    </w:rPr>
                    <w:t>3</w:t>
                  </w:r>
                  <w:r>
                    <w:rPr>
                      <w:rFonts w:hint="eastAsia"/>
                      <w:color w:val="auto"/>
                      <w:sz w:val="18"/>
                      <w:szCs w:val="21"/>
                      <w:lang w:val="en-US" w:eastAsia="zh-CN"/>
                    </w:rPr>
                    <w:t>/h</w:t>
                  </w:r>
                </w:p>
              </w:tc>
              <w:tc>
                <w:tcPr>
                  <w:tcW w:w="7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18"/>
                      <w:szCs w:val="18"/>
                    </w:rPr>
                  </w:pPr>
                  <w:r>
                    <w:rPr>
                      <w:rFonts w:hint="eastAsia"/>
                      <w:color w:val="auto"/>
                      <w:sz w:val="18"/>
                      <w:szCs w:val="21"/>
                      <w:lang w:val="en-US" w:eastAsia="zh-CN"/>
                    </w:rPr>
                    <w:t>新增</w:t>
                  </w:r>
                  <w:r>
                    <w:rPr>
                      <w:rFonts w:hint="eastAsia" w:eastAsia="宋体" w:cs="Times New Roman"/>
                      <w:color w:val="auto"/>
                      <w:sz w:val="18"/>
                      <w:szCs w:val="18"/>
                      <w:lang w:val="en-US" w:eastAsia="zh-CN"/>
                    </w:rPr>
                    <w:t>3台</w:t>
                  </w:r>
                  <w:r>
                    <w:rPr>
                      <w:rFonts w:hint="eastAsia" w:ascii="Times New Roman" w:hAnsi="Times New Roman" w:eastAsia="宋体" w:cs="Times New Roman"/>
                      <w:color w:val="auto"/>
                      <w:sz w:val="18"/>
                      <w:szCs w:val="18"/>
                      <w:lang w:val="en-US" w:eastAsia="zh-CN"/>
                    </w:rPr>
                    <w:t>冷却塔</w:t>
                  </w:r>
                </w:p>
              </w:tc>
              <w:tc>
                <w:tcPr>
                  <w:tcW w:w="955" w:type="pct"/>
                  <w:tcBorders>
                    <w:tl2br w:val="nil"/>
                    <w:tr2bl w:val="nil"/>
                  </w:tcBorders>
                  <w:noWrap w:val="0"/>
                  <w:vAlign w:val="center"/>
                </w:tcPr>
                <w:p>
                  <w:pPr>
                    <w:jc w:val="center"/>
                    <w:rPr>
                      <w:rFonts w:hint="eastAsia" w:ascii="Times New Roman" w:hAnsi="Times New Roman" w:eastAsia="宋体" w:cs="Times New Roman"/>
                      <w:color w:val="auto"/>
                      <w:sz w:val="18"/>
                      <w:szCs w:val="18"/>
                      <w:lang w:val="en-US" w:eastAsia="zh-CN"/>
                    </w:rPr>
                  </w:pPr>
                  <w:r>
                    <w:rPr>
                      <w:rFonts w:hint="eastAsia" w:cs="Times New Roman"/>
                      <w:b w:val="0"/>
                      <w:bCs w:val="0"/>
                      <w:color w:val="auto"/>
                      <w:kern w:val="0"/>
                      <w:sz w:val="18"/>
                      <w:szCs w:val="18"/>
                      <w:vertAlign w:val="baseli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1" w:hRule="atLeast"/>
              </w:trPr>
              <w:tc>
                <w:tcPr>
                  <w:tcW w:w="463"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eastAsia="zh-CN"/>
                    </w:rPr>
                    <w:t>环保工程</w:t>
                  </w:r>
                </w:p>
              </w:tc>
              <w:tc>
                <w:tcPr>
                  <w:tcW w:w="331"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18"/>
                      <w:szCs w:val="18"/>
                      <w:lang w:eastAsia="zh-CN"/>
                    </w:rPr>
                  </w:pPr>
                  <w:r>
                    <w:rPr>
                      <w:rFonts w:hint="default" w:ascii="Times New Roman" w:hAnsi="Times New Roman" w:cs="Times New Roman"/>
                      <w:color w:val="auto"/>
                      <w:sz w:val="18"/>
                      <w:szCs w:val="18"/>
                      <w:lang w:eastAsia="zh-CN"/>
                    </w:rPr>
                    <w:t>废气</w:t>
                  </w:r>
                </w:p>
              </w:tc>
              <w:tc>
                <w:tcPr>
                  <w:tcW w:w="580" w:type="pct"/>
                  <w:tcBorders>
                    <w:tl2br w:val="nil"/>
                    <w:tr2bl w:val="nil"/>
                  </w:tcBorders>
                  <w:noWrap w:val="0"/>
                  <w:vAlign w:val="center"/>
                </w:tcPr>
                <w:p>
                  <w:pPr>
                    <w:jc w:val="center"/>
                    <w:rPr>
                      <w:rFonts w:hint="default" w:ascii="Times New Roman" w:hAnsi="Times New Roman" w:cs="Times New Roman"/>
                      <w:color w:val="auto"/>
                      <w:sz w:val="18"/>
                      <w:szCs w:val="18"/>
                      <w:lang w:eastAsia="zh-CN"/>
                    </w:rPr>
                  </w:pPr>
                  <w:r>
                    <w:rPr>
                      <w:rFonts w:hint="eastAsia" w:eastAsia="宋体" w:cs="Times New Roman"/>
                      <w:color w:val="auto"/>
                      <w:sz w:val="18"/>
                      <w:szCs w:val="18"/>
                      <w:highlight w:val="none"/>
                      <w:lang w:eastAsia="zh-CN"/>
                    </w:rPr>
                    <w:t>燃烧废气</w:t>
                  </w:r>
                </w:p>
              </w:tc>
              <w:tc>
                <w:tcPr>
                  <w:tcW w:w="102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eastAsia="宋体" w:cs="Times New Roman"/>
                      <w:color w:val="auto"/>
                      <w:sz w:val="18"/>
                      <w:szCs w:val="18"/>
                      <w:lang w:val="en-US" w:eastAsia="zh-CN"/>
                    </w:rPr>
                    <w:t>直排+</w:t>
                  </w:r>
                  <w:r>
                    <w:rPr>
                      <w:rFonts w:hint="eastAsia" w:cs="Times New Roman"/>
                      <w:color w:val="auto"/>
                      <w:sz w:val="18"/>
                      <w:szCs w:val="18"/>
                      <w:lang w:val="en-US" w:eastAsia="zh-CN"/>
                    </w:rPr>
                    <w:t>20</w:t>
                  </w:r>
                  <w:r>
                    <w:rPr>
                      <w:rFonts w:ascii="Times New Roman" w:hAnsi="Times New Roman" w:eastAsia="宋体" w:cs="Times New Roman"/>
                      <w:color w:val="auto"/>
                      <w:sz w:val="18"/>
                      <w:szCs w:val="18"/>
                    </w:rPr>
                    <w:t>m排气筒</w:t>
                  </w:r>
                  <w:r>
                    <w:rPr>
                      <w:rFonts w:hint="eastAsia"/>
                      <w:color w:val="auto"/>
                      <w:sz w:val="18"/>
                      <w:szCs w:val="18"/>
                      <w:lang w:val="en-US" w:eastAsia="zh-CN"/>
                    </w:rPr>
                    <w:t>DA001、16</w:t>
                  </w:r>
                  <w:r>
                    <w:rPr>
                      <w:rFonts w:ascii="Times New Roman" w:hAnsi="Times New Roman" w:eastAsia="宋体" w:cs="Times New Roman"/>
                      <w:color w:val="auto"/>
                      <w:sz w:val="18"/>
                      <w:szCs w:val="18"/>
                    </w:rPr>
                    <w:t>m</w:t>
                  </w:r>
                  <w:r>
                    <w:rPr>
                      <w:rFonts w:hint="eastAsia"/>
                      <w:color w:val="auto"/>
                      <w:sz w:val="18"/>
                      <w:szCs w:val="18"/>
                      <w:lang w:val="en-US" w:eastAsia="zh-CN"/>
                    </w:rPr>
                    <w:t>DA002、16</w:t>
                  </w:r>
                  <w:r>
                    <w:rPr>
                      <w:rFonts w:ascii="Times New Roman" w:hAnsi="Times New Roman" w:eastAsia="宋体" w:cs="Times New Roman"/>
                      <w:color w:val="auto"/>
                      <w:sz w:val="18"/>
                      <w:szCs w:val="18"/>
                    </w:rPr>
                    <w:t>m</w:t>
                  </w:r>
                  <w:r>
                    <w:rPr>
                      <w:rFonts w:hint="eastAsia"/>
                      <w:color w:val="auto"/>
                      <w:sz w:val="18"/>
                      <w:szCs w:val="18"/>
                      <w:lang w:val="en-US" w:eastAsia="zh-CN"/>
                    </w:rPr>
                    <w:t>DA003、16</w:t>
                  </w:r>
                  <w:r>
                    <w:rPr>
                      <w:rFonts w:ascii="Times New Roman" w:hAnsi="Times New Roman" w:eastAsia="宋体" w:cs="Times New Roman"/>
                      <w:color w:val="auto"/>
                      <w:sz w:val="18"/>
                      <w:szCs w:val="18"/>
                    </w:rPr>
                    <w:t>m</w:t>
                  </w:r>
                  <w:r>
                    <w:rPr>
                      <w:rFonts w:hint="eastAsia"/>
                      <w:color w:val="auto"/>
                      <w:sz w:val="18"/>
                      <w:szCs w:val="18"/>
                      <w:lang w:val="en-US" w:eastAsia="zh-CN"/>
                    </w:rPr>
                    <w:t>DA004、16</w:t>
                  </w:r>
                  <w:r>
                    <w:rPr>
                      <w:rFonts w:ascii="Times New Roman" w:hAnsi="Times New Roman" w:eastAsia="宋体" w:cs="Times New Roman"/>
                      <w:color w:val="auto"/>
                      <w:sz w:val="18"/>
                      <w:szCs w:val="18"/>
                    </w:rPr>
                    <w:t>m</w:t>
                  </w:r>
                  <w:r>
                    <w:rPr>
                      <w:rFonts w:hint="eastAsia"/>
                      <w:color w:val="auto"/>
                      <w:sz w:val="18"/>
                      <w:szCs w:val="18"/>
                      <w:lang w:val="en-US" w:eastAsia="zh-CN"/>
                    </w:rPr>
                    <w:t>DA005、16</w:t>
                  </w:r>
                  <w:r>
                    <w:rPr>
                      <w:rFonts w:ascii="Times New Roman" w:hAnsi="Times New Roman" w:eastAsia="宋体" w:cs="Times New Roman"/>
                      <w:color w:val="auto"/>
                      <w:sz w:val="18"/>
                      <w:szCs w:val="18"/>
                    </w:rPr>
                    <w:t>m</w:t>
                  </w:r>
                  <w:r>
                    <w:rPr>
                      <w:rFonts w:hint="eastAsia"/>
                      <w:color w:val="auto"/>
                      <w:sz w:val="18"/>
                      <w:szCs w:val="18"/>
                      <w:lang w:val="en-US" w:eastAsia="zh-CN"/>
                    </w:rPr>
                    <w:t>DA006</w:t>
                  </w:r>
                </w:p>
              </w:tc>
              <w:tc>
                <w:tcPr>
                  <w:tcW w:w="89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eastAsia="宋体" w:cs="Times New Roman"/>
                      <w:color w:val="auto"/>
                      <w:sz w:val="18"/>
                      <w:szCs w:val="18"/>
                      <w:lang w:val="en-US" w:eastAsia="zh-CN"/>
                    </w:rPr>
                    <w:t>直排+</w:t>
                  </w:r>
                  <w:r>
                    <w:rPr>
                      <w:rFonts w:hint="eastAsia" w:cs="Times New Roman"/>
                      <w:color w:val="auto"/>
                      <w:sz w:val="18"/>
                      <w:szCs w:val="18"/>
                      <w:lang w:val="en-US" w:eastAsia="zh-CN"/>
                    </w:rPr>
                    <w:t>20</w:t>
                  </w:r>
                  <w:r>
                    <w:rPr>
                      <w:rFonts w:ascii="Times New Roman" w:hAnsi="Times New Roman" w:eastAsia="宋体" w:cs="Times New Roman"/>
                      <w:color w:val="auto"/>
                      <w:sz w:val="18"/>
                      <w:szCs w:val="18"/>
                    </w:rPr>
                    <w:t>m排气筒</w:t>
                  </w:r>
                  <w:r>
                    <w:rPr>
                      <w:rFonts w:hint="eastAsia"/>
                      <w:color w:val="auto"/>
                      <w:sz w:val="18"/>
                      <w:szCs w:val="18"/>
                      <w:lang w:val="en-US" w:eastAsia="zh-CN"/>
                    </w:rPr>
                    <w:t>DA001、16</w:t>
                  </w:r>
                  <w:r>
                    <w:rPr>
                      <w:rFonts w:ascii="Times New Roman" w:hAnsi="Times New Roman" w:eastAsia="宋体" w:cs="Times New Roman"/>
                      <w:color w:val="auto"/>
                      <w:sz w:val="18"/>
                      <w:szCs w:val="18"/>
                    </w:rPr>
                    <w:t>m</w:t>
                  </w:r>
                  <w:r>
                    <w:rPr>
                      <w:rFonts w:hint="eastAsia"/>
                      <w:color w:val="auto"/>
                      <w:sz w:val="18"/>
                      <w:szCs w:val="18"/>
                      <w:lang w:val="en-US" w:eastAsia="zh-CN"/>
                    </w:rPr>
                    <w:t>DA003、16</w:t>
                  </w:r>
                  <w:r>
                    <w:rPr>
                      <w:rFonts w:ascii="Times New Roman" w:hAnsi="Times New Roman" w:eastAsia="宋体" w:cs="Times New Roman"/>
                      <w:color w:val="auto"/>
                      <w:sz w:val="18"/>
                      <w:szCs w:val="18"/>
                    </w:rPr>
                    <w:t>m</w:t>
                  </w:r>
                  <w:r>
                    <w:rPr>
                      <w:rFonts w:hint="eastAsia"/>
                      <w:color w:val="auto"/>
                      <w:sz w:val="18"/>
                      <w:szCs w:val="18"/>
                      <w:lang w:val="en-US" w:eastAsia="zh-CN"/>
                    </w:rPr>
                    <w:t>DA004、16</w:t>
                  </w:r>
                  <w:r>
                    <w:rPr>
                      <w:rFonts w:ascii="Times New Roman" w:hAnsi="Times New Roman" w:eastAsia="宋体" w:cs="Times New Roman"/>
                      <w:color w:val="auto"/>
                      <w:sz w:val="18"/>
                      <w:szCs w:val="18"/>
                    </w:rPr>
                    <w:t>m</w:t>
                  </w:r>
                  <w:r>
                    <w:rPr>
                      <w:rFonts w:hint="eastAsia"/>
                      <w:color w:val="auto"/>
                      <w:sz w:val="18"/>
                      <w:szCs w:val="18"/>
                      <w:lang w:val="en-US" w:eastAsia="zh-CN"/>
                    </w:rPr>
                    <w:t>DA005、16</w:t>
                  </w:r>
                  <w:r>
                    <w:rPr>
                      <w:rFonts w:ascii="Times New Roman" w:hAnsi="Times New Roman" w:eastAsia="宋体" w:cs="Times New Roman"/>
                      <w:color w:val="auto"/>
                      <w:sz w:val="18"/>
                      <w:szCs w:val="18"/>
                    </w:rPr>
                    <w:t>m</w:t>
                  </w:r>
                  <w:r>
                    <w:rPr>
                      <w:rFonts w:hint="eastAsia"/>
                      <w:color w:val="auto"/>
                      <w:sz w:val="18"/>
                      <w:szCs w:val="18"/>
                      <w:lang w:val="en-US" w:eastAsia="zh-CN"/>
                    </w:rPr>
                    <w:t>DA007、16</w:t>
                  </w:r>
                  <w:r>
                    <w:rPr>
                      <w:rFonts w:ascii="Times New Roman" w:hAnsi="Times New Roman" w:eastAsia="宋体" w:cs="Times New Roman"/>
                      <w:color w:val="auto"/>
                      <w:sz w:val="18"/>
                      <w:szCs w:val="18"/>
                    </w:rPr>
                    <w:t>m</w:t>
                  </w:r>
                  <w:r>
                    <w:rPr>
                      <w:rFonts w:hint="eastAsia"/>
                      <w:color w:val="auto"/>
                      <w:sz w:val="18"/>
                      <w:szCs w:val="18"/>
                      <w:lang w:val="en-US" w:eastAsia="zh-CN"/>
                    </w:rPr>
                    <w:t>DA008</w:t>
                  </w:r>
                </w:p>
              </w:tc>
              <w:tc>
                <w:tcPr>
                  <w:tcW w:w="75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拆除两根</w:t>
                  </w:r>
                  <w:r>
                    <w:rPr>
                      <w:rFonts w:hint="eastAsia"/>
                      <w:color w:val="auto"/>
                      <w:sz w:val="18"/>
                      <w:szCs w:val="18"/>
                      <w:lang w:val="en-US" w:eastAsia="zh-CN"/>
                    </w:rPr>
                    <w:t>DA002、DA006</w:t>
                  </w:r>
                  <w:r>
                    <w:rPr>
                      <w:rFonts w:hint="eastAsia" w:cs="Times New Roman"/>
                      <w:color w:val="auto"/>
                      <w:kern w:val="2"/>
                      <w:sz w:val="18"/>
                      <w:szCs w:val="18"/>
                      <w:lang w:val="en-US" w:eastAsia="zh-CN" w:bidi="ar-SA"/>
                    </w:rPr>
                    <w:t>排气筒，新增两根</w:t>
                  </w:r>
                  <w:r>
                    <w:rPr>
                      <w:rFonts w:hint="eastAsia" w:eastAsia="宋体" w:cs="Times New Roman"/>
                      <w:color w:val="auto"/>
                      <w:sz w:val="18"/>
                      <w:szCs w:val="18"/>
                      <w:highlight w:val="none"/>
                      <w:lang w:eastAsia="zh-CN"/>
                    </w:rPr>
                    <w:t>燃烧废气排气筒</w:t>
                  </w:r>
                  <w:r>
                    <w:rPr>
                      <w:rFonts w:hint="eastAsia"/>
                      <w:color w:val="auto"/>
                      <w:sz w:val="18"/>
                      <w:szCs w:val="18"/>
                      <w:lang w:val="en-US" w:eastAsia="zh-CN"/>
                    </w:rPr>
                    <w:t>DA007、DA008</w:t>
                  </w:r>
                </w:p>
              </w:tc>
              <w:tc>
                <w:tcPr>
                  <w:tcW w:w="95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kern w:val="0"/>
                      <w:sz w:val="18"/>
                      <w:szCs w:val="18"/>
                      <w:vertAlign w:val="baseline"/>
                      <w:lang w:val="en-US" w:eastAsia="zh-CN" w:bidi="ar"/>
                    </w:rPr>
                  </w:pPr>
                  <w:r>
                    <w:rPr>
                      <w:rFonts w:hint="eastAsia" w:cs="Times New Roman"/>
                      <w:b w:val="0"/>
                      <w:bCs w:val="0"/>
                      <w:color w:val="auto"/>
                      <w:kern w:val="0"/>
                      <w:sz w:val="18"/>
                      <w:szCs w:val="18"/>
                      <w:vertAlign w:val="baseline"/>
                      <w:lang w:val="en-US" w:eastAsia="zh-CN" w:bidi="ar"/>
                    </w:rPr>
                    <w:t>达标排放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16" w:hRule="atLeast"/>
              </w:trPr>
              <w:tc>
                <w:tcPr>
                  <w:tcW w:w="463"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lang w:eastAsia="zh-CN"/>
                    </w:rPr>
                  </w:pPr>
                </w:p>
              </w:tc>
              <w:tc>
                <w:tcPr>
                  <w:tcW w:w="331"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lang w:eastAsia="zh-CN"/>
                    </w:rPr>
                  </w:pPr>
                </w:p>
              </w:tc>
              <w:tc>
                <w:tcPr>
                  <w:tcW w:w="580" w:type="pct"/>
                  <w:tcBorders>
                    <w:tl2br w:val="nil"/>
                    <w:tr2bl w:val="nil"/>
                  </w:tcBorders>
                  <w:noWrap w:val="0"/>
                  <w:vAlign w:val="center"/>
                </w:tcPr>
                <w:p>
                  <w:pPr>
                    <w:jc w:val="center"/>
                    <w:rPr>
                      <w:rFonts w:hint="eastAsia" w:cs="Times New Roman"/>
                      <w:color w:val="auto"/>
                      <w:sz w:val="18"/>
                      <w:szCs w:val="18"/>
                      <w:highlight w:val="none"/>
                      <w:lang w:eastAsia="zh-CN"/>
                    </w:rPr>
                  </w:pPr>
                  <w:r>
                    <w:rPr>
                      <w:rFonts w:hint="eastAsia" w:cs="Times New Roman"/>
                      <w:color w:val="auto"/>
                      <w:sz w:val="18"/>
                      <w:szCs w:val="18"/>
                      <w:highlight w:val="none"/>
                      <w:lang w:eastAsia="zh-CN"/>
                    </w:rPr>
                    <w:t>下料</w:t>
                  </w:r>
                  <w:r>
                    <w:rPr>
                      <w:rFonts w:hint="eastAsia" w:cs="Times New Roman"/>
                      <w:color w:val="auto"/>
                      <w:sz w:val="18"/>
                      <w:szCs w:val="18"/>
                      <w:highlight w:val="none"/>
                      <w:lang w:val="en-US" w:eastAsia="zh-CN"/>
                    </w:rPr>
                    <w:t>切割粉尘</w:t>
                  </w:r>
                </w:p>
              </w:tc>
              <w:tc>
                <w:tcPr>
                  <w:tcW w:w="102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eastAsia="宋体" w:cs="Times New Roman"/>
                      <w:color w:val="auto"/>
                      <w:sz w:val="18"/>
                      <w:szCs w:val="18"/>
                      <w:lang w:val="en-US" w:eastAsia="zh-CN"/>
                    </w:rPr>
                  </w:pPr>
                  <w:r>
                    <w:rPr>
                      <w:rFonts w:hint="eastAsia" w:cs="Times New Roman"/>
                      <w:color w:val="auto"/>
                      <w:sz w:val="18"/>
                      <w:szCs w:val="18"/>
                      <w:lang w:val="en-US" w:eastAsia="zh-CN"/>
                    </w:rPr>
                    <w:t>/</w:t>
                  </w:r>
                </w:p>
              </w:tc>
              <w:tc>
                <w:tcPr>
                  <w:tcW w:w="89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eastAsia="宋体" w:cs="Times New Roman"/>
                      <w:color w:val="auto"/>
                      <w:sz w:val="18"/>
                      <w:szCs w:val="18"/>
                      <w:lang w:val="en-US" w:eastAsia="zh-CN"/>
                    </w:rPr>
                  </w:pPr>
                  <w:r>
                    <w:rPr>
                      <w:rFonts w:hint="eastAsia" w:cs="Times New Roman"/>
                      <w:color w:val="auto"/>
                      <w:sz w:val="18"/>
                      <w:szCs w:val="18"/>
                      <w:lang w:eastAsia="zh-CN"/>
                    </w:rPr>
                    <w:t>集气罩收集后</w:t>
                  </w:r>
                  <w:r>
                    <w:rPr>
                      <w:rFonts w:hint="eastAsia" w:ascii="Times New Roman" w:hAnsi="Times New Roman" w:cs="Times New Roman"/>
                      <w:color w:val="auto"/>
                      <w:sz w:val="18"/>
                      <w:szCs w:val="18"/>
                      <w:lang w:eastAsia="zh-CN"/>
                    </w:rPr>
                    <w:t>布袋除尘装置</w:t>
                  </w:r>
                  <w:r>
                    <w:rPr>
                      <w:rFonts w:hint="eastAsia" w:cs="Times New Roman"/>
                      <w:color w:val="auto"/>
                      <w:sz w:val="18"/>
                      <w:szCs w:val="18"/>
                      <w:lang w:eastAsia="zh-CN"/>
                    </w:rPr>
                    <w:t>处理</w:t>
                  </w:r>
                  <w:r>
                    <w:rPr>
                      <w:rFonts w:hint="eastAsia" w:cs="Times New Roman"/>
                      <w:color w:val="auto"/>
                      <w:sz w:val="18"/>
                      <w:szCs w:val="18"/>
                      <w:lang w:val="en-US" w:eastAsia="zh-CN"/>
                    </w:rPr>
                    <w:t>+16</w:t>
                  </w:r>
                  <w:r>
                    <w:rPr>
                      <w:rFonts w:ascii="Times New Roman" w:hAnsi="Times New Roman" w:eastAsia="宋体" w:cs="Times New Roman"/>
                      <w:color w:val="auto"/>
                      <w:sz w:val="18"/>
                      <w:szCs w:val="18"/>
                    </w:rPr>
                    <w:t>m</w:t>
                  </w:r>
                  <w:r>
                    <w:rPr>
                      <w:rFonts w:hint="eastAsia" w:ascii="Times New Roman" w:hAnsi="Times New Roman" w:eastAsia="宋体" w:cs="Times New Roman"/>
                      <w:bCs/>
                      <w:color w:val="auto"/>
                      <w:sz w:val="18"/>
                      <w:szCs w:val="18"/>
                      <w:lang w:val="en-US" w:eastAsia="zh-CN"/>
                    </w:rPr>
                    <w:t>DA00</w:t>
                  </w:r>
                  <w:r>
                    <w:rPr>
                      <w:rFonts w:hint="eastAsia" w:cs="Times New Roman"/>
                      <w:bCs/>
                      <w:color w:val="auto"/>
                      <w:sz w:val="18"/>
                      <w:szCs w:val="18"/>
                      <w:lang w:val="en-US" w:eastAsia="zh-CN"/>
                    </w:rPr>
                    <w:t>9</w:t>
                  </w:r>
                </w:p>
              </w:tc>
              <w:tc>
                <w:tcPr>
                  <w:tcW w:w="75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cs="Times New Roman"/>
                      <w:color w:val="auto"/>
                      <w:kern w:val="2"/>
                      <w:sz w:val="18"/>
                      <w:szCs w:val="18"/>
                      <w:lang w:val="en-US" w:eastAsia="zh-CN" w:bidi="ar-SA"/>
                    </w:rPr>
                  </w:pPr>
                  <w:r>
                    <w:rPr>
                      <w:rFonts w:hint="eastAsia" w:cs="Times New Roman"/>
                      <w:color w:val="auto"/>
                      <w:kern w:val="2"/>
                      <w:sz w:val="18"/>
                      <w:szCs w:val="18"/>
                      <w:lang w:val="en-US" w:eastAsia="zh-CN" w:bidi="ar-SA"/>
                    </w:rPr>
                    <w:t>新增除尘设备，新增一根</w:t>
                  </w:r>
                  <w:r>
                    <w:rPr>
                      <w:rFonts w:hint="eastAsia" w:eastAsia="宋体" w:cs="Times New Roman"/>
                      <w:color w:val="auto"/>
                      <w:sz w:val="18"/>
                      <w:szCs w:val="18"/>
                      <w:highlight w:val="none"/>
                      <w:lang w:eastAsia="zh-CN"/>
                    </w:rPr>
                    <w:t>排气筒</w:t>
                  </w:r>
                </w:p>
              </w:tc>
              <w:tc>
                <w:tcPr>
                  <w:tcW w:w="95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val="0"/>
                      <w:bCs w:val="0"/>
                      <w:color w:val="auto"/>
                      <w:kern w:val="0"/>
                      <w:sz w:val="18"/>
                      <w:szCs w:val="18"/>
                      <w:vertAlign w:val="baseline"/>
                      <w:lang w:val="en-US" w:eastAsia="zh-CN" w:bidi="ar"/>
                    </w:rPr>
                  </w:pPr>
                  <w:r>
                    <w:rPr>
                      <w:rFonts w:hint="eastAsia" w:cs="Times New Roman"/>
                      <w:b w:val="0"/>
                      <w:bCs w:val="0"/>
                      <w:color w:val="auto"/>
                      <w:kern w:val="0"/>
                      <w:sz w:val="18"/>
                      <w:szCs w:val="18"/>
                      <w:vertAlign w:val="baseline"/>
                      <w:lang w:val="en-US" w:eastAsia="zh-CN" w:bidi="ar"/>
                    </w:rPr>
                    <w:t>达标排放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5" w:hRule="atLeast"/>
              </w:trPr>
              <w:tc>
                <w:tcPr>
                  <w:tcW w:w="463"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lang w:eastAsia="zh-CN"/>
                    </w:rPr>
                  </w:pPr>
                </w:p>
              </w:tc>
              <w:tc>
                <w:tcPr>
                  <w:tcW w:w="331"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lang w:eastAsia="zh-CN"/>
                    </w:rPr>
                  </w:pPr>
                </w:p>
              </w:tc>
              <w:tc>
                <w:tcPr>
                  <w:tcW w:w="580" w:type="pct"/>
                  <w:tcBorders>
                    <w:tl2br w:val="nil"/>
                    <w:tr2bl w:val="nil"/>
                  </w:tcBorders>
                  <w:noWrap w:val="0"/>
                  <w:vAlign w:val="center"/>
                </w:tcPr>
                <w:p>
                  <w:pPr>
                    <w:jc w:val="center"/>
                    <w:rPr>
                      <w:rFonts w:hint="eastAsia" w:cs="Times New Roman"/>
                      <w:color w:val="auto"/>
                      <w:sz w:val="18"/>
                      <w:szCs w:val="18"/>
                      <w:highlight w:val="none"/>
                      <w:lang w:eastAsia="zh-CN"/>
                    </w:rPr>
                  </w:pPr>
                  <w:r>
                    <w:rPr>
                      <w:rFonts w:hint="default" w:cs="Times New Roman"/>
                      <w:color w:val="auto"/>
                      <w:sz w:val="18"/>
                      <w:szCs w:val="18"/>
                      <w:highlight w:val="none"/>
                      <w:lang w:val="en-US" w:eastAsia="zh-CN"/>
                    </w:rPr>
                    <w:t>维修</w:t>
                  </w:r>
                  <w:r>
                    <w:rPr>
                      <w:rFonts w:hint="eastAsia" w:cs="Times New Roman"/>
                      <w:color w:val="auto"/>
                      <w:sz w:val="18"/>
                      <w:szCs w:val="18"/>
                      <w:highlight w:val="none"/>
                      <w:lang w:val="en-US" w:eastAsia="zh-CN"/>
                    </w:rPr>
                    <w:t>切割粉尘</w:t>
                  </w:r>
                </w:p>
              </w:tc>
              <w:tc>
                <w:tcPr>
                  <w:tcW w:w="102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eastAsia="宋体" w:cs="Times New Roman"/>
                      <w:color w:val="auto"/>
                      <w:sz w:val="18"/>
                      <w:szCs w:val="18"/>
                      <w:lang w:val="en-US" w:eastAsia="zh-CN"/>
                    </w:rPr>
                  </w:pPr>
                  <w:r>
                    <w:rPr>
                      <w:rFonts w:hint="eastAsia" w:cs="Times New Roman"/>
                      <w:color w:val="auto"/>
                      <w:sz w:val="18"/>
                      <w:szCs w:val="18"/>
                      <w:lang w:val="en-US" w:eastAsia="zh-CN"/>
                    </w:rPr>
                    <w:t>/</w:t>
                  </w:r>
                </w:p>
              </w:tc>
              <w:tc>
                <w:tcPr>
                  <w:tcW w:w="89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eastAsia="宋体" w:cs="Times New Roman"/>
                      <w:color w:val="auto"/>
                      <w:sz w:val="18"/>
                      <w:szCs w:val="18"/>
                      <w:lang w:val="en-US" w:eastAsia="zh-CN"/>
                    </w:rPr>
                  </w:pPr>
                  <w:r>
                    <w:rPr>
                      <w:rFonts w:hint="eastAsia" w:cs="Times New Roman"/>
                      <w:color w:val="auto"/>
                      <w:sz w:val="18"/>
                      <w:szCs w:val="18"/>
                      <w:lang w:eastAsia="zh-CN"/>
                    </w:rPr>
                    <w:t>集气罩收集后</w:t>
                  </w:r>
                  <w:r>
                    <w:rPr>
                      <w:rFonts w:hint="eastAsia" w:cs="Times New Roman"/>
                      <w:color w:val="auto"/>
                      <w:sz w:val="18"/>
                      <w:szCs w:val="18"/>
                      <w:lang w:val="en-US" w:eastAsia="zh-CN"/>
                    </w:rPr>
                    <w:t>移动式除尘器</w:t>
                  </w:r>
                  <w:r>
                    <w:rPr>
                      <w:rFonts w:hint="eastAsia" w:cs="Times New Roman"/>
                      <w:color w:val="auto"/>
                      <w:sz w:val="18"/>
                      <w:szCs w:val="18"/>
                      <w:lang w:eastAsia="zh-CN"/>
                    </w:rPr>
                    <w:t>处理后无组织排放</w:t>
                  </w:r>
                </w:p>
              </w:tc>
              <w:tc>
                <w:tcPr>
                  <w:tcW w:w="75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cs="Times New Roman"/>
                      <w:color w:val="auto"/>
                      <w:kern w:val="2"/>
                      <w:sz w:val="18"/>
                      <w:szCs w:val="18"/>
                      <w:lang w:val="en-US" w:eastAsia="zh-CN" w:bidi="ar-SA"/>
                    </w:rPr>
                  </w:pPr>
                  <w:r>
                    <w:rPr>
                      <w:rFonts w:hint="eastAsia" w:cs="Times New Roman"/>
                      <w:color w:val="auto"/>
                      <w:kern w:val="2"/>
                      <w:sz w:val="18"/>
                      <w:szCs w:val="18"/>
                      <w:lang w:val="en-US" w:eastAsia="zh-CN" w:bidi="ar-SA"/>
                    </w:rPr>
                    <w:t>新增除尘设备</w:t>
                  </w:r>
                </w:p>
              </w:tc>
              <w:tc>
                <w:tcPr>
                  <w:tcW w:w="95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val="0"/>
                      <w:bCs w:val="0"/>
                      <w:color w:val="auto"/>
                      <w:kern w:val="0"/>
                      <w:sz w:val="18"/>
                      <w:szCs w:val="18"/>
                      <w:vertAlign w:val="baseline"/>
                      <w:lang w:val="en-US" w:eastAsia="zh-CN" w:bidi="ar"/>
                    </w:rPr>
                  </w:pPr>
                  <w:r>
                    <w:rPr>
                      <w:rFonts w:hint="eastAsia" w:cs="Times New Roman"/>
                      <w:b w:val="0"/>
                      <w:bCs w:val="0"/>
                      <w:color w:val="auto"/>
                      <w:kern w:val="0"/>
                      <w:sz w:val="18"/>
                      <w:szCs w:val="18"/>
                      <w:vertAlign w:val="baseline"/>
                      <w:lang w:val="en-US" w:eastAsia="zh-CN" w:bidi="ar"/>
                    </w:rPr>
                    <w:t>达标排放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3" w:hRule="atLeast"/>
              </w:trPr>
              <w:tc>
                <w:tcPr>
                  <w:tcW w:w="463"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lang w:eastAsia="zh-CN"/>
                    </w:rPr>
                  </w:pPr>
                </w:p>
              </w:tc>
              <w:tc>
                <w:tcPr>
                  <w:tcW w:w="331"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lang w:eastAsia="zh-CN"/>
                    </w:rPr>
                  </w:pPr>
                </w:p>
              </w:tc>
              <w:tc>
                <w:tcPr>
                  <w:tcW w:w="580" w:type="pct"/>
                  <w:tcBorders>
                    <w:tl2br w:val="nil"/>
                    <w:tr2bl w:val="nil"/>
                  </w:tcBorders>
                  <w:noWrap w:val="0"/>
                  <w:vAlign w:val="center"/>
                </w:tcPr>
                <w:p>
                  <w:pPr>
                    <w:jc w:val="center"/>
                    <w:rPr>
                      <w:rFonts w:hint="eastAsia" w:eastAsia="宋体" w:cs="Times New Roman"/>
                      <w:color w:val="auto"/>
                      <w:sz w:val="18"/>
                      <w:szCs w:val="18"/>
                      <w:highlight w:val="none"/>
                      <w:lang w:eastAsia="zh-CN"/>
                    </w:rPr>
                  </w:pPr>
                  <w:r>
                    <w:rPr>
                      <w:rFonts w:hint="eastAsia" w:cs="Times New Roman"/>
                      <w:color w:val="auto"/>
                      <w:sz w:val="18"/>
                      <w:szCs w:val="18"/>
                      <w:highlight w:val="none"/>
                      <w:lang w:eastAsia="zh-CN"/>
                    </w:rPr>
                    <w:t>打磨粉尘</w:t>
                  </w:r>
                </w:p>
              </w:tc>
              <w:tc>
                <w:tcPr>
                  <w:tcW w:w="102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eastAsia="宋体" w:cs="Times New Roman"/>
                      <w:color w:val="auto"/>
                      <w:sz w:val="18"/>
                      <w:szCs w:val="18"/>
                      <w:lang w:val="en-US" w:eastAsia="zh-CN"/>
                    </w:rPr>
                  </w:pPr>
                  <w:r>
                    <w:rPr>
                      <w:rFonts w:hint="eastAsia" w:cs="Times New Roman"/>
                      <w:color w:val="auto"/>
                      <w:sz w:val="18"/>
                      <w:szCs w:val="18"/>
                      <w:lang w:val="en-US" w:eastAsia="zh-CN"/>
                    </w:rPr>
                    <w:t>/</w:t>
                  </w:r>
                </w:p>
              </w:tc>
              <w:tc>
                <w:tcPr>
                  <w:tcW w:w="89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eastAsia="宋体" w:cs="Times New Roman"/>
                      <w:color w:val="auto"/>
                      <w:sz w:val="18"/>
                      <w:szCs w:val="18"/>
                      <w:lang w:val="en-US" w:eastAsia="zh-CN"/>
                    </w:rPr>
                  </w:pPr>
                  <w:r>
                    <w:rPr>
                      <w:rFonts w:hint="eastAsia" w:cs="Times New Roman"/>
                      <w:color w:val="auto"/>
                      <w:sz w:val="18"/>
                      <w:szCs w:val="18"/>
                      <w:lang w:eastAsia="zh-CN"/>
                    </w:rPr>
                    <w:t>集气罩收集后</w:t>
                  </w:r>
                  <w:r>
                    <w:rPr>
                      <w:rFonts w:hint="eastAsia" w:cs="Times New Roman"/>
                      <w:color w:val="auto"/>
                      <w:sz w:val="18"/>
                      <w:szCs w:val="18"/>
                      <w:lang w:val="en-US" w:eastAsia="zh-CN"/>
                    </w:rPr>
                    <w:t>移动式除尘器</w:t>
                  </w:r>
                  <w:r>
                    <w:rPr>
                      <w:rFonts w:hint="eastAsia" w:cs="Times New Roman"/>
                      <w:color w:val="auto"/>
                      <w:sz w:val="18"/>
                      <w:szCs w:val="18"/>
                      <w:lang w:eastAsia="zh-CN"/>
                    </w:rPr>
                    <w:t>处理后无组织排放</w:t>
                  </w:r>
                </w:p>
              </w:tc>
              <w:tc>
                <w:tcPr>
                  <w:tcW w:w="75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cs="Times New Roman"/>
                      <w:color w:val="auto"/>
                      <w:kern w:val="2"/>
                      <w:sz w:val="18"/>
                      <w:szCs w:val="18"/>
                      <w:lang w:val="en-US" w:eastAsia="zh-CN" w:bidi="ar-SA"/>
                    </w:rPr>
                  </w:pPr>
                  <w:r>
                    <w:rPr>
                      <w:rFonts w:hint="eastAsia" w:cs="Times New Roman"/>
                      <w:color w:val="auto"/>
                      <w:kern w:val="2"/>
                      <w:sz w:val="18"/>
                      <w:szCs w:val="18"/>
                      <w:lang w:val="en-US" w:eastAsia="zh-CN" w:bidi="ar-SA"/>
                    </w:rPr>
                    <w:t>新增除尘设备</w:t>
                  </w:r>
                </w:p>
              </w:tc>
              <w:tc>
                <w:tcPr>
                  <w:tcW w:w="95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val="0"/>
                      <w:bCs w:val="0"/>
                      <w:color w:val="auto"/>
                      <w:kern w:val="0"/>
                      <w:sz w:val="18"/>
                      <w:szCs w:val="18"/>
                      <w:vertAlign w:val="baseline"/>
                      <w:lang w:val="en-US" w:eastAsia="zh-CN" w:bidi="ar"/>
                    </w:rPr>
                  </w:pPr>
                  <w:r>
                    <w:rPr>
                      <w:rFonts w:hint="eastAsia" w:cs="Times New Roman"/>
                      <w:b w:val="0"/>
                      <w:bCs w:val="0"/>
                      <w:color w:val="auto"/>
                      <w:kern w:val="0"/>
                      <w:sz w:val="18"/>
                      <w:szCs w:val="18"/>
                      <w:vertAlign w:val="baseline"/>
                      <w:lang w:val="en-US" w:eastAsia="zh-CN" w:bidi="ar"/>
                    </w:rPr>
                    <w:t>达标排放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463"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lang w:eastAsia="zh-CN"/>
                    </w:rPr>
                  </w:pPr>
                </w:p>
              </w:tc>
              <w:tc>
                <w:tcPr>
                  <w:tcW w:w="331"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lang w:eastAsia="zh-CN"/>
                    </w:rPr>
                  </w:pPr>
                </w:p>
              </w:tc>
              <w:tc>
                <w:tcPr>
                  <w:tcW w:w="580" w:type="pct"/>
                  <w:tcBorders>
                    <w:tl2br w:val="nil"/>
                    <w:tr2bl w:val="nil"/>
                  </w:tcBorders>
                  <w:noWrap w:val="0"/>
                  <w:vAlign w:val="center"/>
                </w:tcPr>
                <w:p>
                  <w:pPr>
                    <w:jc w:val="center"/>
                    <w:rPr>
                      <w:rFonts w:hint="default" w:eastAsia="宋体" w:cs="Times New Roman"/>
                      <w:color w:val="auto"/>
                      <w:sz w:val="18"/>
                      <w:szCs w:val="18"/>
                      <w:highlight w:val="none"/>
                      <w:lang w:val="en-US" w:eastAsia="zh-CN"/>
                    </w:rPr>
                  </w:pPr>
                  <w:r>
                    <w:rPr>
                      <w:rFonts w:hint="eastAsia" w:cs="Times New Roman"/>
                      <w:color w:val="auto"/>
                      <w:sz w:val="18"/>
                      <w:szCs w:val="18"/>
                      <w:highlight w:val="none"/>
                      <w:lang w:eastAsia="zh-CN"/>
                    </w:rPr>
                    <w:t>机加工</w:t>
                  </w:r>
                  <w:r>
                    <w:rPr>
                      <w:rFonts w:hint="eastAsia" w:cs="Times New Roman"/>
                      <w:color w:val="auto"/>
                      <w:sz w:val="18"/>
                      <w:szCs w:val="18"/>
                      <w:highlight w:val="none"/>
                      <w:lang w:val="en-US" w:eastAsia="zh-CN"/>
                    </w:rPr>
                    <w:t>废气</w:t>
                  </w:r>
                </w:p>
              </w:tc>
              <w:tc>
                <w:tcPr>
                  <w:tcW w:w="1021" w:type="pct"/>
                  <w:tcBorders>
                    <w:tl2br w:val="nil"/>
                    <w:tr2bl w:val="nil"/>
                  </w:tcBorders>
                  <w:noWrap w:val="0"/>
                  <w:vAlign w:val="center"/>
                </w:tcPr>
                <w:p>
                  <w:pPr>
                    <w:jc w:val="center"/>
                    <w:rPr>
                      <w:color w:val="auto"/>
                    </w:rPr>
                  </w:pPr>
                  <w:r>
                    <w:rPr>
                      <w:rFonts w:hint="eastAsia"/>
                      <w:color w:val="auto"/>
                      <w:lang w:val="en-US" w:eastAsia="zh-CN"/>
                    </w:rPr>
                    <w:t>/</w:t>
                  </w:r>
                </w:p>
              </w:tc>
              <w:tc>
                <w:tcPr>
                  <w:tcW w:w="89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eastAsia="宋体" w:cs="Times New Roman"/>
                      <w:color w:val="auto"/>
                      <w:sz w:val="18"/>
                      <w:szCs w:val="18"/>
                      <w:lang w:val="en-US" w:eastAsia="zh-CN"/>
                    </w:rPr>
                  </w:pPr>
                  <w:r>
                    <w:rPr>
                      <w:rFonts w:hint="eastAsia" w:cs="Times New Roman"/>
                      <w:color w:val="auto"/>
                      <w:sz w:val="18"/>
                      <w:szCs w:val="18"/>
                      <w:lang w:eastAsia="zh-CN"/>
                    </w:rPr>
                    <w:t>无组织排放</w:t>
                  </w:r>
                </w:p>
              </w:tc>
              <w:tc>
                <w:tcPr>
                  <w:tcW w:w="75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cs="Times New Roman"/>
                      <w:color w:val="auto"/>
                      <w:kern w:val="2"/>
                      <w:sz w:val="18"/>
                      <w:szCs w:val="18"/>
                      <w:lang w:val="en-US" w:eastAsia="zh-CN" w:bidi="ar-SA"/>
                    </w:rPr>
                  </w:pPr>
                  <w:r>
                    <w:rPr>
                      <w:rFonts w:hint="eastAsia" w:cs="Times New Roman"/>
                      <w:b w:val="0"/>
                      <w:bCs w:val="0"/>
                      <w:color w:val="auto"/>
                      <w:kern w:val="0"/>
                      <w:sz w:val="18"/>
                      <w:szCs w:val="18"/>
                      <w:vertAlign w:val="baseline"/>
                      <w:lang w:val="en-US" w:eastAsia="zh-CN" w:bidi="ar"/>
                    </w:rPr>
                    <w:t>/</w:t>
                  </w:r>
                </w:p>
              </w:tc>
              <w:tc>
                <w:tcPr>
                  <w:tcW w:w="95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val="0"/>
                      <w:bCs w:val="0"/>
                      <w:color w:val="auto"/>
                      <w:kern w:val="0"/>
                      <w:sz w:val="18"/>
                      <w:szCs w:val="18"/>
                      <w:vertAlign w:val="baseline"/>
                      <w:lang w:val="en-US" w:eastAsia="zh-CN" w:bidi="ar"/>
                    </w:rPr>
                  </w:pPr>
                  <w:r>
                    <w:rPr>
                      <w:rFonts w:hint="eastAsia" w:cs="Times New Roman"/>
                      <w:b w:val="0"/>
                      <w:bCs w:val="0"/>
                      <w:color w:val="auto"/>
                      <w:kern w:val="0"/>
                      <w:sz w:val="18"/>
                      <w:szCs w:val="18"/>
                      <w:vertAlign w:val="baseline"/>
                      <w:lang w:val="en-US" w:eastAsia="zh-CN" w:bidi="ar"/>
                    </w:rPr>
                    <w:t>达标排放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463"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lang w:eastAsia="zh-CN"/>
                    </w:rPr>
                  </w:pPr>
                </w:p>
              </w:tc>
              <w:tc>
                <w:tcPr>
                  <w:tcW w:w="331"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lang w:eastAsia="zh-CN"/>
                    </w:rPr>
                  </w:pPr>
                </w:p>
              </w:tc>
              <w:tc>
                <w:tcPr>
                  <w:tcW w:w="580" w:type="pct"/>
                  <w:tcBorders>
                    <w:tl2br w:val="nil"/>
                    <w:tr2bl w:val="nil"/>
                  </w:tcBorders>
                  <w:noWrap w:val="0"/>
                  <w:vAlign w:val="center"/>
                </w:tcPr>
                <w:p>
                  <w:pPr>
                    <w:jc w:val="center"/>
                    <w:rPr>
                      <w:rFonts w:hint="eastAsia" w:cs="Times New Roman"/>
                      <w:color w:val="auto"/>
                      <w:sz w:val="18"/>
                      <w:szCs w:val="18"/>
                      <w:highlight w:val="none"/>
                      <w:lang w:eastAsia="zh-CN"/>
                    </w:rPr>
                  </w:pPr>
                  <w:r>
                    <w:rPr>
                      <w:rFonts w:hint="eastAsia" w:ascii="Times New Roman" w:hAnsi="Times New Roman" w:eastAsia="宋体" w:cs="Times New Roman"/>
                      <w:color w:val="auto"/>
                      <w:kern w:val="2"/>
                      <w:sz w:val="18"/>
                      <w:szCs w:val="21"/>
                      <w:lang w:val="en-US" w:eastAsia="zh-CN" w:bidi="ar-SA"/>
                    </w:rPr>
                    <w:t>食堂油烟</w:t>
                  </w:r>
                </w:p>
              </w:tc>
              <w:tc>
                <w:tcPr>
                  <w:tcW w:w="1021" w:type="pct"/>
                  <w:tcBorders>
                    <w:tl2br w:val="nil"/>
                    <w:tr2bl w:val="nil"/>
                  </w:tcBorders>
                  <w:noWrap w:val="0"/>
                  <w:vAlign w:val="center"/>
                </w:tcPr>
                <w:p>
                  <w:pPr>
                    <w:jc w:val="center"/>
                    <w:rPr>
                      <w:rFonts w:hint="eastAsia" w:cs="Times New Roman"/>
                      <w:color w:val="auto"/>
                      <w:sz w:val="18"/>
                      <w:szCs w:val="18"/>
                      <w:lang w:eastAsia="zh-CN"/>
                    </w:rPr>
                  </w:pPr>
                  <w:r>
                    <w:rPr>
                      <w:rFonts w:hint="eastAsia" w:cs="Times New Roman"/>
                      <w:color w:val="auto"/>
                      <w:sz w:val="18"/>
                      <w:szCs w:val="18"/>
                      <w:lang w:val="en-US" w:eastAsia="zh-CN"/>
                    </w:rPr>
                    <w:t>/</w:t>
                  </w:r>
                </w:p>
              </w:tc>
              <w:tc>
                <w:tcPr>
                  <w:tcW w:w="897" w:type="pct"/>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经油烟净化装置处理后专用烟道排放</w:t>
                  </w:r>
                </w:p>
              </w:tc>
              <w:tc>
                <w:tcPr>
                  <w:tcW w:w="750" w:type="pct"/>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油烟净化装置+专用烟道排放</w:t>
                  </w:r>
                </w:p>
              </w:tc>
              <w:tc>
                <w:tcPr>
                  <w:tcW w:w="95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val="0"/>
                      <w:bCs w:val="0"/>
                      <w:color w:val="auto"/>
                      <w:kern w:val="0"/>
                      <w:sz w:val="18"/>
                      <w:szCs w:val="18"/>
                      <w:vertAlign w:val="baseline"/>
                      <w:lang w:val="en-US" w:eastAsia="zh-CN" w:bidi="ar"/>
                    </w:rPr>
                  </w:pPr>
                  <w:r>
                    <w:rPr>
                      <w:rFonts w:hint="eastAsia" w:cs="Times New Roman"/>
                      <w:b w:val="0"/>
                      <w:bCs w:val="0"/>
                      <w:color w:val="auto"/>
                      <w:kern w:val="0"/>
                      <w:sz w:val="18"/>
                      <w:szCs w:val="18"/>
                      <w:vertAlign w:val="baseline"/>
                      <w:lang w:val="en-US" w:eastAsia="zh-CN" w:bidi="ar"/>
                    </w:rPr>
                    <w:t>达标排放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0" w:hRule="atLeast"/>
              </w:trPr>
              <w:tc>
                <w:tcPr>
                  <w:tcW w:w="463"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lang w:eastAsia="zh-CN"/>
                    </w:rPr>
                  </w:pPr>
                </w:p>
              </w:tc>
              <w:tc>
                <w:tcPr>
                  <w:tcW w:w="912"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eastAsia="zh-CN"/>
                    </w:rPr>
                    <w:t>废水</w:t>
                  </w:r>
                </w:p>
              </w:tc>
              <w:tc>
                <w:tcPr>
                  <w:tcW w:w="102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lang w:eastAsia="zh-CN"/>
                    </w:rPr>
                  </w:pPr>
                  <w:r>
                    <w:rPr>
                      <w:rFonts w:hint="eastAsia" w:ascii="Times New Roman" w:hAnsi="Times New Roman" w:cs="Times New Roman"/>
                      <w:color w:val="auto"/>
                      <w:sz w:val="18"/>
                      <w:szCs w:val="18"/>
                      <w:lang w:eastAsia="zh-CN"/>
                    </w:rPr>
                    <w:t>化粪池、</w:t>
                  </w:r>
                  <w:r>
                    <w:rPr>
                      <w:rFonts w:hint="eastAsia" w:cs="Times New Roman"/>
                      <w:color w:val="auto"/>
                      <w:sz w:val="18"/>
                      <w:szCs w:val="18"/>
                      <w:lang w:eastAsia="zh-CN"/>
                    </w:rPr>
                    <w:t>沉淀池</w:t>
                  </w:r>
                </w:p>
              </w:tc>
              <w:tc>
                <w:tcPr>
                  <w:tcW w:w="89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eastAsia="zh-CN"/>
                    </w:rPr>
                    <w:t>化粪池、</w:t>
                  </w:r>
                  <w:r>
                    <w:rPr>
                      <w:rFonts w:hint="eastAsia" w:cs="Times New Roman"/>
                      <w:color w:val="auto"/>
                      <w:sz w:val="18"/>
                      <w:szCs w:val="18"/>
                      <w:lang w:eastAsia="zh-CN"/>
                    </w:rPr>
                    <w:t>沉淀池、隔油池</w:t>
                  </w:r>
                </w:p>
              </w:tc>
              <w:tc>
                <w:tcPr>
                  <w:tcW w:w="75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kern w:val="0"/>
                      <w:sz w:val="18"/>
                      <w:szCs w:val="18"/>
                      <w:vertAlign w:val="baseline"/>
                      <w:lang w:val="en-US" w:eastAsia="zh-CN" w:bidi="ar"/>
                    </w:rPr>
                  </w:pPr>
                  <w:r>
                    <w:rPr>
                      <w:rFonts w:hint="eastAsia" w:ascii="Times New Roman" w:hAnsi="Times New Roman" w:eastAsia="宋体" w:cs="Times New Roman"/>
                      <w:b w:val="0"/>
                      <w:bCs w:val="0"/>
                      <w:color w:val="auto"/>
                      <w:kern w:val="2"/>
                      <w:sz w:val="18"/>
                      <w:szCs w:val="18"/>
                      <w:highlight w:val="none"/>
                      <w:vertAlign w:val="baseline"/>
                      <w:lang w:val="en-US" w:eastAsia="zh-CN" w:bidi="ar"/>
                    </w:rPr>
                    <w:t>新增</w:t>
                  </w:r>
                </w:p>
              </w:tc>
              <w:tc>
                <w:tcPr>
                  <w:tcW w:w="95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cs="Times New Roman"/>
                      <w:b w:val="0"/>
                      <w:bCs w:val="0"/>
                      <w:color w:val="auto"/>
                      <w:kern w:val="0"/>
                      <w:sz w:val="18"/>
                      <w:szCs w:val="18"/>
                      <w:vertAlign w:val="baseline"/>
                      <w:lang w:val="en-US" w:eastAsia="zh-CN" w:bidi="ar"/>
                    </w:rPr>
                  </w:pPr>
                  <w:r>
                    <w:rPr>
                      <w:rFonts w:hint="eastAsia" w:ascii="Times New Roman" w:hAnsi="Times New Roman" w:eastAsia="宋体" w:cs="Times New Roman"/>
                      <w:color w:val="auto"/>
                      <w:sz w:val="18"/>
                      <w:szCs w:val="18"/>
                      <w:lang w:val="en-US" w:eastAsia="zh-CN"/>
                    </w:rPr>
                    <w:t>依托如皋市宏茂铸钢有限公司</w:t>
                  </w:r>
                  <w:r>
                    <w:rPr>
                      <w:rFonts w:hint="eastAsia" w:ascii="Times New Roman" w:hAnsi="Times New Roman" w:cs="Times New Roman"/>
                      <w:color w:val="auto"/>
                      <w:sz w:val="18"/>
                      <w:szCs w:val="18"/>
                      <w:lang w:eastAsia="zh-CN"/>
                    </w:rPr>
                    <w:t>化粪池、</w:t>
                  </w:r>
                  <w:r>
                    <w:rPr>
                      <w:rFonts w:hint="eastAsia" w:cs="Times New Roman"/>
                      <w:color w:val="auto"/>
                      <w:sz w:val="18"/>
                      <w:szCs w:val="18"/>
                      <w:lang w:eastAsia="zh-CN"/>
                    </w:rPr>
                    <w:t>隔油池、沉淀池</w:t>
                  </w:r>
                  <w:r>
                    <w:rPr>
                      <w:rFonts w:hint="eastAsia" w:ascii="Times New Roman" w:hAnsi="Times New Roman" w:eastAsia="宋体" w:cs="Times New Roman"/>
                      <w:color w:val="auto"/>
                      <w:sz w:val="18"/>
                      <w:szCs w:val="18"/>
                      <w:lang w:val="en-US" w:eastAsia="zh-CN"/>
                    </w:rPr>
                    <w:t>，</w:t>
                  </w:r>
                  <w:r>
                    <w:rPr>
                      <w:rFonts w:hint="eastAsia" w:ascii="Times New Roman" w:hAnsi="Times New Roman" w:eastAsia="宋体" w:cs="Times New Roman"/>
                      <w:b w:val="0"/>
                      <w:bCs w:val="0"/>
                      <w:color w:val="auto"/>
                      <w:kern w:val="0"/>
                      <w:sz w:val="18"/>
                      <w:szCs w:val="18"/>
                      <w:vertAlign w:val="baseline"/>
                      <w:lang w:val="en-US" w:eastAsia="zh-CN" w:bidi="ar"/>
                    </w:rPr>
                    <w:t>达如皋市富港水处理有限公司接管标准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463"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lang w:eastAsia="zh-CN"/>
                    </w:rPr>
                  </w:pPr>
                </w:p>
              </w:tc>
              <w:tc>
                <w:tcPr>
                  <w:tcW w:w="912"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eastAsia="zh-CN"/>
                    </w:rPr>
                    <w:t>噪声</w:t>
                  </w:r>
                </w:p>
              </w:tc>
              <w:tc>
                <w:tcPr>
                  <w:tcW w:w="102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kern w:val="0"/>
                      <w:sz w:val="18"/>
                      <w:szCs w:val="18"/>
                      <w:vertAlign w:val="baseline"/>
                      <w:lang w:val="en-US" w:eastAsia="zh-CN" w:bidi="ar"/>
                    </w:rPr>
                  </w:pPr>
                  <w:r>
                    <w:rPr>
                      <w:rFonts w:hint="default" w:ascii="Times New Roman" w:hAnsi="Times New Roman" w:eastAsia="宋体" w:cs="Times New Roman"/>
                      <w:color w:val="auto"/>
                      <w:kern w:val="0"/>
                      <w:sz w:val="18"/>
                      <w:szCs w:val="18"/>
                      <w:lang w:val="en-US" w:eastAsia="zh-CN" w:bidi="ar"/>
                    </w:rPr>
                    <w:t>基础减振、隔声等措</w:t>
                  </w:r>
                  <w:r>
                    <w:rPr>
                      <w:rFonts w:hint="eastAsia" w:ascii="Times New Roman" w:hAnsi="Times New Roman" w:eastAsia="宋体" w:cs="Times New Roman"/>
                      <w:color w:val="auto"/>
                      <w:kern w:val="0"/>
                      <w:sz w:val="18"/>
                      <w:szCs w:val="18"/>
                      <w:lang w:val="en-US" w:eastAsia="zh-CN" w:bidi="ar"/>
                    </w:rPr>
                    <w:t>施</w:t>
                  </w:r>
                </w:p>
              </w:tc>
              <w:tc>
                <w:tcPr>
                  <w:tcW w:w="89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kern w:val="0"/>
                      <w:sz w:val="18"/>
                      <w:szCs w:val="18"/>
                      <w:vertAlign w:val="baseline"/>
                      <w:lang w:val="en-US" w:eastAsia="zh-CN" w:bidi="ar"/>
                    </w:rPr>
                  </w:pPr>
                  <w:r>
                    <w:rPr>
                      <w:rFonts w:hint="default" w:ascii="Times New Roman" w:hAnsi="Times New Roman" w:eastAsia="宋体" w:cs="Times New Roman"/>
                      <w:color w:val="auto"/>
                      <w:kern w:val="0"/>
                      <w:sz w:val="18"/>
                      <w:szCs w:val="18"/>
                      <w:lang w:val="en-US" w:eastAsia="zh-CN" w:bidi="ar"/>
                    </w:rPr>
                    <w:t>基础减振</w:t>
                  </w:r>
                  <w:r>
                    <w:rPr>
                      <w:rFonts w:hint="eastAsia" w:cs="Times New Roman"/>
                      <w:color w:val="auto"/>
                      <w:kern w:val="0"/>
                      <w:sz w:val="18"/>
                      <w:szCs w:val="18"/>
                      <w:lang w:val="en-US" w:eastAsia="zh-CN" w:bidi="ar"/>
                    </w:rPr>
                    <w:t>、</w:t>
                  </w:r>
                  <w:r>
                    <w:rPr>
                      <w:rFonts w:hint="default" w:ascii="Times New Roman" w:hAnsi="Times New Roman" w:eastAsia="宋体" w:cs="Times New Roman"/>
                      <w:color w:val="auto"/>
                      <w:kern w:val="0"/>
                      <w:sz w:val="18"/>
                      <w:szCs w:val="18"/>
                      <w:lang w:val="en-US" w:eastAsia="zh-CN" w:bidi="ar"/>
                    </w:rPr>
                    <w:t>隔声等措</w:t>
                  </w:r>
                  <w:r>
                    <w:rPr>
                      <w:rFonts w:hint="eastAsia" w:ascii="Times New Roman" w:hAnsi="Times New Roman" w:eastAsia="宋体" w:cs="Times New Roman"/>
                      <w:color w:val="auto"/>
                      <w:kern w:val="0"/>
                      <w:sz w:val="18"/>
                      <w:szCs w:val="18"/>
                      <w:lang w:val="en-US" w:eastAsia="zh-CN" w:bidi="ar"/>
                    </w:rPr>
                    <w:t>施</w:t>
                  </w:r>
                </w:p>
              </w:tc>
              <w:tc>
                <w:tcPr>
                  <w:tcW w:w="75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kern w:val="0"/>
                      <w:sz w:val="18"/>
                      <w:szCs w:val="18"/>
                      <w:vertAlign w:val="baseline"/>
                      <w:lang w:val="en-US" w:eastAsia="zh-CN" w:bidi="ar"/>
                    </w:rPr>
                  </w:pPr>
                  <w:r>
                    <w:rPr>
                      <w:rFonts w:hint="eastAsia" w:ascii="Times New Roman" w:hAnsi="Times New Roman" w:eastAsia="宋体" w:cs="Times New Roman"/>
                      <w:b w:val="0"/>
                      <w:bCs w:val="0"/>
                      <w:color w:val="auto"/>
                      <w:kern w:val="2"/>
                      <w:sz w:val="18"/>
                      <w:szCs w:val="18"/>
                      <w:highlight w:val="none"/>
                      <w:vertAlign w:val="baseline"/>
                      <w:lang w:val="en-US" w:eastAsia="zh-CN" w:bidi="ar"/>
                    </w:rPr>
                    <w:t>新增</w:t>
                  </w:r>
                </w:p>
              </w:tc>
              <w:tc>
                <w:tcPr>
                  <w:tcW w:w="95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kern w:val="0"/>
                      <w:sz w:val="18"/>
                      <w:szCs w:val="18"/>
                      <w:vertAlign w:val="baseline"/>
                      <w:lang w:val="en-US" w:eastAsia="zh-CN" w:bidi="ar"/>
                    </w:rPr>
                  </w:pPr>
                  <w:r>
                    <w:rPr>
                      <w:rFonts w:hint="eastAsia" w:ascii="Times New Roman" w:hAnsi="Times New Roman" w:eastAsia="宋体" w:cs="Times New Roman"/>
                      <w:color w:val="auto"/>
                      <w:sz w:val="18"/>
                      <w:szCs w:val="18"/>
                      <w:highlight w:val="none"/>
                      <w:lang w:eastAsia="zh-CN" w:bidi="ar"/>
                    </w:rPr>
                    <w:t>厂界达标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3" w:hRule="atLeast"/>
              </w:trPr>
              <w:tc>
                <w:tcPr>
                  <w:tcW w:w="463"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lang w:eastAsia="zh-CN"/>
                    </w:rPr>
                  </w:pPr>
                </w:p>
              </w:tc>
              <w:tc>
                <w:tcPr>
                  <w:tcW w:w="912" w:type="pct"/>
                  <w:gridSpan w:val="2"/>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eastAsia="zh-CN"/>
                    </w:rPr>
                    <w:t>固废</w:t>
                  </w:r>
                </w:p>
              </w:tc>
              <w:tc>
                <w:tcPr>
                  <w:tcW w:w="102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kern w:val="0"/>
                      <w:sz w:val="18"/>
                      <w:szCs w:val="18"/>
                      <w:vertAlign w:val="baseline"/>
                      <w:lang w:val="en-US" w:eastAsia="zh-CN" w:bidi="ar"/>
                    </w:rPr>
                  </w:pPr>
                  <w:r>
                    <w:rPr>
                      <w:rFonts w:hint="default" w:ascii="Times New Roman" w:hAnsi="Times New Roman" w:cs="Times New Roman"/>
                      <w:b w:val="0"/>
                      <w:bCs w:val="0"/>
                      <w:color w:val="auto"/>
                      <w:kern w:val="0"/>
                      <w:sz w:val="18"/>
                      <w:szCs w:val="18"/>
                      <w:vertAlign w:val="baseline"/>
                      <w:lang w:val="en-US" w:eastAsia="zh-CN" w:bidi="ar"/>
                    </w:rPr>
                    <w:t>一般固废库建筑面积为</w:t>
                  </w:r>
                  <w:r>
                    <w:rPr>
                      <w:rFonts w:hint="eastAsia" w:cs="Times New Roman"/>
                      <w:b w:val="0"/>
                      <w:bCs w:val="0"/>
                      <w:color w:val="auto"/>
                      <w:kern w:val="0"/>
                      <w:sz w:val="18"/>
                      <w:szCs w:val="18"/>
                      <w:vertAlign w:val="baseline"/>
                      <w:lang w:val="en-US" w:eastAsia="zh-CN" w:bidi="ar"/>
                    </w:rPr>
                    <w:t>100</w:t>
                  </w:r>
                  <w:r>
                    <w:rPr>
                      <w:rFonts w:hint="default" w:ascii="Times New Roman" w:hAnsi="Times New Roman" w:cs="Times New Roman"/>
                      <w:b w:val="0"/>
                      <w:bCs w:val="0"/>
                      <w:color w:val="auto"/>
                      <w:kern w:val="0"/>
                      <w:sz w:val="18"/>
                      <w:szCs w:val="18"/>
                      <w:vertAlign w:val="baseline"/>
                      <w:lang w:val="en-US" w:eastAsia="zh-CN" w:bidi="ar"/>
                    </w:rPr>
                    <w:t>m</w:t>
                  </w:r>
                  <w:r>
                    <w:rPr>
                      <w:rFonts w:hint="default" w:ascii="Times New Roman" w:hAnsi="Times New Roman" w:cs="Times New Roman"/>
                      <w:b w:val="0"/>
                      <w:bCs w:val="0"/>
                      <w:color w:val="auto"/>
                      <w:kern w:val="0"/>
                      <w:sz w:val="18"/>
                      <w:szCs w:val="18"/>
                      <w:vertAlign w:val="superscript"/>
                      <w:lang w:val="en-US" w:eastAsia="zh-CN" w:bidi="ar"/>
                    </w:rPr>
                    <w:t>2</w:t>
                  </w:r>
                </w:p>
              </w:tc>
              <w:tc>
                <w:tcPr>
                  <w:tcW w:w="89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kern w:val="0"/>
                      <w:sz w:val="18"/>
                      <w:szCs w:val="18"/>
                      <w:vertAlign w:val="baseline"/>
                      <w:lang w:val="en-US" w:eastAsia="zh-CN" w:bidi="ar"/>
                    </w:rPr>
                  </w:pPr>
                  <w:r>
                    <w:rPr>
                      <w:rFonts w:hint="default" w:ascii="Times New Roman" w:hAnsi="Times New Roman" w:cs="Times New Roman"/>
                      <w:b w:val="0"/>
                      <w:bCs w:val="0"/>
                      <w:color w:val="auto"/>
                      <w:kern w:val="0"/>
                      <w:sz w:val="18"/>
                      <w:szCs w:val="18"/>
                      <w:vertAlign w:val="baseline"/>
                      <w:lang w:val="en-US" w:eastAsia="zh-CN" w:bidi="ar"/>
                    </w:rPr>
                    <w:t>一般固废库建筑面积为</w:t>
                  </w:r>
                  <w:r>
                    <w:rPr>
                      <w:rFonts w:hint="eastAsia" w:cs="Times New Roman"/>
                      <w:b w:val="0"/>
                      <w:bCs w:val="0"/>
                      <w:color w:val="auto"/>
                      <w:kern w:val="0"/>
                      <w:sz w:val="18"/>
                      <w:szCs w:val="18"/>
                      <w:vertAlign w:val="baseline"/>
                      <w:lang w:val="en-US" w:eastAsia="zh-CN" w:bidi="ar"/>
                    </w:rPr>
                    <w:t>10</w:t>
                  </w:r>
                  <w:r>
                    <w:rPr>
                      <w:rFonts w:hint="default" w:ascii="Times New Roman" w:hAnsi="Times New Roman" w:cs="Times New Roman"/>
                      <w:b w:val="0"/>
                      <w:bCs w:val="0"/>
                      <w:color w:val="auto"/>
                      <w:kern w:val="0"/>
                      <w:sz w:val="18"/>
                      <w:szCs w:val="18"/>
                      <w:vertAlign w:val="baseline"/>
                      <w:lang w:val="en-US" w:eastAsia="zh-CN" w:bidi="ar"/>
                    </w:rPr>
                    <w:t>0m</w:t>
                  </w:r>
                  <w:r>
                    <w:rPr>
                      <w:rFonts w:hint="default" w:ascii="Times New Roman" w:hAnsi="Times New Roman" w:cs="Times New Roman"/>
                      <w:b w:val="0"/>
                      <w:bCs w:val="0"/>
                      <w:color w:val="auto"/>
                      <w:kern w:val="0"/>
                      <w:sz w:val="18"/>
                      <w:szCs w:val="18"/>
                      <w:vertAlign w:val="superscript"/>
                      <w:lang w:val="en-US" w:eastAsia="zh-CN" w:bidi="ar"/>
                    </w:rPr>
                    <w:t>2</w:t>
                  </w:r>
                </w:p>
              </w:tc>
              <w:tc>
                <w:tcPr>
                  <w:tcW w:w="75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kern w:val="0"/>
                      <w:sz w:val="18"/>
                      <w:szCs w:val="18"/>
                      <w:vertAlign w:val="baseline"/>
                      <w:lang w:val="en-US" w:eastAsia="zh-CN" w:bidi="ar"/>
                    </w:rPr>
                  </w:pPr>
                  <w:r>
                    <w:rPr>
                      <w:rFonts w:hint="default" w:ascii="Times New Roman" w:hAnsi="Times New Roman" w:cs="Times New Roman"/>
                      <w:b w:val="0"/>
                      <w:bCs w:val="0"/>
                      <w:color w:val="auto"/>
                      <w:kern w:val="0"/>
                      <w:sz w:val="18"/>
                      <w:szCs w:val="18"/>
                      <w:vertAlign w:val="baseline"/>
                      <w:lang w:val="en-US" w:eastAsia="zh-CN" w:bidi="ar"/>
                    </w:rPr>
                    <w:t>不变</w:t>
                  </w:r>
                </w:p>
              </w:tc>
              <w:tc>
                <w:tcPr>
                  <w:tcW w:w="95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kern w:val="0"/>
                      <w:sz w:val="18"/>
                      <w:szCs w:val="18"/>
                      <w:vertAlign w:val="baseline"/>
                      <w:lang w:val="en-US" w:eastAsia="zh-CN" w:bidi="ar"/>
                    </w:rPr>
                  </w:pPr>
                  <w:r>
                    <w:rPr>
                      <w:rFonts w:hint="eastAsia" w:ascii="Times New Roman" w:hAnsi="Times New Roman" w:eastAsia="宋体" w:cs="Times New Roman"/>
                      <w:color w:val="auto"/>
                      <w:sz w:val="18"/>
                      <w:szCs w:val="18"/>
                      <w:lang w:val="en-US" w:eastAsia="zh-CN"/>
                    </w:rPr>
                    <w:t>依托现有</w:t>
                  </w:r>
                  <w:r>
                    <w:rPr>
                      <w:rFonts w:hint="eastAsia" w:ascii="Times New Roman" w:hAnsi="Times New Roman" w:eastAsia="宋体" w:cs="Times New Roman"/>
                      <w:color w:val="auto"/>
                      <w:sz w:val="18"/>
                      <w:szCs w:val="18"/>
                      <w:lang w:eastAsia="zh-CN"/>
                    </w:rPr>
                    <w:t>，满足本次</w:t>
                  </w:r>
                  <w:r>
                    <w:rPr>
                      <w:rFonts w:hint="eastAsia" w:cs="Times New Roman"/>
                      <w:color w:val="auto"/>
                      <w:sz w:val="18"/>
                      <w:szCs w:val="18"/>
                      <w:lang w:eastAsia="zh-CN"/>
                    </w:rPr>
                    <w:t>改扩建</w:t>
                  </w:r>
                  <w:r>
                    <w:rPr>
                      <w:rFonts w:hint="eastAsia" w:ascii="Times New Roman" w:hAnsi="Times New Roman" w:eastAsia="宋体" w:cs="Times New Roman"/>
                      <w:color w:val="auto"/>
                      <w:sz w:val="18"/>
                      <w:szCs w:val="18"/>
                      <w:lang w:eastAsia="zh-CN"/>
                    </w:rPr>
                    <w:t>需求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79" w:hRule="atLeast"/>
              </w:trPr>
              <w:tc>
                <w:tcPr>
                  <w:tcW w:w="463"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lang w:eastAsia="zh-CN"/>
                    </w:rPr>
                  </w:pPr>
                </w:p>
              </w:tc>
              <w:tc>
                <w:tcPr>
                  <w:tcW w:w="912" w:type="pct"/>
                  <w:gridSpan w:val="2"/>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lang w:eastAsia="zh-CN"/>
                    </w:rPr>
                  </w:pPr>
                </w:p>
              </w:tc>
              <w:tc>
                <w:tcPr>
                  <w:tcW w:w="102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kern w:val="0"/>
                      <w:sz w:val="18"/>
                      <w:szCs w:val="18"/>
                      <w:vertAlign w:val="baseline"/>
                      <w:lang w:val="en-US" w:eastAsia="zh-CN" w:bidi="ar"/>
                    </w:rPr>
                  </w:pPr>
                  <w:r>
                    <w:rPr>
                      <w:rFonts w:hint="default" w:ascii="Times New Roman" w:hAnsi="Times New Roman" w:cs="Times New Roman"/>
                      <w:b w:val="0"/>
                      <w:bCs w:val="0"/>
                      <w:color w:val="auto"/>
                      <w:kern w:val="0"/>
                      <w:sz w:val="18"/>
                      <w:szCs w:val="18"/>
                      <w:vertAlign w:val="baseline"/>
                      <w:lang w:val="en-US" w:eastAsia="zh-CN" w:bidi="ar"/>
                    </w:rPr>
                    <w:t>危废</w:t>
                  </w:r>
                  <w:r>
                    <w:rPr>
                      <w:rFonts w:hint="eastAsia" w:cs="Times New Roman"/>
                      <w:b w:val="0"/>
                      <w:bCs w:val="0"/>
                      <w:color w:val="auto"/>
                      <w:kern w:val="0"/>
                      <w:sz w:val="18"/>
                      <w:szCs w:val="18"/>
                      <w:vertAlign w:val="baseline"/>
                      <w:lang w:val="en-US" w:eastAsia="zh-CN" w:bidi="ar"/>
                    </w:rPr>
                    <w:t>仓库</w:t>
                  </w:r>
                  <w:r>
                    <w:rPr>
                      <w:rFonts w:hint="default" w:ascii="Times New Roman" w:hAnsi="Times New Roman" w:cs="Times New Roman"/>
                      <w:b w:val="0"/>
                      <w:bCs w:val="0"/>
                      <w:color w:val="auto"/>
                      <w:kern w:val="0"/>
                      <w:sz w:val="18"/>
                      <w:szCs w:val="18"/>
                      <w:vertAlign w:val="baseline"/>
                      <w:lang w:val="en-US" w:eastAsia="zh-CN" w:bidi="ar"/>
                    </w:rPr>
                    <w:t>建筑面积为</w:t>
                  </w:r>
                  <w:r>
                    <w:rPr>
                      <w:rFonts w:hint="eastAsia" w:cs="Times New Roman"/>
                      <w:b w:val="0"/>
                      <w:bCs w:val="0"/>
                      <w:color w:val="auto"/>
                      <w:kern w:val="0"/>
                      <w:sz w:val="18"/>
                      <w:szCs w:val="18"/>
                      <w:vertAlign w:val="baseline"/>
                      <w:lang w:val="en-US" w:eastAsia="zh-CN" w:bidi="ar"/>
                    </w:rPr>
                    <w:t>20</w:t>
                  </w:r>
                  <w:r>
                    <w:rPr>
                      <w:rFonts w:hint="default" w:ascii="Times New Roman" w:hAnsi="Times New Roman" w:cs="Times New Roman"/>
                      <w:b w:val="0"/>
                      <w:bCs w:val="0"/>
                      <w:color w:val="auto"/>
                      <w:kern w:val="0"/>
                      <w:sz w:val="18"/>
                      <w:szCs w:val="18"/>
                      <w:vertAlign w:val="baseline"/>
                      <w:lang w:val="en-US" w:eastAsia="zh-CN" w:bidi="ar"/>
                    </w:rPr>
                    <w:t>m</w:t>
                  </w:r>
                  <w:r>
                    <w:rPr>
                      <w:rFonts w:hint="default" w:ascii="Times New Roman" w:hAnsi="Times New Roman" w:cs="Times New Roman"/>
                      <w:b w:val="0"/>
                      <w:bCs w:val="0"/>
                      <w:color w:val="auto"/>
                      <w:kern w:val="0"/>
                      <w:sz w:val="18"/>
                      <w:szCs w:val="18"/>
                      <w:vertAlign w:val="superscript"/>
                      <w:lang w:val="en-US" w:eastAsia="zh-CN" w:bidi="ar"/>
                    </w:rPr>
                    <w:t>2</w:t>
                  </w:r>
                  <w:r>
                    <w:rPr>
                      <w:rFonts w:hint="default" w:ascii="Times New Roman" w:hAnsi="Times New Roman" w:cs="Times New Roman"/>
                      <w:b w:val="0"/>
                      <w:bCs w:val="0"/>
                      <w:color w:val="auto"/>
                      <w:kern w:val="0"/>
                      <w:sz w:val="18"/>
                      <w:szCs w:val="18"/>
                      <w:vertAlign w:val="baseline"/>
                      <w:lang w:val="en-US" w:eastAsia="zh-CN" w:bidi="ar"/>
                    </w:rPr>
                    <w:t>，存放危险废物，定期交由有资质单位处置</w:t>
                  </w:r>
                </w:p>
              </w:tc>
              <w:tc>
                <w:tcPr>
                  <w:tcW w:w="89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18"/>
                      <w:szCs w:val="18"/>
                      <w:vertAlign w:val="baseline"/>
                      <w:lang w:val="en-US" w:eastAsia="zh-CN" w:bidi="ar"/>
                    </w:rPr>
                  </w:pPr>
                  <w:r>
                    <w:rPr>
                      <w:rFonts w:hint="default" w:ascii="Times New Roman" w:hAnsi="Times New Roman" w:cs="Times New Roman"/>
                      <w:b w:val="0"/>
                      <w:bCs w:val="0"/>
                      <w:color w:val="auto"/>
                      <w:kern w:val="0"/>
                      <w:sz w:val="18"/>
                      <w:szCs w:val="18"/>
                      <w:vertAlign w:val="baseline"/>
                      <w:lang w:val="en-US" w:eastAsia="zh-CN" w:bidi="ar"/>
                    </w:rPr>
                    <w:t>危废</w:t>
                  </w:r>
                  <w:r>
                    <w:rPr>
                      <w:rFonts w:hint="eastAsia" w:cs="Times New Roman"/>
                      <w:b w:val="0"/>
                      <w:bCs w:val="0"/>
                      <w:color w:val="auto"/>
                      <w:kern w:val="0"/>
                      <w:sz w:val="18"/>
                      <w:szCs w:val="18"/>
                      <w:vertAlign w:val="baseline"/>
                      <w:lang w:val="en-US" w:eastAsia="zh-CN" w:bidi="ar"/>
                    </w:rPr>
                    <w:t>仓库</w:t>
                  </w:r>
                  <w:r>
                    <w:rPr>
                      <w:rFonts w:hint="default" w:ascii="Times New Roman" w:hAnsi="Times New Roman" w:cs="Times New Roman"/>
                      <w:b w:val="0"/>
                      <w:bCs w:val="0"/>
                      <w:color w:val="auto"/>
                      <w:kern w:val="0"/>
                      <w:sz w:val="18"/>
                      <w:szCs w:val="18"/>
                      <w:vertAlign w:val="baseline"/>
                      <w:lang w:val="en-US" w:eastAsia="zh-CN" w:bidi="ar"/>
                    </w:rPr>
                    <w:t>建筑面积为</w:t>
                  </w:r>
                  <w:r>
                    <w:rPr>
                      <w:rFonts w:hint="eastAsia" w:cs="Times New Roman"/>
                      <w:b w:val="0"/>
                      <w:bCs w:val="0"/>
                      <w:color w:val="auto"/>
                      <w:kern w:val="0"/>
                      <w:sz w:val="18"/>
                      <w:szCs w:val="18"/>
                      <w:vertAlign w:val="baseline"/>
                      <w:lang w:val="en-US" w:eastAsia="zh-CN" w:bidi="ar"/>
                    </w:rPr>
                    <w:t>2</w:t>
                  </w:r>
                  <w:r>
                    <w:rPr>
                      <w:rFonts w:hint="eastAsia" w:ascii="Times New Roman" w:hAnsi="Times New Roman" w:cs="Times New Roman"/>
                      <w:b w:val="0"/>
                      <w:bCs w:val="0"/>
                      <w:color w:val="auto"/>
                      <w:kern w:val="0"/>
                      <w:sz w:val="18"/>
                      <w:szCs w:val="18"/>
                      <w:vertAlign w:val="baseline"/>
                      <w:lang w:val="en-US" w:eastAsia="zh-CN" w:bidi="ar"/>
                    </w:rPr>
                    <w:t>0</w:t>
                  </w:r>
                  <w:r>
                    <w:rPr>
                      <w:rFonts w:hint="default" w:ascii="Times New Roman" w:hAnsi="Times New Roman" w:cs="Times New Roman"/>
                      <w:b w:val="0"/>
                      <w:bCs w:val="0"/>
                      <w:color w:val="auto"/>
                      <w:kern w:val="0"/>
                      <w:sz w:val="18"/>
                      <w:szCs w:val="18"/>
                      <w:vertAlign w:val="baseline"/>
                      <w:lang w:val="en-US" w:eastAsia="zh-CN" w:bidi="ar"/>
                    </w:rPr>
                    <w:t>m</w:t>
                  </w:r>
                  <w:r>
                    <w:rPr>
                      <w:rFonts w:hint="default" w:ascii="Times New Roman" w:hAnsi="Times New Roman" w:cs="Times New Roman"/>
                      <w:b w:val="0"/>
                      <w:bCs w:val="0"/>
                      <w:color w:val="auto"/>
                      <w:kern w:val="0"/>
                      <w:sz w:val="18"/>
                      <w:szCs w:val="18"/>
                      <w:vertAlign w:val="superscript"/>
                      <w:lang w:val="en-US" w:eastAsia="zh-CN" w:bidi="ar"/>
                    </w:rPr>
                    <w:t>2</w:t>
                  </w:r>
                  <w:r>
                    <w:rPr>
                      <w:rFonts w:hint="default" w:ascii="Times New Roman" w:hAnsi="Times New Roman" w:cs="Times New Roman"/>
                      <w:b w:val="0"/>
                      <w:bCs w:val="0"/>
                      <w:color w:val="auto"/>
                      <w:kern w:val="0"/>
                      <w:sz w:val="18"/>
                      <w:szCs w:val="18"/>
                      <w:vertAlign w:val="baseline"/>
                      <w:lang w:val="en-US" w:eastAsia="zh-CN" w:bidi="ar"/>
                    </w:rPr>
                    <w:t>，存放危险废物，定期交由有资质单位处置</w:t>
                  </w:r>
                </w:p>
              </w:tc>
              <w:tc>
                <w:tcPr>
                  <w:tcW w:w="75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kern w:val="0"/>
                      <w:sz w:val="18"/>
                      <w:szCs w:val="18"/>
                      <w:vertAlign w:val="baseline"/>
                      <w:lang w:val="en-US" w:eastAsia="zh-CN" w:bidi="ar"/>
                    </w:rPr>
                  </w:pPr>
                  <w:r>
                    <w:rPr>
                      <w:rFonts w:hint="default" w:ascii="Times New Roman" w:hAnsi="Times New Roman" w:cs="Times New Roman"/>
                      <w:b w:val="0"/>
                      <w:bCs w:val="0"/>
                      <w:color w:val="auto"/>
                      <w:kern w:val="0"/>
                      <w:sz w:val="18"/>
                      <w:szCs w:val="18"/>
                      <w:vertAlign w:val="baseline"/>
                      <w:lang w:val="en-US" w:eastAsia="zh-CN" w:bidi="ar"/>
                    </w:rPr>
                    <w:t>不变</w:t>
                  </w:r>
                </w:p>
              </w:tc>
              <w:tc>
                <w:tcPr>
                  <w:tcW w:w="95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kern w:val="0"/>
                      <w:sz w:val="18"/>
                      <w:szCs w:val="18"/>
                      <w:vertAlign w:val="baseline"/>
                      <w:lang w:val="en-US" w:eastAsia="zh-CN" w:bidi="ar"/>
                    </w:rPr>
                  </w:pPr>
                  <w:r>
                    <w:rPr>
                      <w:rFonts w:hint="eastAsia" w:ascii="Times New Roman" w:hAnsi="Times New Roman" w:eastAsia="宋体" w:cs="Times New Roman"/>
                      <w:color w:val="auto"/>
                      <w:sz w:val="18"/>
                      <w:szCs w:val="18"/>
                      <w:lang w:val="en-US" w:eastAsia="zh-CN"/>
                    </w:rPr>
                    <w:t>依托现有</w:t>
                  </w:r>
                  <w:r>
                    <w:rPr>
                      <w:rFonts w:hint="eastAsia" w:ascii="Times New Roman" w:hAnsi="Times New Roman" w:eastAsia="宋体" w:cs="Times New Roman"/>
                      <w:color w:val="auto"/>
                      <w:sz w:val="18"/>
                      <w:szCs w:val="18"/>
                      <w:lang w:eastAsia="zh-CN"/>
                    </w:rPr>
                    <w:t>，满足本次</w:t>
                  </w:r>
                  <w:r>
                    <w:rPr>
                      <w:rFonts w:hint="eastAsia" w:cs="Times New Roman"/>
                      <w:color w:val="auto"/>
                      <w:sz w:val="18"/>
                      <w:szCs w:val="18"/>
                      <w:lang w:eastAsia="zh-CN"/>
                    </w:rPr>
                    <w:t>改扩建</w:t>
                  </w:r>
                  <w:r>
                    <w:rPr>
                      <w:rFonts w:hint="eastAsia" w:ascii="Times New Roman" w:hAnsi="Times New Roman" w:eastAsia="宋体" w:cs="Times New Roman"/>
                      <w:color w:val="auto"/>
                      <w:sz w:val="18"/>
                      <w:szCs w:val="18"/>
                      <w:lang w:eastAsia="zh-CN"/>
                    </w:rPr>
                    <w:t>需求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63" w:hRule="atLeast"/>
              </w:trPr>
              <w:tc>
                <w:tcPr>
                  <w:tcW w:w="463"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lang w:eastAsia="zh-CN"/>
                    </w:rPr>
                  </w:pPr>
                </w:p>
              </w:tc>
              <w:tc>
                <w:tcPr>
                  <w:tcW w:w="912"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lang w:eastAsia="zh-CN"/>
                    </w:rPr>
                  </w:pPr>
                  <w:r>
                    <w:rPr>
                      <w:rFonts w:hint="eastAsia" w:cs="Times New Roman"/>
                      <w:color w:val="auto"/>
                      <w:sz w:val="18"/>
                      <w:szCs w:val="18"/>
                      <w:lang w:val="en-US" w:eastAsia="zh-CN"/>
                    </w:rPr>
                    <w:t>环境</w:t>
                  </w:r>
                  <w:r>
                    <w:rPr>
                      <w:rFonts w:hint="eastAsia" w:cs="Times New Roman"/>
                      <w:color w:val="auto"/>
                      <w:sz w:val="18"/>
                      <w:szCs w:val="18"/>
                      <w:lang w:eastAsia="zh-CN"/>
                    </w:rPr>
                    <w:t>风险</w:t>
                  </w:r>
                </w:p>
              </w:tc>
              <w:tc>
                <w:tcPr>
                  <w:tcW w:w="102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kern w:val="0"/>
                      <w:sz w:val="18"/>
                      <w:szCs w:val="18"/>
                      <w:vertAlign w:val="baseline"/>
                      <w:lang w:val="en-US" w:eastAsia="zh-CN" w:bidi="ar"/>
                    </w:rPr>
                  </w:pPr>
                  <w:r>
                    <w:rPr>
                      <w:rFonts w:hint="eastAsia"/>
                      <w:color w:val="auto"/>
                      <w:spacing w:val="-6"/>
                      <w:sz w:val="18"/>
                      <w:szCs w:val="21"/>
                      <w:lang w:val="en-US" w:eastAsia="zh-CN"/>
                    </w:rPr>
                    <w:t>事故应急池1座×1200m</w:t>
                  </w:r>
                  <w:r>
                    <w:rPr>
                      <w:rFonts w:hint="eastAsia"/>
                      <w:color w:val="auto"/>
                      <w:spacing w:val="-6"/>
                      <w:sz w:val="18"/>
                      <w:szCs w:val="21"/>
                      <w:vertAlign w:val="superscript"/>
                      <w:lang w:val="en-US" w:eastAsia="zh-CN"/>
                    </w:rPr>
                    <w:t>3</w:t>
                  </w:r>
                </w:p>
              </w:tc>
              <w:tc>
                <w:tcPr>
                  <w:tcW w:w="897" w:type="pct"/>
                  <w:tcBorders>
                    <w:tl2br w:val="nil"/>
                    <w:tr2bl w:val="nil"/>
                  </w:tcBorders>
                  <w:noWrap w:val="0"/>
                  <w:vAlign w:val="center"/>
                </w:tcPr>
                <w:p>
                  <w:pPr>
                    <w:jc w:val="center"/>
                    <w:rPr>
                      <w:rFonts w:hint="default" w:ascii="Times New Roman" w:hAnsi="Times New Roman" w:cs="Times New Roman"/>
                      <w:b w:val="0"/>
                      <w:bCs w:val="0"/>
                      <w:color w:val="auto"/>
                      <w:kern w:val="0"/>
                      <w:sz w:val="18"/>
                      <w:szCs w:val="18"/>
                      <w:vertAlign w:val="baseline"/>
                      <w:lang w:val="en-US" w:eastAsia="zh-CN" w:bidi="ar"/>
                    </w:rPr>
                  </w:pPr>
                  <w:r>
                    <w:rPr>
                      <w:rFonts w:hint="eastAsia"/>
                      <w:color w:val="auto"/>
                      <w:spacing w:val="-6"/>
                      <w:sz w:val="18"/>
                      <w:szCs w:val="21"/>
                      <w:lang w:val="en-US" w:eastAsia="zh-CN"/>
                    </w:rPr>
                    <w:t>事故应急池1座×1200m</w:t>
                  </w:r>
                  <w:r>
                    <w:rPr>
                      <w:rFonts w:hint="eastAsia"/>
                      <w:color w:val="auto"/>
                      <w:spacing w:val="-6"/>
                      <w:sz w:val="18"/>
                      <w:szCs w:val="21"/>
                      <w:vertAlign w:val="superscript"/>
                      <w:lang w:val="en-US" w:eastAsia="zh-CN"/>
                    </w:rPr>
                    <w:t>3</w:t>
                  </w:r>
                </w:p>
              </w:tc>
              <w:tc>
                <w:tcPr>
                  <w:tcW w:w="750" w:type="pct"/>
                  <w:tcBorders>
                    <w:tl2br w:val="nil"/>
                    <w:tr2bl w:val="nil"/>
                  </w:tcBorders>
                  <w:noWrap w:val="0"/>
                  <w:vAlign w:val="center"/>
                </w:tcPr>
                <w:p>
                  <w:pPr>
                    <w:jc w:val="center"/>
                    <w:rPr>
                      <w:rFonts w:hint="default" w:ascii="Times New Roman" w:hAnsi="Times New Roman" w:cs="Times New Roman"/>
                      <w:b w:val="0"/>
                      <w:bCs w:val="0"/>
                      <w:color w:val="auto"/>
                      <w:kern w:val="0"/>
                      <w:sz w:val="18"/>
                      <w:szCs w:val="18"/>
                      <w:vertAlign w:val="baseline"/>
                      <w:lang w:val="en-US" w:eastAsia="zh-CN" w:bidi="ar"/>
                    </w:rPr>
                  </w:pPr>
                  <w:r>
                    <w:rPr>
                      <w:rFonts w:hint="default" w:ascii="Times New Roman" w:hAnsi="Times New Roman" w:cs="Times New Roman"/>
                      <w:b w:val="0"/>
                      <w:bCs w:val="0"/>
                      <w:color w:val="auto"/>
                      <w:kern w:val="0"/>
                      <w:sz w:val="18"/>
                      <w:szCs w:val="18"/>
                      <w:vertAlign w:val="baseline"/>
                      <w:lang w:val="en-US" w:eastAsia="zh-CN" w:bidi="ar"/>
                    </w:rPr>
                    <w:t>不变</w:t>
                  </w:r>
                </w:p>
              </w:tc>
              <w:tc>
                <w:tcPr>
                  <w:tcW w:w="955" w:type="pct"/>
                  <w:tcBorders>
                    <w:tl2br w:val="nil"/>
                    <w:tr2bl w:val="nil"/>
                  </w:tcBorders>
                  <w:noWrap w:val="0"/>
                  <w:vAlign w:val="center"/>
                </w:tcPr>
                <w:p>
                  <w:pPr>
                    <w:jc w:val="center"/>
                    <w:rPr>
                      <w:rFonts w:hint="default" w:ascii="Times New Roman" w:hAnsi="Times New Roman" w:cs="Times New Roman"/>
                      <w:b w:val="0"/>
                      <w:bCs w:val="0"/>
                      <w:color w:val="auto"/>
                      <w:kern w:val="0"/>
                      <w:sz w:val="18"/>
                      <w:szCs w:val="18"/>
                      <w:vertAlign w:val="baseline"/>
                      <w:lang w:val="en-US" w:eastAsia="zh-CN" w:bidi="ar"/>
                    </w:rPr>
                  </w:pPr>
                  <w:r>
                    <w:rPr>
                      <w:rFonts w:hint="eastAsia" w:ascii="Times New Roman" w:hAnsi="Times New Roman" w:eastAsia="宋体" w:cs="Times New Roman"/>
                      <w:color w:val="auto"/>
                      <w:sz w:val="18"/>
                      <w:szCs w:val="18"/>
                      <w:lang w:val="en-US" w:eastAsia="zh-CN"/>
                    </w:rPr>
                    <w:t>依托如皋市宏茂铸钢有限公司</w:t>
                  </w:r>
                </w:p>
              </w:tc>
            </w:tr>
          </w:tbl>
          <w:p>
            <w:pPr>
              <w:adjustRightInd w:val="0"/>
              <w:snapToGrid w:val="0"/>
              <w:spacing w:line="500" w:lineRule="exact"/>
              <w:ind w:firstLine="420" w:firstLineChars="200"/>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eastAsia="zh-CN"/>
              </w:rPr>
              <w:t>依托可行性分析：</w:t>
            </w:r>
          </w:p>
          <w:p>
            <w:pPr>
              <w:adjustRightInd w:val="0"/>
              <w:snapToGrid w:val="0"/>
              <w:spacing w:line="500" w:lineRule="exact"/>
              <w:ind w:firstLine="420" w:firstLineChars="200"/>
              <w:rPr>
                <w:rFonts w:hint="eastAsia" w:ascii="Times New Roman" w:hAnsi="Times New Roman" w:eastAsia="宋体" w:cs="Times New Roman"/>
                <w:bCs/>
                <w:color w:val="auto"/>
                <w:szCs w:val="21"/>
                <w:highlight w:val="none"/>
                <w:lang w:eastAsia="zh-CN"/>
              </w:rPr>
            </w:pPr>
            <w:r>
              <w:rPr>
                <w:rFonts w:hint="eastAsia" w:ascii="Times New Roman" w:hAnsi="Times New Roman" w:eastAsia="宋体" w:cs="Times New Roman"/>
                <w:bCs/>
                <w:color w:val="auto"/>
                <w:szCs w:val="21"/>
                <w:highlight w:val="none"/>
                <w:lang w:eastAsia="zh-CN"/>
              </w:rPr>
              <w:t>本项目依托</w:t>
            </w:r>
            <w:r>
              <w:rPr>
                <w:rFonts w:hint="eastAsia" w:ascii="Times New Roman" w:hAnsi="Times New Roman" w:eastAsia="宋体" w:cs="Times New Roman"/>
                <w:bCs/>
                <w:color w:val="auto"/>
                <w:szCs w:val="21"/>
                <w:highlight w:val="none"/>
                <w:lang w:val="en-US" w:eastAsia="zh-CN"/>
              </w:rPr>
              <w:t>如皋市宏茂铸钢有限公司厂区内</w:t>
            </w:r>
            <w:r>
              <w:rPr>
                <w:rFonts w:hint="eastAsia" w:ascii="Times New Roman" w:hAnsi="Times New Roman" w:eastAsia="宋体" w:cs="Times New Roman"/>
                <w:bCs/>
                <w:color w:val="auto"/>
                <w:szCs w:val="21"/>
                <w:highlight w:val="none"/>
                <w:lang w:eastAsia="zh-CN"/>
              </w:rPr>
              <w:t>化粪池处理能力为</w:t>
            </w:r>
            <w:r>
              <w:rPr>
                <w:rFonts w:hint="eastAsia" w:cs="Times New Roman"/>
                <w:i w:val="0"/>
                <w:iCs w:val="0"/>
                <w:caps w:val="0"/>
                <w:color w:val="auto"/>
                <w:spacing w:val="0"/>
                <w:sz w:val="21"/>
                <w:szCs w:val="21"/>
                <w:shd w:val="clear" w:color="auto" w:fill="FFFFFF"/>
                <w:lang w:val="en-US" w:eastAsia="zh-CN"/>
              </w:rPr>
              <w:t>3</w:t>
            </w:r>
            <w:r>
              <w:rPr>
                <w:rFonts w:hint="default" w:ascii="Times New Roman" w:hAnsi="Times New Roman" w:eastAsia="Arial" w:cs="Times New Roman"/>
                <w:i w:val="0"/>
                <w:iCs w:val="0"/>
                <w:caps w:val="0"/>
                <w:color w:val="auto"/>
                <w:spacing w:val="0"/>
                <w:sz w:val="21"/>
                <w:szCs w:val="21"/>
                <w:shd w:val="clear" w:color="auto" w:fill="FFFFFF"/>
              </w:rPr>
              <w:t>m³/h</w:t>
            </w:r>
            <w:r>
              <w:rPr>
                <w:rFonts w:hint="eastAsia" w:ascii="Times New Roman" w:hAnsi="Times New Roman" w:eastAsia="宋体" w:cs="Times New Roman"/>
                <w:bCs/>
                <w:color w:val="auto"/>
                <w:szCs w:val="21"/>
                <w:highlight w:val="none"/>
                <w:lang w:eastAsia="zh-CN"/>
              </w:rPr>
              <w:t>，</w:t>
            </w:r>
            <w:r>
              <w:rPr>
                <w:rFonts w:hint="eastAsia" w:ascii="Times New Roman" w:hAnsi="Times New Roman" w:eastAsia="宋体" w:cs="Times New Roman"/>
                <w:bCs/>
                <w:color w:val="auto"/>
                <w:szCs w:val="21"/>
                <w:highlight w:val="none"/>
                <w:lang w:val="en-US" w:eastAsia="zh-CN"/>
              </w:rPr>
              <w:t>如皋市宏茂铸钢有限公司</w:t>
            </w:r>
            <w:r>
              <w:rPr>
                <w:rFonts w:hint="eastAsia" w:cs="Times New Roman"/>
                <w:bCs/>
                <w:color w:val="auto"/>
                <w:szCs w:val="21"/>
                <w:highlight w:val="none"/>
                <w:lang w:val="en-US" w:eastAsia="zh-CN"/>
              </w:rPr>
              <w:t>（生活污水产生量9470t/a）</w:t>
            </w:r>
            <w:r>
              <w:rPr>
                <w:rFonts w:hint="eastAsia" w:ascii="Times New Roman" w:hAnsi="Times New Roman" w:eastAsia="宋体" w:cs="Times New Roman"/>
                <w:bCs/>
                <w:color w:val="auto"/>
                <w:szCs w:val="21"/>
                <w:highlight w:val="none"/>
                <w:lang w:eastAsia="zh-CN"/>
              </w:rPr>
              <w:t>已使用约</w:t>
            </w:r>
            <w:r>
              <w:rPr>
                <w:rFonts w:hint="eastAsia" w:cs="Times New Roman"/>
                <w:i w:val="0"/>
                <w:iCs w:val="0"/>
                <w:caps w:val="0"/>
                <w:color w:val="auto"/>
                <w:spacing w:val="0"/>
                <w:sz w:val="21"/>
                <w:szCs w:val="21"/>
                <w:shd w:val="clear" w:color="auto" w:fill="FFFFFF"/>
                <w:lang w:val="en-US" w:eastAsia="zh-CN"/>
              </w:rPr>
              <w:t>1.32</w:t>
            </w:r>
            <w:r>
              <w:rPr>
                <w:rFonts w:hint="default" w:ascii="Times New Roman" w:hAnsi="Times New Roman" w:eastAsia="Arial" w:cs="Times New Roman"/>
                <w:i w:val="0"/>
                <w:iCs w:val="0"/>
                <w:caps w:val="0"/>
                <w:color w:val="auto"/>
                <w:spacing w:val="0"/>
                <w:sz w:val="21"/>
                <w:szCs w:val="21"/>
                <w:shd w:val="clear" w:color="auto" w:fill="FFFFFF"/>
              </w:rPr>
              <w:t>m³/h</w:t>
            </w:r>
            <w:r>
              <w:rPr>
                <w:rFonts w:hint="eastAsia" w:ascii="Times New Roman" w:hAnsi="Times New Roman" w:eastAsia="宋体" w:cs="Times New Roman"/>
                <w:bCs/>
                <w:color w:val="auto"/>
                <w:szCs w:val="21"/>
                <w:highlight w:val="none"/>
                <w:lang w:eastAsia="zh-CN"/>
              </w:rPr>
              <w:t>，</w:t>
            </w:r>
            <w:r>
              <w:rPr>
                <w:rFonts w:hint="default" w:ascii="Times New Roman" w:hAnsi="Times New Roman" w:eastAsia="Arial" w:cs="Times New Roman"/>
                <w:i w:val="0"/>
                <w:iCs w:val="0"/>
                <w:caps w:val="0"/>
                <w:color w:val="auto"/>
                <w:spacing w:val="0"/>
                <w:sz w:val="21"/>
                <w:szCs w:val="21"/>
                <w:shd w:val="clear" w:color="auto" w:fill="FFFFFF"/>
              </w:rPr>
              <w:t>剩余处理量</w:t>
            </w:r>
            <w:r>
              <w:rPr>
                <w:rFonts w:hint="eastAsia" w:eastAsia="宋体" w:cs="Times New Roman"/>
                <w:i w:val="0"/>
                <w:iCs w:val="0"/>
                <w:caps w:val="0"/>
                <w:color w:val="auto"/>
                <w:spacing w:val="0"/>
                <w:sz w:val="21"/>
                <w:szCs w:val="21"/>
                <w:shd w:val="clear" w:color="auto" w:fill="FFFFFF"/>
                <w:lang w:val="en-US" w:eastAsia="zh-CN"/>
              </w:rPr>
              <w:t>1.68</w:t>
            </w:r>
            <w:r>
              <w:rPr>
                <w:rFonts w:hint="default" w:ascii="Times New Roman" w:hAnsi="Times New Roman" w:eastAsia="Arial" w:cs="Times New Roman"/>
                <w:i w:val="0"/>
                <w:iCs w:val="0"/>
                <w:caps w:val="0"/>
                <w:color w:val="auto"/>
                <w:spacing w:val="0"/>
                <w:sz w:val="21"/>
                <w:szCs w:val="21"/>
                <w:shd w:val="clear" w:color="auto" w:fill="FFFFFF"/>
              </w:rPr>
              <w:t>m³/h</w:t>
            </w:r>
            <w:r>
              <w:rPr>
                <w:rFonts w:hint="eastAsia" w:ascii="Times New Roman" w:hAnsi="Times New Roman" w:eastAsia="宋体" w:cs="Times New Roman"/>
                <w:i w:val="0"/>
                <w:iCs w:val="0"/>
                <w:caps w:val="0"/>
                <w:color w:val="auto"/>
                <w:spacing w:val="0"/>
                <w:sz w:val="21"/>
                <w:szCs w:val="21"/>
                <w:shd w:val="clear" w:color="auto" w:fill="FFFFFF"/>
                <w:lang w:eastAsia="zh-CN"/>
              </w:rPr>
              <w:t>，</w:t>
            </w:r>
            <w:r>
              <w:rPr>
                <w:rFonts w:hint="eastAsia"/>
                <w:color w:val="auto"/>
                <w:lang w:val="en-US" w:eastAsia="zh-CN"/>
              </w:rPr>
              <w:t>本次改扩建项目建成后全厂需要用</w:t>
            </w:r>
            <w:r>
              <w:rPr>
                <w:rFonts w:hint="eastAsia" w:eastAsia="宋体" w:cs="Times New Roman"/>
                <w:i w:val="0"/>
                <w:iCs w:val="0"/>
                <w:caps w:val="0"/>
                <w:color w:val="auto"/>
                <w:spacing w:val="0"/>
                <w:sz w:val="21"/>
                <w:szCs w:val="21"/>
                <w:shd w:val="clear" w:color="auto" w:fill="FFFFFF"/>
                <w:lang w:val="en-US" w:eastAsia="zh-CN"/>
              </w:rPr>
              <w:t>0.79</w:t>
            </w:r>
            <w:r>
              <w:rPr>
                <w:rFonts w:hint="default" w:ascii="Times New Roman" w:hAnsi="Times New Roman" w:eastAsia="Arial" w:cs="Times New Roman"/>
                <w:i w:val="0"/>
                <w:iCs w:val="0"/>
                <w:caps w:val="0"/>
                <w:color w:val="auto"/>
                <w:spacing w:val="0"/>
                <w:sz w:val="21"/>
                <w:szCs w:val="21"/>
                <w:shd w:val="clear" w:color="auto" w:fill="FFFFFF"/>
              </w:rPr>
              <w:t>m³/h</w:t>
            </w:r>
            <w:r>
              <w:rPr>
                <w:rFonts w:hint="eastAsia" w:eastAsia="宋体" w:cs="Times New Roman"/>
                <w:i w:val="0"/>
                <w:iCs w:val="0"/>
                <w:caps w:val="0"/>
                <w:color w:val="auto"/>
                <w:spacing w:val="0"/>
                <w:sz w:val="21"/>
                <w:szCs w:val="21"/>
                <w:shd w:val="clear" w:color="auto" w:fill="FFFFFF"/>
                <w:lang w:eastAsia="zh-CN"/>
              </w:rPr>
              <w:t>（</w:t>
            </w:r>
            <w:r>
              <w:rPr>
                <w:rFonts w:hint="eastAsia" w:eastAsia="宋体" w:cs="Times New Roman"/>
                <w:i w:val="0"/>
                <w:iCs w:val="0"/>
                <w:caps w:val="0"/>
                <w:color w:val="auto"/>
                <w:spacing w:val="0"/>
                <w:sz w:val="21"/>
                <w:szCs w:val="21"/>
                <w:shd w:val="clear" w:color="auto" w:fill="FFFFFF"/>
                <w:lang w:val="en-US" w:eastAsia="zh-CN"/>
              </w:rPr>
              <w:t>生活污水</w:t>
            </w:r>
            <w:r>
              <w:rPr>
                <w:rFonts w:hint="eastAsia" w:cs="Times New Roman"/>
                <w:i w:val="0"/>
                <w:iCs w:val="0"/>
                <w:caps w:val="0"/>
                <w:color w:val="auto"/>
                <w:spacing w:val="0"/>
                <w:sz w:val="21"/>
                <w:szCs w:val="21"/>
                <w:shd w:val="clear" w:color="auto" w:fill="FFFFFF"/>
                <w:lang w:val="en-US" w:eastAsia="zh-CN"/>
              </w:rPr>
              <w:t>5760</w:t>
            </w:r>
            <w:r>
              <w:rPr>
                <w:rFonts w:hint="eastAsia" w:eastAsia="宋体" w:cs="Times New Roman"/>
                <w:i w:val="0"/>
                <w:iCs w:val="0"/>
                <w:caps w:val="0"/>
                <w:color w:val="auto"/>
                <w:spacing w:val="0"/>
                <w:sz w:val="21"/>
                <w:szCs w:val="21"/>
                <w:shd w:val="clear" w:color="auto" w:fill="FFFFFF"/>
                <w:lang w:val="en-US" w:eastAsia="zh-CN"/>
              </w:rPr>
              <w:t>t/a</w:t>
            </w:r>
            <w:r>
              <w:rPr>
                <w:rFonts w:hint="eastAsia" w:eastAsia="宋体" w:cs="Times New Roman"/>
                <w:i w:val="0"/>
                <w:iCs w:val="0"/>
                <w:caps w:val="0"/>
                <w:color w:val="auto"/>
                <w:spacing w:val="0"/>
                <w:sz w:val="21"/>
                <w:szCs w:val="21"/>
                <w:shd w:val="clear" w:color="auto" w:fill="FFFFFF"/>
                <w:lang w:eastAsia="zh-CN"/>
              </w:rPr>
              <w:t>）</w:t>
            </w:r>
            <w:r>
              <w:rPr>
                <w:rFonts w:hint="eastAsia" w:ascii="Times New Roman" w:hAnsi="Times New Roman" w:eastAsia="宋体" w:cs="Times New Roman"/>
                <w:bCs/>
                <w:color w:val="auto"/>
                <w:szCs w:val="21"/>
                <w:highlight w:val="none"/>
                <w:lang w:eastAsia="zh-CN"/>
              </w:rPr>
              <w:t>，未超出化粪池处理能力，因此依托可行。</w:t>
            </w:r>
          </w:p>
          <w:p>
            <w:pPr>
              <w:adjustRightInd w:val="0"/>
              <w:snapToGrid w:val="0"/>
              <w:spacing w:line="500" w:lineRule="exact"/>
              <w:ind w:firstLine="420" w:firstLineChars="200"/>
              <w:rPr>
                <w:rFonts w:hint="eastAsia" w:ascii="Times New Roman" w:hAnsi="Times New Roman" w:eastAsia="宋体" w:cs="Times New Roman"/>
                <w:bCs/>
                <w:color w:val="auto"/>
                <w:szCs w:val="21"/>
                <w:highlight w:val="none"/>
                <w:lang w:eastAsia="zh-CN"/>
              </w:rPr>
            </w:pPr>
            <w:r>
              <w:rPr>
                <w:rFonts w:hint="eastAsia" w:ascii="Times New Roman" w:hAnsi="Times New Roman" w:eastAsia="宋体" w:cs="Times New Roman"/>
                <w:bCs/>
                <w:color w:val="auto"/>
                <w:szCs w:val="21"/>
                <w:highlight w:val="none"/>
                <w:lang w:eastAsia="zh-CN"/>
              </w:rPr>
              <w:t>本项目依托</w:t>
            </w:r>
            <w:r>
              <w:rPr>
                <w:rFonts w:hint="eastAsia" w:ascii="Times New Roman" w:hAnsi="Times New Roman" w:eastAsia="宋体" w:cs="Times New Roman"/>
                <w:bCs/>
                <w:color w:val="auto"/>
                <w:szCs w:val="21"/>
                <w:highlight w:val="none"/>
                <w:lang w:val="en-US" w:eastAsia="zh-CN"/>
              </w:rPr>
              <w:t>如皋市宏茂铸钢有限公司厂区内</w:t>
            </w:r>
            <w:r>
              <w:rPr>
                <w:rFonts w:hint="eastAsia" w:ascii="Times New Roman" w:hAnsi="Times New Roman" w:eastAsia="宋体" w:cs="Times New Roman"/>
                <w:bCs/>
                <w:color w:val="auto"/>
                <w:szCs w:val="21"/>
                <w:highlight w:val="none"/>
                <w:lang w:eastAsia="zh-CN"/>
              </w:rPr>
              <w:t>隔油池处理能力为</w:t>
            </w:r>
            <w:r>
              <w:rPr>
                <w:rFonts w:hint="eastAsia" w:cs="Times New Roman"/>
                <w:i w:val="0"/>
                <w:iCs w:val="0"/>
                <w:caps w:val="0"/>
                <w:color w:val="auto"/>
                <w:spacing w:val="0"/>
                <w:sz w:val="21"/>
                <w:szCs w:val="21"/>
                <w:shd w:val="clear" w:color="auto" w:fill="FFFFFF"/>
                <w:lang w:val="en-US" w:eastAsia="zh-CN"/>
              </w:rPr>
              <w:t>0.5</w:t>
            </w:r>
            <w:r>
              <w:rPr>
                <w:rFonts w:hint="default" w:ascii="Times New Roman" w:hAnsi="Times New Roman" w:eastAsia="Arial" w:cs="Times New Roman"/>
                <w:i w:val="0"/>
                <w:iCs w:val="0"/>
                <w:caps w:val="0"/>
                <w:color w:val="auto"/>
                <w:spacing w:val="0"/>
                <w:sz w:val="21"/>
                <w:szCs w:val="21"/>
                <w:shd w:val="clear" w:color="auto" w:fill="FFFFFF"/>
              </w:rPr>
              <w:t>m³/h</w:t>
            </w:r>
            <w:r>
              <w:rPr>
                <w:rFonts w:hint="eastAsia" w:ascii="Times New Roman" w:hAnsi="Times New Roman" w:eastAsia="宋体" w:cs="Times New Roman"/>
                <w:bCs/>
                <w:color w:val="auto"/>
                <w:szCs w:val="21"/>
                <w:highlight w:val="none"/>
                <w:lang w:eastAsia="zh-CN"/>
              </w:rPr>
              <w:t>，</w:t>
            </w:r>
            <w:r>
              <w:rPr>
                <w:rFonts w:hint="eastAsia" w:ascii="Times New Roman" w:hAnsi="Times New Roman" w:eastAsia="宋体" w:cs="Times New Roman"/>
                <w:bCs/>
                <w:color w:val="auto"/>
                <w:szCs w:val="21"/>
                <w:highlight w:val="none"/>
                <w:lang w:val="en-US" w:eastAsia="zh-CN"/>
              </w:rPr>
              <w:t>如皋市宏茂铸钢有限公司</w:t>
            </w:r>
            <w:r>
              <w:rPr>
                <w:rFonts w:hint="eastAsia" w:ascii="Times New Roman" w:hAnsi="Times New Roman" w:eastAsia="宋体" w:cs="Times New Roman"/>
                <w:bCs/>
                <w:color w:val="auto"/>
                <w:szCs w:val="21"/>
                <w:highlight w:val="none"/>
                <w:lang w:eastAsia="zh-CN"/>
              </w:rPr>
              <w:t>已使用约</w:t>
            </w:r>
            <w:r>
              <w:rPr>
                <w:rFonts w:hint="eastAsia" w:cs="Times New Roman"/>
                <w:i w:val="0"/>
                <w:iCs w:val="0"/>
                <w:caps w:val="0"/>
                <w:color w:val="auto"/>
                <w:spacing w:val="0"/>
                <w:sz w:val="21"/>
                <w:szCs w:val="21"/>
                <w:shd w:val="clear" w:color="auto" w:fill="FFFFFF"/>
                <w:lang w:val="en-US" w:eastAsia="zh-CN"/>
              </w:rPr>
              <w:t>0.04</w:t>
            </w:r>
            <w:r>
              <w:rPr>
                <w:rFonts w:hint="default" w:ascii="Times New Roman" w:hAnsi="Times New Roman" w:eastAsia="Arial" w:cs="Times New Roman"/>
                <w:i w:val="0"/>
                <w:iCs w:val="0"/>
                <w:caps w:val="0"/>
                <w:color w:val="auto"/>
                <w:spacing w:val="0"/>
                <w:sz w:val="21"/>
                <w:szCs w:val="21"/>
                <w:shd w:val="clear" w:color="auto" w:fill="FFFFFF"/>
              </w:rPr>
              <w:t>m³/h</w:t>
            </w:r>
            <w:r>
              <w:rPr>
                <w:rFonts w:hint="eastAsia" w:eastAsia="宋体" w:cs="Times New Roman"/>
                <w:i w:val="0"/>
                <w:iCs w:val="0"/>
                <w:caps w:val="0"/>
                <w:color w:val="auto"/>
                <w:spacing w:val="0"/>
                <w:sz w:val="21"/>
                <w:szCs w:val="21"/>
                <w:shd w:val="clear" w:color="auto" w:fill="FFFFFF"/>
                <w:lang w:eastAsia="zh-CN"/>
              </w:rPr>
              <w:t>（</w:t>
            </w:r>
            <w:r>
              <w:rPr>
                <w:rFonts w:hint="eastAsia" w:eastAsia="宋体" w:cs="Times New Roman"/>
                <w:i w:val="0"/>
                <w:iCs w:val="0"/>
                <w:caps w:val="0"/>
                <w:color w:val="auto"/>
                <w:spacing w:val="0"/>
                <w:sz w:val="21"/>
                <w:szCs w:val="21"/>
                <w:shd w:val="clear" w:color="auto" w:fill="FFFFFF"/>
                <w:lang w:val="en-US" w:eastAsia="zh-CN"/>
              </w:rPr>
              <w:t>食堂废水</w:t>
            </w:r>
            <w:r>
              <w:rPr>
                <w:rFonts w:hint="eastAsia" w:cs="Times New Roman"/>
                <w:i w:val="0"/>
                <w:iCs w:val="0"/>
                <w:caps w:val="0"/>
                <w:color w:val="auto"/>
                <w:spacing w:val="0"/>
                <w:sz w:val="21"/>
                <w:szCs w:val="21"/>
                <w:shd w:val="clear" w:color="auto" w:fill="FFFFFF"/>
                <w:lang w:val="en-US" w:eastAsia="zh-CN"/>
              </w:rPr>
              <w:t>316.8</w:t>
            </w:r>
            <w:r>
              <w:rPr>
                <w:rFonts w:hint="eastAsia" w:eastAsia="宋体" w:cs="Times New Roman"/>
                <w:i w:val="0"/>
                <w:iCs w:val="0"/>
                <w:caps w:val="0"/>
                <w:color w:val="auto"/>
                <w:spacing w:val="0"/>
                <w:sz w:val="21"/>
                <w:szCs w:val="21"/>
                <w:shd w:val="clear" w:color="auto" w:fill="FFFFFF"/>
                <w:lang w:val="en-US" w:eastAsia="zh-CN"/>
              </w:rPr>
              <w:t>t/a</w:t>
            </w:r>
            <w:r>
              <w:rPr>
                <w:rFonts w:hint="eastAsia" w:eastAsia="宋体" w:cs="Times New Roman"/>
                <w:i w:val="0"/>
                <w:iCs w:val="0"/>
                <w:caps w:val="0"/>
                <w:color w:val="auto"/>
                <w:spacing w:val="0"/>
                <w:sz w:val="21"/>
                <w:szCs w:val="21"/>
                <w:shd w:val="clear" w:color="auto" w:fill="FFFFFF"/>
                <w:lang w:eastAsia="zh-CN"/>
              </w:rPr>
              <w:t>）</w:t>
            </w:r>
            <w:r>
              <w:rPr>
                <w:rFonts w:hint="eastAsia" w:ascii="Times New Roman" w:hAnsi="Times New Roman" w:eastAsia="宋体" w:cs="Times New Roman"/>
                <w:bCs/>
                <w:color w:val="auto"/>
                <w:szCs w:val="21"/>
                <w:highlight w:val="none"/>
                <w:lang w:eastAsia="zh-CN"/>
              </w:rPr>
              <w:t>，</w:t>
            </w:r>
            <w:r>
              <w:rPr>
                <w:rFonts w:hint="default" w:ascii="Times New Roman" w:hAnsi="Times New Roman" w:eastAsia="Arial" w:cs="Times New Roman"/>
                <w:i w:val="0"/>
                <w:iCs w:val="0"/>
                <w:caps w:val="0"/>
                <w:color w:val="auto"/>
                <w:spacing w:val="0"/>
                <w:sz w:val="21"/>
                <w:szCs w:val="21"/>
                <w:shd w:val="clear" w:color="auto" w:fill="FFFFFF"/>
              </w:rPr>
              <w:t>剩余处理量</w:t>
            </w:r>
            <w:r>
              <w:rPr>
                <w:rFonts w:hint="eastAsia" w:cs="Times New Roman"/>
                <w:i w:val="0"/>
                <w:iCs w:val="0"/>
                <w:caps w:val="0"/>
                <w:color w:val="auto"/>
                <w:spacing w:val="0"/>
                <w:sz w:val="21"/>
                <w:szCs w:val="21"/>
                <w:shd w:val="clear" w:color="auto" w:fill="FFFFFF"/>
                <w:lang w:val="en-US" w:eastAsia="zh-CN"/>
              </w:rPr>
              <w:t>0.46</w:t>
            </w:r>
            <w:r>
              <w:rPr>
                <w:rFonts w:hint="default" w:ascii="Times New Roman" w:hAnsi="Times New Roman" w:eastAsia="Arial" w:cs="Times New Roman"/>
                <w:i w:val="0"/>
                <w:iCs w:val="0"/>
                <w:caps w:val="0"/>
                <w:color w:val="auto"/>
                <w:spacing w:val="0"/>
                <w:sz w:val="21"/>
                <w:szCs w:val="21"/>
                <w:shd w:val="clear" w:color="auto" w:fill="FFFFFF"/>
              </w:rPr>
              <w:t>m³/h</w:t>
            </w:r>
            <w:r>
              <w:rPr>
                <w:rFonts w:hint="eastAsia" w:ascii="Times New Roman" w:hAnsi="Times New Roman" w:eastAsia="宋体" w:cs="Times New Roman"/>
                <w:i w:val="0"/>
                <w:iCs w:val="0"/>
                <w:caps w:val="0"/>
                <w:color w:val="auto"/>
                <w:spacing w:val="0"/>
                <w:sz w:val="21"/>
                <w:szCs w:val="21"/>
                <w:shd w:val="clear" w:color="auto" w:fill="FFFFFF"/>
                <w:lang w:eastAsia="zh-CN"/>
              </w:rPr>
              <w:t>，</w:t>
            </w:r>
            <w:r>
              <w:rPr>
                <w:rFonts w:hint="eastAsia"/>
                <w:color w:val="auto"/>
                <w:lang w:val="en-US" w:eastAsia="zh-CN"/>
              </w:rPr>
              <w:t>本次改扩建项目建成后全厂需要用</w:t>
            </w:r>
            <w:r>
              <w:rPr>
                <w:rFonts w:hint="eastAsia" w:eastAsia="宋体" w:cs="Times New Roman"/>
                <w:i w:val="0"/>
                <w:iCs w:val="0"/>
                <w:caps w:val="0"/>
                <w:color w:val="auto"/>
                <w:spacing w:val="0"/>
                <w:sz w:val="21"/>
                <w:szCs w:val="21"/>
                <w:shd w:val="clear" w:color="auto" w:fill="FFFFFF"/>
                <w:lang w:val="en-US" w:eastAsia="zh-CN"/>
              </w:rPr>
              <w:t>0.</w:t>
            </w:r>
            <w:r>
              <w:rPr>
                <w:rFonts w:hint="eastAsia" w:cs="Times New Roman"/>
                <w:i w:val="0"/>
                <w:iCs w:val="0"/>
                <w:caps w:val="0"/>
                <w:color w:val="auto"/>
                <w:spacing w:val="0"/>
                <w:sz w:val="21"/>
                <w:szCs w:val="21"/>
                <w:shd w:val="clear" w:color="auto" w:fill="FFFFFF"/>
                <w:lang w:val="en-US" w:eastAsia="zh-CN"/>
              </w:rPr>
              <w:t>012</w:t>
            </w:r>
            <w:r>
              <w:rPr>
                <w:rFonts w:hint="default" w:ascii="Times New Roman" w:hAnsi="Times New Roman" w:eastAsia="Arial" w:cs="Times New Roman"/>
                <w:i w:val="0"/>
                <w:iCs w:val="0"/>
                <w:caps w:val="0"/>
                <w:color w:val="auto"/>
                <w:spacing w:val="0"/>
                <w:sz w:val="21"/>
                <w:szCs w:val="21"/>
                <w:shd w:val="clear" w:color="auto" w:fill="FFFFFF"/>
              </w:rPr>
              <w:t>m³/h</w:t>
            </w:r>
            <w:r>
              <w:rPr>
                <w:rFonts w:hint="eastAsia" w:eastAsia="宋体" w:cs="Times New Roman"/>
                <w:i w:val="0"/>
                <w:iCs w:val="0"/>
                <w:caps w:val="0"/>
                <w:color w:val="auto"/>
                <w:spacing w:val="0"/>
                <w:sz w:val="21"/>
                <w:szCs w:val="21"/>
                <w:shd w:val="clear" w:color="auto" w:fill="FFFFFF"/>
                <w:lang w:eastAsia="zh-CN"/>
              </w:rPr>
              <w:t>（</w:t>
            </w:r>
            <w:r>
              <w:rPr>
                <w:rFonts w:hint="eastAsia" w:eastAsia="宋体" w:cs="Times New Roman"/>
                <w:i w:val="0"/>
                <w:iCs w:val="0"/>
                <w:caps w:val="0"/>
                <w:color w:val="auto"/>
                <w:spacing w:val="0"/>
                <w:sz w:val="21"/>
                <w:szCs w:val="21"/>
                <w:shd w:val="clear" w:color="auto" w:fill="FFFFFF"/>
                <w:lang w:val="en-US" w:eastAsia="zh-CN"/>
              </w:rPr>
              <w:t>食堂废水</w:t>
            </w:r>
            <w:r>
              <w:rPr>
                <w:rFonts w:hint="eastAsia" w:cs="Times New Roman"/>
                <w:i w:val="0"/>
                <w:iCs w:val="0"/>
                <w:caps w:val="0"/>
                <w:color w:val="auto"/>
                <w:spacing w:val="0"/>
                <w:sz w:val="21"/>
                <w:szCs w:val="21"/>
                <w:shd w:val="clear" w:color="auto" w:fill="FFFFFF"/>
                <w:lang w:val="en-US" w:eastAsia="zh-CN"/>
              </w:rPr>
              <w:t>96</w:t>
            </w:r>
            <w:r>
              <w:rPr>
                <w:rFonts w:hint="eastAsia" w:eastAsia="宋体" w:cs="Times New Roman"/>
                <w:i w:val="0"/>
                <w:iCs w:val="0"/>
                <w:caps w:val="0"/>
                <w:color w:val="auto"/>
                <w:spacing w:val="0"/>
                <w:sz w:val="21"/>
                <w:szCs w:val="21"/>
                <w:shd w:val="clear" w:color="auto" w:fill="FFFFFF"/>
                <w:lang w:val="en-US" w:eastAsia="zh-CN"/>
              </w:rPr>
              <w:t>t/a</w:t>
            </w:r>
            <w:r>
              <w:rPr>
                <w:rFonts w:hint="eastAsia" w:eastAsia="宋体" w:cs="Times New Roman"/>
                <w:i w:val="0"/>
                <w:iCs w:val="0"/>
                <w:caps w:val="0"/>
                <w:color w:val="auto"/>
                <w:spacing w:val="0"/>
                <w:sz w:val="21"/>
                <w:szCs w:val="21"/>
                <w:shd w:val="clear" w:color="auto" w:fill="FFFFFF"/>
                <w:lang w:eastAsia="zh-CN"/>
              </w:rPr>
              <w:t>）</w:t>
            </w:r>
            <w:r>
              <w:rPr>
                <w:rFonts w:hint="eastAsia" w:ascii="Times New Roman" w:hAnsi="Times New Roman" w:eastAsia="宋体" w:cs="Times New Roman"/>
                <w:bCs/>
                <w:color w:val="auto"/>
                <w:szCs w:val="21"/>
                <w:highlight w:val="none"/>
                <w:lang w:eastAsia="zh-CN"/>
              </w:rPr>
              <w:t>，未超出隔油池处理能力，因此依托可行。</w:t>
            </w:r>
          </w:p>
          <w:p>
            <w:pPr>
              <w:adjustRightInd w:val="0"/>
              <w:snapToGrid w:val="0"/>
              <w:spacing w:line="500" w:lineRule="exact"/>
              <w:ind w:firstLine="420" w:firstLineChars="200"/>
              <w:rPr>
                <w:rFonts w:hint="eastAsia" w:ascii="Times New Roman" w:hAnsi="Times New Roman" w:eastAsia="宋体" w:cs="Times New Roman"/>
                <w:bCs/>
                <w:color w:val="auto"/>
                <w:szCs w:val="21"/>
                <w:highlight w:val="none"/>
                <w:lang w:eastAsia="zh-CN"/>
              </w:rPr>
            </w:pPr>
            <w:r>
              <w:rPr>
                <w:rFonts w:hint="eastAsia" w:ascii="Times New Roman" w:hAnsi="Times New Roman" w:eastAsia="宋体" w:cs="Times New Roman"/>
                <w:bCs/>
                <w:color w:val="auto"/>
                <w:szCs w:val="21"/>
                <w:highlight w:val="none"/>
                <w:lang w:eastAsia="zh-CN"/>
              </w:rPr>
              <w:t>本项目依托</w:t>
            </w:r>
            <w:r>
              <w:rPr>
                <w:rFonts w:hint="eastAsia" w:ascii="Times New Roman" w:hAnsi="Times New Roman" w:eastAsia="宋体" w:cs="Times New Roman"/>
                <w:bCs/>
                <w:color w:val="auto"/>
                <w:szCs w:val="21"/>
                <w:highlight w:val="none"/>
                <w:lang w:val="en-US" w:eastAsia="zh-CN"/>
              </w:rPr>
              <w:t>如皋市宏茂铸钢有限公司厂区内</w:t>
            </w:r>
            <w:r>
              <w:rPr>
                <w:rFonts w:hint="eastAsia" w:ascii="Times New Roman" w:hAnsi="Times New Roman" w:eastAsia="宋体" w:cs="Times New Roman"/>
                <w:bCs/>
                <w:color w:val="auto"/>
                <w:szCs w:val="21"/>
                <w:highlight w:val="none"/>
                <w:lang w:eastAsia="zh-CN"/>
              </w:rPr>
              <w:t>沉淀池处理能力为</w:t>
            </w:r>
            <w:r>
              <w:rPr>
                <w:rFonts w:hint="eastAsia" w:cs="Times New Roman"/>
                <w:i w:val="0"/>
                <w:iCs w:val="0"/>
                <w:caps w:val="0"/>
                <w:color w:val="auto"/>
                <w:spacing w:val="0"/>
                <w:sz w:val="21"/>
                <w:szCs w:val="21"/>
                <w:shd w:val="clear" w:color="auto" w:fill="FFFFFF"/>
                <w:lang w:val="en-US" w:eastAsia="zh-CN"/>
              </w:rPr>
              <w:t>800</w:t>
            </w:r>
            <w:r>
              <w:rPr>
                <w:rFonts w:hint="default" w:ascii="Times New Roman" w:hAnsi="Times New Roman" w:eastAsia="Arial" w:cs="Times New Roman"/>
                <w:i w:val="0"/>
                <w:iCs w:val="0"/>
                <w:caps w:val="0"/>
                <w:color w:val="auto"/>
                <w:spacing w:val="0"/>
                <w:sz w:val="21"/>
                <w:szCs w:val="21"/>
                <w:shd w:val="clear" w:color="auto" w:fill="FFFFFF"/>
              </w:rPr>
              <w:t>m³/h</w:t>
            </w:r>
            <w:r>
              <w:rPr>
                <w:rFonts w:hint="eastAsia" w:ascii="Times New Roman" w:hAnsi="Times New Roman" w:eastAsia="宋体" w:cs="Times New Roman"/>
                <w:bCs/>
                <w:color w:val="auto"/>
                <w:szCs w:val="21"/>
                <w:highlight w:val="none"/>
                <w:lang w:eastAsia="zh-CN"/>
              </w:rPr>
              <w:t>，</w:t>
            </w:r>
            <w:r>
              <w:rPr>
                <w:rFonts w:hint="eastAsia" w:ascii="Times New Roman" w:hAnsi="Times New Roman" w:eastAsia="宋体" w:cs="Times New Roman"/>
                <w:bCs/>
                <w:color w:val="auto"/>
                <w:szCs w:val="21"/>
                <w:highlight w:val="none"/>
                <w:lang w:val="en-US" w:eastAsia="zh-CN"/>
              </w:rPr>
              <w:t>如皋市宏茂铸钢有限公司</w:t>
            </w:r>
            <w:r>
              <w:rPr>
                <w:rFonts w:hint="eastAsia" w:ascii="Times New Roman" w:hAnsi="Times New Roman" w:eastAsia="宋体" w:cs="Times New Roman"/>
                <w:bCs/>
                <w:color w:val="auto"/>
                <w:szCs w:val="21"/>
                <w:highlight w:val="none"/>
                <w:lang w:eastAsia="zh-CN"/>
              </w:rPr>
              <w:t>已使用约</w:t>
            </w:r>
            <w:r>
              <w:rPr>
                <w:rFonts w:hint="eastAsia" w:cs="Times New Roman"/>
                <w:i w:val="0"/>
                <w:iCs w:val="0"/>
                <w:caps w:val="0"/>
                <w:color w:val="auto"/>
                <w:spacing w:val="0"/>
                <w:sz w:val="21"/>
                <w:szCs w:val="21"/>
                <w:shd w:val="clear" w:color="auto" w:fill="FFFFFF"/>
                <w:lang w:val="en-US" w:eastAsia="zh-CN"/>
              </w:rPr>
              <w:t>2.27</w:t>
            </w:r>
            <w:r>
              <w:rPr>
                <w:rFonts w:hint="default" w:ascii="Times New Roman" w:hAnsi="Times New Roman" w:eastAsia="Arial" w:cs="Times New Roman"/>
                <w:i w:val="0"/>
                <w:iCs w:val="0"/>
                <w:caps w:val="0"/>
                <w:color w:val="auto"/>
                <w:spacing w:val="0"/>
                <w:sz w:val="21"/>
                <w:szCs w:val="21"/>
                <w:shd w:val="clear" w:color="auto" w:fill="FFFFFF"/>
              </w:rPr>
              <w:t>m³/h</w:t>
            </w:r>
            <w:r>
              <w:rPr>
                <w:rFonts w:hint="eastAsia" w:eastAsia="宋体" w:cs="Times New Roman"/>
                <w:i w:val="0"/>
                <w:iCs w:val="0"/>
                <w:caps w:val="0"/>
                <w:color w:val="auto"/>
                <w:spacing w:val="0"/>
                <w:sz w:val="21"/>
                <w:szCs w:val="21"/>
                <w:shd w:val="clear" w:color="auto" w:fill="FFFFFF"/>
                <w:lang w:eastAsia="zh-CN"/>
              </w:rPr>
              <w:t>（</w:t>
            </w:r>
            <w:r>
              <w:rPr>
                <w:rFonts w:hint="eastAsia" w:eastAsia="宋体" w:cs="Times New Roman"/>
                <w:i w:val="0"/>
                <w:iCs w:val="0"/>
                <w:caps w:val="0"/>
                <w:color w:val="auto"/>
                <w:spacing w:val="0"/>
                <w:sz w:val="21"/>
                <w:szCs w:val="21"/>
                <w:shd w:val="clear" w:color="auto" w:fill="FFFFFF"/>
                <w:lang w:val="en-US" w:eastAsia="zh-CN"/>
              </w:rPr>
              <w:t>需沉淀的废水</w:t>
            </w:r>
            <w:r>
              <w:rPr>
                <w:rFonts w:hint="eastAsia" w:cs="Times New Roman"/>
                <w:i w:val="0"/>
                <w:iCs w:val="0"/>
                <w:caps w:val="0"/>
                <w:color w:val="auto"/>
                <w:spacing w:val="0"/>
                <w:sz w:val="21"/>
                <w:szCs w:val="21"/>
                <w:shd w:val="clear" w:color="auto" w:fill="FFFFFF"/>
                <w:lang w:val="en-US" w:eastAsia="zh-CN"/>
              </w:rPr>
              <w:t>18000</w:t>
            </w:r>
            <w:r>
              <w:rPr>
                <w:rFonts w:hint="eastAsia" w:eastAsia="宋体" w:cs="Times New Roman"/>
                <w:i w:val="0"/>
                <w:iCs w:val="0"/>
                <w:caps w:val="0"/>
                <w:color w:val="auto"/>
                <w:spacing w:val="0"/>
                <w:sz w:val="21"/>
                <w:szCs w:val="21"/>
                <w:shd w:val="clear" w:color="auto" w:fill="FFFFFF"/>
                <w:lang w:val="en-US" w:eastAsia="zh-CN"/>
              </w:rPr>
              <w:t>t/a</w:t>
            </w:r>
            <w:r>
              <w:rPr>
                <w:rFonts w:hint="eastAsia" w:eastAsia="宋体" w:cs="Times New Roman"/>
                <w:i w:val="0"/>
                <w:iCs w:val="0"/>
                <w:caps w:val="0"/>
                <w:color w:val="auto"/>
                <w:spacing w:val="0"/>
                <w:sz w:val="21"/>
                <w:szCs w:val="21"/>
                <w:shd w:val="clear" w:color="auto" w:fill="FFFFFF"/>
                <w:lang w:eastAsia="zh-CN"/>
              </w:rPr>
              <w:t>）</w:t>
            </w:r>
            <w:r>
              <w:rPr>
                <w:rFonts w:hint="eastAsia" w:ascii="Times New Roman" w:hAnsi="Times New Roman" w:eastAsia="宋体" w:cs="Times New Roman"/>
                <w:bCs/>
                <w:color w:val="auto"/>
                <w:szCs w:val="21"/>
                <w:highlight w:val="none"/>
                <w:lang w:eastAsia="zh-CN"/>
              </w:rPr>
              <w:t>，</w:t>
            </w:r>
            <w:r>
              <w:rPr>
                <w:rFonts w:hint="default" w:ascii="Times New Roman" w:hAnsi="Times New Roman" w:eastAsia="Arial" w:cs="Times New Roman"/>
                <w:i w:val="0"/>
                <w:iCs w:val="0"/>
                <w:caps w:val="0"/>
                <w:color w:val="auto"/>
                <w:spacing w:val="0"/>
                <w:sz w:val="21"/>
                <w:szCs w:val="21"/>
                <w:shd w:val="clear" w:color="auto" w:fill="FFFFFF"/>
              </w:rPr>
              <w:t>剩余处理量</w:t>
            </w:r>
            <w:r>
              <w:rPr>
                <w:rFonts w:hint="eastAsia" w:cs="Times New Roman"/>
                <w:i w:val="0"/>
                <w:iCs w:val="0"/>
                <w:caps w:val="0"/>
                <w:color w:val="auto"/>
                <w:spacing w:val="0"/>
                <w:sz w:val="21"/>
                <w:szCs w:val="21"/>
                <w:shd w:val="clear" w:color="auto" w:fill="FFFFFF"/>
                <w:lang w:val="en-US" w:eastAsia="zh-CN"/>
              </w:rPr>
              <w:t>797.73</w:t>
            </w:r>
            <w:r>
              <w:rPr>
                <w:rFonts w:hint="default" w:ascii="Times New Roman" w:hAnsi="Times New Roman" w:eastAsia="Arial" w:cs="Times New Roman"/>
                <w:i w:val="0"/>
                <w:iCs w:val="0"/>
                <w:caps w:val="0"/>
                <w:color w:val="auto"/>
                <w:spacing w:val="0"/>
                <w:sz w:val="21"/>
                <w:szCs w:val="21"/>
                <w:shd w:val="clear" w:color="auto" w:fill="FFFFFF"/>
              </w:rPr>
              <w:t>m³/h</w:t>
            </w:r>
            <w:r>
              <w:rPr>
                <w:rFonts w:hint="eastAsia" w:ascii="Times New Roman" w:hAnsi="Times New Roman" w:eastAsia="宋体" w:cs="Times New Roman"/>
                <w:i w:val="0"/>
                <w:iCs w:val="0"/>
                <w:caps w:val="0"/>
                <w:color w:val="auto"/>
                <w:spacing w:val="0"/>
                <w:sz w:val="21"/>
                <w:szCs w:val="21"/>
                <w:shd w:val="clear" w:color="auto" w:fill="FFFFFF"/>
                <w:lang w:eastAsia="zh-CN"/>
              </w:rPr>
              <w:t>，</w:t>
            </w:r>
            <w:r>
              <w:rPr>
                <w:rFonts w:hint="eastAsia"/>
                <w:color w:val="auto"/>
                <w:lang w:val="en-US" w:eastAsia="zh-CN"/>
              </w:rPr>
              <w:t>本次改扩建项目建成后全厂需要用</w:t>
            </w:r>
            <w:r>
              <w:rPr>
                <w:rFonts w:hint="eastAsia" w:eastAsia="宋体" w:cs="Times New Roman"/>
                <w:i w:val="0"/>
                <w:iCs w:val="0"/>
                <w:caps w:val="0"/>
                <w:color w:val="auto"/>
                <w:spacing w:val="0"/>
                <w:sz w:val="21"/>
                <w:szCs w:val="21"/>
                <w:shd w:val="clear" w:color="auto" w:fill="FFFFFF"/>
                <w:lang w:val="en-US" w:eastAsia="zh-CN"/>
              </w:rPr>
              <w:t>0.</w:t>
            </w:r>
            <w:r>
              <w:rPr>
                <w:rFonts w:hint="eastAsia" w:cs="Times New Roman"/>
                <w:i w:val="0"/>
                <w:iCs w:val="0"/>
                <w:caps w:val="0"/>
                <w:color w:val="auto"/>
                <w:spacing w:val="0"/>
                <w:sz w:val="21"/>
                <w:szCs w:val="21"/>
                <w:shd w:val="clear" w:color="auto" w:fill="FFFFFF"/>
                <w:lang w:val="en-US" w:eastAsia="zh-CN"/>
              </w:rPr>
              <w:t>14</w:t>
            </w:r>
            <w:r>
              <w:rPr>
                <w:rFonts w:hint="default" w:ascii="Times New Roman" w:hAnsi="Times New Roman" w:eastAsia="Arial" w:cs="Times New Roman"/>
                <w:i w:val="0"/>
                <w:iCs w:val="0"/>
                <w:caps w:val="0"/>
                <w:color w:val="auto"/>
                <w:spacing w:val="0"/>
                <w:sz w:val="21"/>
                <w:szCs w:val="21"/>
                <w:shd w:val="clear" w:color="auto" w:fill="FFFFFF"/>
              </w:rPr>
              <w:t>m³/h</w:t>
            </w:r>
            <w:r>
              <w:rPr>
                <w:rFonts w:hint="eastAsia" w:eastAsia="宋体" w:cs="Times New Roman"/>
                <w:i w:val="0"/>
                <w:iCs w:val="0"/>
                <w:caps w:val="0"/>
                <w:color w:val="auto"/>
                <w:spacing w:val="0"/>
                <w:sz w:val="21"/>
                <w:szCs w:val="21"/>
                <w:shd w:val="clear" w:color="auto" w:fill="FFFFFF"/>
                <w:lang w:eastAsia="zh-CN"/>
              </w:rPr>
              <w:t>（</w:t>
            </w:r>
            <w:r>
              <w:rPr>
                <w:rFonts w:hint="eastAsia" w:eastAsia="宋体" w:cs="Times New Roman"/>
                <w:i w:val="0"/>
                <w:iCs w:val="0"/>
                <w:caps w:val="0"/>
                <w:color w:val="auto"/>
                <w:spacing w:val="0"/>
                <w:sz w:val="21"/>
                <w:szCs w:val="21"/>
                <w:shd w:val="clear" w:color="auto" w:fill="FFFFFF"/>
                <w:lang w:val="en-US" w:eastAsia="zh-CN"/>
              </w:rPr>
              <w:t>废水量</w:t>
            </w:r>
            <w:r>
              <w:rPr>
                <w:rFonts w:hint="eastAsia" w:cs="Times New Roman"/>
                <w:i w:val="0"/>
                <w:iCs w:val="0"/>
                <w:caps w:val="0"/>
                <w:color w:val="auto"/>
                <w:spacing w:val="0"/>
                <w:sz w:val="21"/>
                <w:szCs w:val="21"/>
                <w:shd w:val="clear" w:color="auto" w:fill="FFFFFF"/>
                <w:lang w:val="en-US" w:eastAsia="zh-CN"/>
              </w:rPr>
              <w:t>1140</w:t>
            </w:r>
            <w:r>
              <w:rPr>
                <w:rFonts w:hint="eastAsia" w:eastAsia="宋体" w:cs="Times New Roman"/>
                <w:i w:val="0"/>
                <w:iCs w:val="0"/>
                <w:caps w:val="0"/>
                <w:color w:val="auto"/>
                <w:spacing w:val="0"/>
                <w:sz w:val="21"/>
                <w:szCs w:val="21"/>
                <w:shd w:val="clear" w:color="auto" w:fill="FFFFFF"/>
                <w:lang w:val="en-US" w:eastAsia="zh-CN"/>
              </w:rPr>
              <w:t>t/a</w:t>
            </w:r>
            <w:r>
              <w:rPr>
                <w:rFonts w:hint="eastAsia" w:eastAsia="宋体" w:cs="Times New Roman"/>
                <w:i w:val="0"/>
                <w:iCs w:val="0"/>
                <w:caps w:val="0"/>
                <w:color w:val="auto"/>
                <w:spacing w:val="0"/>
                <w:sz w:val="21"/>
                <w:szCs w:val="21"/>
                <w:shd w:val="clear" w:color="auto" w:fill="FFFFFF"/>
                <w:lang w:eastAsia="zh-CN"/>
              </w:rPr>
              <w:t>）</w:t>
            </w:r>
            <w:r>
              <w:rPr>
                <w:rFonts w:hint="eastAsia" w:ascii="Times New Roman" w:hAnsi="Times New Roman" w:eastAsia="宋体" w:cs="Times New Roman"/>
                <w:bCs/>
                <w:color w:val="auto"/>
                <w:szCs w:val="21"/>
                <w:highlight w:val="none"/>
                <w:lang w:eastAsia="zh-CN"/>
              </w:rPr>
              <w:t>，未超出沉淀池处理能力，因此依托可行。</w:t>
            </w:r>
          </w:p>
          <w:p>
            <w:pPr>
              <w:adjustRightInd w:val="0"/>
              <w:snapToGrid w:val="0"/>
              <w:spacing w:line="500" w:lineRule="exact"/>
              <w:ind w:firstLine="420" w:firstLineChars="200"/>
              <w:rPr>
                <w:rFonts w:hint="eastAsia" w:ascii="Times New Roman" w:hAnsi="Times New Roman" w:eastAsia="宋体" w:cs="Times New Roman"/>
                <w:bCs/>
                <w:color w:val="auto"/>
                <w:sz w:val="21"/>
                <w:szCs w:val="21"/>
                <w:highlight w:val="none"/>
                <w:lang w:eastAsia="zh-CN"/>
              </w:rPr>
            </w:pPr>
            <w:r>
              <w:rPr>
                <w:rFonts w:hint="eastAsia" w:ascii="Times New Roman" w:hAnsi="Times New Roman" w:eastAsia="宋体" w:cs="Times New Roman"/>
                <w:bCs/>
                <w:color w:val="auto"/>
                <w:sz w:val="21"/>
                <w:szCs w:val="21"/>
                <w:highlight w:val="none"/>
                <w:lang w:eastAsia="zh-CN"/>
              </w:rPr>
              <w:t>本项目依托</w:t>
            </w:r>
            <w:r>
              <w:rPr>
                <w:rFonts w:hint="eastAsia" w:ascii="Times New Roman" w:hAnsi="Times New Roman" w:eastAsia="宋体" w:cs="Times New Roman"/>
                <w:color w:val="auto"/>
                <w:sz w:val="21"/>
                <w:szCs w:val="21"/>
                <w:lang w:val="en-US" w:eastAsia="zh-CN"/>
              </w:rPr>
              <w:t>如皋市宏茂铸钢有限公司</w:t>
            </w:r>
            <w:r>
              <w:rPr>
                <w:rFonts w:hint="eastAsia" w:ascii="Times New Roman" w:hAnsi="Times New Roman" w:eastAsia="宋体" w:cs="Times New Roman"/>
                <w:bCs/>
                <w:color w:val="auto"/>
                <w:sz w:val="21"/>
                <w:szCs w:val="21"/>
                <w:highlight w:val="none"/>
                <w:lang w:val="en-US" w:eastAsia="zh-CN"/>
              </w:rPr>
              <w:t>厂区内</w:t>
            </w:r>
            <w:r>
              <w:rPr>
                <w:rFonts w:hint="eastAsia" w:ascii="Times New Roman" w:hAnsi="Times New Roman" w:eastAsia="宋体" w:cs="Times New Roman"/>
                <w:b w:val="0"/>
                <w:bCs w:val="0"/>
                <w:color w:val="auto"/>
                <w:sz w:val="21"/>
                <w:szCs w:val="21"/>
                <w:lang w:val="en-US" w:eastAsia="zh-CN"/>
              </w:rPr>
              <w:t>事故应急池1200</w:t>
            </w:r>
            <w:r>
              <w:rPr>
                <w:rFonts w:hint="default" w:ascii="Times New Roman" w:hAnsi="Times New Roman" w:eastAsia="宋体" w:cs="Times New Roman"/>
                <w:b w:val="0"/>
                <w:bCs w:val="0"/>
                <w:color w:val="auto"/>
                <w:sz w:val="21"/>
                <w:szCs w:val="21"/>
              </w:rPr>
              <w:t>m</w:t>
            </w:r>
            <w:r>
              <w:rPr>
                <w:rFonts w:hint="default" w:ascii="Times New Roman" w:hAnsi="Times New Roman" w:eastAsia="宋体" w:cs="Times New Roman"/>
                <w:b w:val="0"/>
                <w:bCs w:val="0"/>
                <w:color w:val="auto"/>
                <w:sz w:val="21"/>
                <w:szCs w:val="21"/>
                <w:vertAlign w:val="superscript"/>
              </w:rPr>
              <w:t>2</w:t>
            </w:r>
            <w:r>
              <w:rPr>
                <w:rFonts w:hint="eastAsia" w:ascii="Times New Roman" w:hAnsi="Times New Roman" w:eastAsia="宋体" w:cs="Times New Roman"/>
                <w:b w:val="0"/>
                <w:bCs w:val="0"/>
                <w:color w:val="auto"/>
                <w:sz w:val="21"/>
                <w:szCs w:val="21"/>
                <w:vertAlign w:val="baseline"/>
                <w:lang w:eastAsia="zh-CN"/>
              </w:rPr>
              <w:t>，</w:t>
            </w:r>
            <w:r>
              <w:rPr>
                <w:rFonts w:hint="eastAsia" w:ascii="Times New Roman" w:hAnsi="Times New Roman" w:eastAsia="宋体" w:cs="Times New Roman"/>
                <w:color w:val="auto"/>
                <w:sz w:val="21"/>
                <w:szCs w:val="21"/>
                <w:lang w:val="en-US" w:eastAsia="zh-CN"/>
              </w:rPr>
              <w:t>如皋市宏茂铸钢有限公司</w:t>
            </w:r>
            <w:r>
              <w:rPr>
                <w:rFonts w:hint="eastAsia" w:ascii="Times New Roman" w:hAnsi="Times New Roman" w:eastAsia="宋体" w:cs="Times New Roman"/>
                <w:bCs/>
                <w:color w:val="auto"/>
                <w:sz w:val="21"/>
                <w:szCs w:val="21"/>
                <w:highlight w:val="none"/>
                <w:lang w:eastAsia="zh-CN"/>
              </w:rPr>
              <w:t>需使用</w:t>
            </w:r>
            <w:r>
              <w:rPr>
                <w:rFonts w:hint="eastAsia" w:cs="Times New Roman"/>
                <w:bCs/>
                <w:color w:val="auto"/>
                <w:sz w:val="21"/>
                <w:szCs w:val="21"/>
                <w:highlight w:val="none"/>
                <w:lang w:val="en-US" w:eastAsia="zh-CN"/>
              </w:rPr>
              <w:t>648.6</w:t>
            </w:r>
            <w:r>
              <w:rPr>
                <w:rFonts w:hint="default" w:ascii="Times New Roman" w:hAnsi="Times New Roman" w:eastAsia="宋体" w:cs="Times New Roman"/>
                <w:b w:val="0"/>
                <w:bCs w:val="0"/>
                <w:color w:val="auto"/>
                <w:sz w:val="21"/>
                <w:szCs w:val="21"/>
              </w:rPr>
              <w:t>m</w:t>
            </w:r>
            <w:r>
              <w:rPr>
                <w:rFonts w:hint="default" w:ascii="Times New Roman" w:hAnsi="Times New Roman" w:eastAsia="宋体" w:cs="Times New Roman"/>
                <w:b w:val="0"/>
                <w:bCs w:val="0"/>
                <w:color w:val="auto"/>
                <w:sz w:val="21"/>
                <w:szCs w:val="21"/>
                <w:vertAlign w:val="superscript"/>
              </w:rPr>
              <w:t>2</w:t>
            </w:r>
            <w:r>
              <w:rPr>
                <w:rFonts w:hint="eastAsia" w:ascii="Times New Roman" w:hAnsi="Times New Roman" w:eastAsia="宋体" w:cs="Times New Roman"/>
                <w:b w:val="0"/>
                <w:bCs w:val="0"/>
                <w:color w:val="auto"/>
                <w:sz w:val="21"/>
                <w:szCs w:val="21"/>
                <w:vertAlign w:val="baseline"/>
                <w:lang w:eastAsia="zh-CN"/>
              </w:rPr>
              <w:t>，</w:t>
            </w:r>
            <w:r>
              <w:rPr>
                <w:rFonts w:hint="default" w:ascii="Times New Roman" w:hAnsi="Times New Roman" w:eastAsia="Arial" w:cs="Times New Roman"/>
                <w:i w:val="0"/>
                <w:iCs w:val="0"/>
                <w:caps w:val="0"/>
                <w:color w:val="auto"/>
                <w:spacing w:val="0"/>
                <w:sz w:val="21"/>
                <w:szCs w:val="21"/>
                <w:shd w:val="clear" w:color="auto" w:fill="FFFFFF"/>
              </w:rPr>
              <w:t>剩余</w:t>
            </w:r>
            <w:r>
              <w:rPr>
                <w:rFonts w:hint="eastAsia" w:ascii="Times New Roman" w:hAnsi="Times New Roman" w:eastAsia="宋体" w:cs="Times New Roman"/>
                <w:i w:val="0"/>
                <w:iCs w:val="0"/>
                <w:caps w:val="0"/>
                <w:color w:val="auto"/>
                <w:spacing w:val="0"/>
                <w:sz w:val="21"/>
                <w:szCs w:val="21"/>
                <w:shd w:val="clear" w:color="auto" w:fill="FFFFFF"/>
                <w:lang w:eastAsia="zh-CN"/>
              </w:rPr>
              <w:t>可</w:t>
            </w:r>
            <w:r>
              <w:rPr>
                <w:rFonts w:hint="eastAsia" w:ascii="Times New Roman" w:hAnsi="Times New Roman" w:eastAsia="宋体" w:cs="Times New Roman"/>
                <w:bCs/>
                <w:color w:val="auto"/>
                <w:sz w:val="21"/>
                <w:szCs w:val="21"/>
                <w:highlight w:val="none"/>
                <w:lang w:eastAsia="zh-CN"/>
              </w:rPr>
              <w:t>暂存</w:t>
            </w:r>
            <w:r>
              <w:rPr>
                <w:rFonts w:hint="eastAsia" w:cs="Times New Roman"/>
                <w:i w:val="0"/>
                <w:iCs w:val="0"/>
                <w:caps w:val="0"/>
                <w:color w:val="auto"/>
                <w:spacing w:val="0"/>
                <w:sz w:val="21"/>
                <w:szCs w:val="21"/>
                <w:shd w:val="clear" w:color="auto" w:fill="FFFFFF"/>
                <w:lang w:val="en-US" w:eastAsia="zh-CN"/>
              </w:rPr>
              <w:t>551.4</w:t>
            </w:r>
            <w:r>
              <w:rPr>
                <w:rFonts w:hint="default" w:ascii="Times New Roman" w:hAnsi="Times New Roman" w:eastAsia="宋体" w:cs="Times New Roman"/>
                <w:b w:val="0"/>
                <w:bCs w:val="0"/>
                <w:color w:val="auto"/>
                <w:sz w:val="21"/>
                <w:szCs w:val="21"/>
              </w:rPr>
              <w:t>m</w:t>
            </w:r>
            <w:r>
              <w:rPr>
                <w:rFonts w:hint="default" w:ascii="Times New Roman" w:hAnsi="Times New Roman" w:eastAsia="宋体" w:cs="Times New Roman"/>
                <w:b w:val="0"/>
                <w:bCs w:val="0"/>
                <w:color w:val="auto"/>
                <w:sz w:val="21"/>
                <w:szCs w:val="21"/>
                <w:vertAlign w:val="superscript"/>
              </w:rPr>
              <w:t>2</w:t>
            </w:r>
            <w:r>
              <w:rPr>
                <w:rFonts w:hint="eastAsia" w:ascii="Times New Roman" w:hAnsi="Times New Roman" w:eastAsia="宋体" w:cs="Times New Roman"/>
                <w:i w:val="0"/>
                <w:iCs w:val="0"/>
                <w:caps w:val="0"/>
                <w:color w:val="auto"/>
                <w:spacing w:val="0"/>
                <w:sz w:val="21"/>
                <w:szCs w:val="21"/>
                <w:shd w:val="clear" w:color="auto" w:fill="FFFFFF"/>
                <w:lang w:eastAsia="zh-CN"/>
              </w:rPr>
              <w:t>，</w:t>
            </w:r>
            <w:r>
              <w:rPr>
                <w:rFonts w:hint="eastAsia" w:ascii="Times New Roman" w:hAnsi="Times New Roman" w:eastAsia="宋体" w:cs="Times New Roman"/>
                <w:b w:val="0"/>
                <w:bCs w:val="0"/>
                <w:color w:val="auto"/>
                <w:sz w:val="21"/>
                <w:szCs w:val="21"/>
                <w:vertAlign w:val="baseline"/>
                <w:lang w:eastAsia="zh-CN"/>
              </w:rPr>
              <w:t>本项目需使用</w:t>
            </w:r>
            <w:r>
              <w:rPr>
                <w:rFonts w:hint="eastAsia"/>
                <w:color w:val="auto"/>
                <w:sz w:val="21"/>
                <w:szCs w:val="21"/>
                <w:lang w:val="en-US" w:eastAsia="zh-CN"/>
              </w:rPr>
              <w:t>300</w:t>
            </w:r>
            <w:r>
              <w:rPr>
                <w:rFonts w:hint="default" w:ascii="Times New Roman" w:hAnsi="Times New Roman" w:eastAsia="宋体" w:cs="Times New Roman"/>
                <w:b w:val="0"/>
                <w:bCs w:val="0"/>
                <w:color w:val="auto"/>
                <w:sz w:val="21"/>
                <w:szCs w:val="21"/>
              </w:rPr>
              <w:t>m</w:t>
            </w:r>
            <w:r>
              <w:rPr>
                <w:rFonts w:hint="default" w:ascii="Times New Roman" w:hAnsi="Times New Roman" w:eastAsia="宋体" w:cs="Times New Roman"/>
                <w:b w:val="0"/>
                <w:bCs w:val="0"/>
                <w:color w:val="auto"/>
                <w:sz w:val="21"/>
                <w:szCs w:val="21"/>
                <w:vertAlign w:val="superscript"/>
              </w:rPr>
              <w:t>2</w:t>
            </w:r>
            <w:r>
              <w:rPr>
                <w:rFonts w:hint="eastAsia" w:ascii="Times New Roman" w:hAnsi="Times New Roman" w:eastAsia="宋体" w:cs="Times New Roman"/>
                <w:b w:val="0"/>
                <w:bCs w:val="0"/>
                <w:color w:val="auto"/>
                <w:sz w:val="21"/>
                <w:szCs w:val="21"/>
                <w:vertAlign w:val="baseline"/>
                <w:lang w:eastAsia="zh-CN"/>
              </w:rPr>
              <w:t>，</w:t>
            </w:r>
            <w:r>
              <w:rPr>
                <w:rFonts w:hint="eastAsia" w:ascii="Times New Roman" w:hAnsi="Times New Roman" w:eastAsia="宋体" w:cs="Times New Roman"/>
                <w:bCs/>
                <w:color w:val="auto"/>
                <w:sz w:val="21"/>
                <w:szCs w:val="21"/>
                <w:highlight w:val="none"/>
                <w:lang w:eastAsia="zh-CN"/>
              </w:rPr>
              <w:t>未超出</w:t>
            </w:r>
            <w:r>
              <w:rPr>
                <w:rFonts w:hint="eastAsia"/>
                <w:color w:val="auto"/>
                <w:sz w:val="21"/>
                <w:szCs w:val="21"/>
                <w:lang w:eastAsia="zh-CN"/>
              </w:rPr>
              <w:t>应急事故池</w:t>
            </w:r>
            <w:r>
              <w:rPr>
                <w:color w:val="auto"/>
                <w:sz w:val="21"/>
                <w:szCs w:val="21"/>
              </w:rPr>
              <w:t>收集</w:t>
            </w:r>
            <w:r>
              <w:rPr>
                <w:rFonts w:hint="eastAsia" w:ascii="Times New Roman" w:hAnsi="Times New Roman" w:eastAsia="宋体" w:cs="Times New Roman"/>
                <w:bCs/>
                <w:color w:val="auto"/>
                <w:sz w:val="21"/>
                <w:szCs w:val="21"/>
                <w:highlight w:val="none"/>
                <w:lang w:eastAsia="zh-CN"/>
              </w:rPr>
              <w:t>能力，因此依托可行。</w:t>
            </w:r>
          </w:p>
          <w:p>
            <w:pPr>
              <w:adjustRightInd w:val="0"/>
              <w:snapToGrid w:val="0"/>
              <w:spacing w:line="500" w:lineRule="exact"/>
              <w:ind w:firstLine="420" w:firstLineChars="20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bCs/>
                <w:color w:val="auto"/>
                <w:szCs w:val="21"/>
                <w:highlight w:val="none"/>
                <w:lang w:val="en-US" w:eastAsia="zh-CN"/>
              </w:rPr>
              <w:t>本项目环保设施建设依托相邻厂区同一法人主体（如皋市宏茂铸钢有限公司）现有环保基础设施，包括化粪池、隔油池、沉淀池、应急事故池、雨污管网系统，并沿用其雨水、污水排放口。设施共用不会影响宏茂铸钢有限公司现有环保设施的正常运行及排放达标要求，具有环境可行性。</w:t>
            </w:r>
          </w:p>
          <w:p>
            <w:pPr>
              <w:adjustRightInd w:val="0"/>
              <w:snapToGrid w:val="0"/>
              <w:spacing w:line="500" w:lineRule="exact"/>
              <w:ind w:firstLine="420" w:firstLineChars="200"/>
              <w:rPr>
                <w:rFonts w:hint="eastAsia"/>
                <w:color w:val="auto"/>
                <w:lang w:eastAsia="zh-CN"/>
              </w:rPr>
            </w:pPr>
            <w:r>
              <w:rPr>
                <w:rFonts w:hint="eastAsia" w:ascii="Times New Roman" w:hAnsi="Times New Roman" w:eastAsia="宋体" w:cs="Times New Roman"/>
                <w:color w:val="auto"/>
                <w:sz w:val="21"/>
                <w:szCs w:val="21"/>
                <w:lang w:val="en-US" w:eastAsia="zh-CN"/>
              </w:rPr>
              <w:t>环境责任关系：项目依托如皋市宏茂铸钢有限公司化粪池、隔油池、沉淀池、污水管网、事故废水收集系统、雨污排口。如皋市宏茂重型锻压有限公司造成的环境污染及法律责任由如皋市宏茂重型锻压有限公司承担。如皋市宏茂铸钢有限公司处理如皋市宏茂重型锻压有限公司排放的废水或处理后的水质不符合国家及地方规定的排放标准，环保责任由如皋市宏茂铸钢有限公司处理承担。如皋市宏茂重型锻压有限公司因事故废水排放导致环境污染或安全事故，环保责任由如皋市宏茂重型锻压有限公司承担。</w:t>
            </w:r>
          </w:p>
          <w:p>
            <w:pPr>
              <w:spacing w:line="360" w:lineRule="auto"/>
              <w:ind w:firstLine="422" w:firstLineChars="200"/>
              <w:rPr>
                <w:b/>
                <w:bCs/>
                <w:color w:val="auto"/>
                <w:szCs w:val="21"/>
              </w:rPr>
            </w:pPr>
            <w:r>
              <w:rPr>
                <w:b/>
                <w:bCs/>
                <w:color w:val="auto"/>
                <w:szCs w:val="21"/>
              </w:rPr>
              <w:t xml:space="preserve">3、主要产品及产能情况 </w:t>
            </w:r>
          </w:p>
          <w:p>
            <w:pPr>
              <w:spacing w:line="360" w:lineRule="auto"/>
              <w:ind w:firstLine="422" w:firstLineChars="200"/>
              <w:jc w:val="center"/>
              <w:rPr>
                <w:b/>
                <w:bCs/>
                <w:color w:val="auto"/>
                <w:szCs w:val="21"/>
              </w:rPr>
            </w:pPr>
            <w:r>
              <w:rPr>
                <w:b/>
                <w:bCs/>
                <w:color w:val="auto"/>
                <w:szCs w:val="21"/>
              </w:rPr>
              <w:t>表2-</w:t>
            </w:r>
            <w:r>
              <w:rPr>
                <w:rFonts w:hint="eastAsia"/>
                <w:b/>
                <w:bCs/>
                <w:color w:val="auto"/>
                <w:szCs w:val="21"/>
                <w:lang w:val="en-US" w:eastAsia="zh-CN"/>
              </w:rPr>
              <w:t>3</w:t>
            </w:r>
            <w:r>
              <w:rPr>
                <w:b/>
                <w:bCs/>
                <w:color w:val="auto"/>
                <w:szCs w:val="21"/>
              </w:rPr>
              <w:t xml:space="preserve"> 建设项目主要产品及产能情况</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88"/>
              <w:gridCol w:w="1420"/>
              <w:gridCol w:w="1593"/>
              <w:gridCol w:w="1155"/>
              <w:gridCol w:w="836"/>
              <w:gridCol w:w="1160"/>
              <w:gridCol w:w="744"/>
              <w:gridCol w:w="4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368" w:type="pct"/>
                  <w:vMerge w:val="restart"/>
                  <w:tcBorders>
                    <w:tl2br w:val="nil"/>
                    <w:tr2bl w:val="nil"/>
                  </w:tcBorders>
                  <w:noWrap w:val="0"/>
                  <w:vAlign w:val="center"/>
                </w:tcPr>
                <w:p>
                  <w:pPr>
                    <w:jc w:val="center"/>
                    <w:rPr>
                      <w:color w:val="auto"/>
                      <w:sz w:val="18"/>
                      <w:szCs w:val="18"/>
                    </w:rPr>
                  </w:pPr>
                  <w:r>
                    <w:rPr>
                      <w:color w:val="auto"/>
                      <w:sz w:val="18"/>
                      <w:szCs w:val="18"/>
                    </w:rPr>
                    <w:t>行业类别</w:t>
                  </w:r>
                </w:p>
              </w:tc>
              <w:tc>
                <w:tcPr>
                  <w:tcW w:w="890" w:type="pct"/>
                  <w:vMerge w:val="restart"/>
                  <w:tcBorders>
                    <w:tl2br w:val="nil"/>
                    <w:tr2bl w:val="nil"/>
                  </w:tcBorders>
                  <w:noWrap w:val="0"/>
                  <w:vAlign w:val="center"/>
                </w:tcPr>
                <w:p>
                  <w:pPr>
                    <w:jc w:val="center"/>
                    <w:rPr>
                      <w:color w:val="auto"/>
                      <w:sz w:val="18"/>
                      <w:szCs w:val="18"/>
                    </w:rPr>
                  </w:pPr>
                  <w:r>
                    <w:rPr>
                      <w:color w:val="auto"/>
                      <w:sz w:val="18"/>
                      <w:szCs w:val="18"/>
                    </w:rPr>
                    <w:t>生产线名称</w:t>
                  </w:r>
                </w:p>
              </w:tc>
              <w:tc>
                <w:tcPr>
                  <w:tcW w:w="998" w:type="pct"/>
                  <w:vMerge w:val="restart"/>
                  <w:tcBorders>
                    <w:tl2br w:val="nil"/>
                    <w:tr2bl w:val="nil"/>
                  </w:tcBorders>
                  <w:noWrap w:val="0"/>
                  <w:vAlign w:val="center"/>
                </w:tcPr>
                <w:p>
                  <w:pPr>
                    <w:jc w:val="center"/>
                    <w:rPr>
                      <w:color w:val="auto"/>
                      <w:sz w:val="18"/>
                      <w:szCs w:val="18"/>
                    </w:rPr>
                  </w:pPr>
                  <w:r>
                    <w:rPr>
                      <w:color w:val="auto"/>
                      <w:sz w:val="18"/>
                      <w:szCs w:val="18"/>
                    </w:rPr>
                    <w:t>产品名称</w:t>
                  </w:r>
                </w:p>
              </w:tc>
              <w:tc>
                <w:tcPr>
                  <w:tcW w:w="1976" w:type="pct"/>
                  <w:gridSpan w:val="3"/>
                  <w:tcBorders>
                    <w:tl2br w:val="nil"/>
                    <w:tr2bl w:val="nil"/>
                  </w:tcBorders>
                  <w:noWrap w:val="0"/>
                  <w:vAlign w:val="center"/>
                </w:tcPr>
                <w:p>
                  <w:pPr>
                    <w:jc w:val="center"/>
                    <w:rPr>
                      <w:color w:val="auto"/>
                      <w:sz w:val="18"/>
                      <w:szCs w:val="18"/>
                    </w:rPr>
                  </w:pPr>
                  <w:r>
                    <w:rPr>
                      <w:color w:val="auto"/>
                      <w:sz w:val="18"/>
                      <w:szCs w:val="18"/>
                    </w:rPr>
                    <w:t>年设计能力（</w:t>
                  </w:r>
                  <w:r>
                    <w:rPr>
                      <w:rFonts w:hint="eastAsia"/>
                      <w:color w:val="auto"/>
                      <w:sz w:val="18"/>
                      <w:szCs w:val="18"/>
                      <w:lang w:val="en-US" w:eastAsia="zh-CN"/>
                    </w:rPr>
                    <w:t>t</w:t>
                  </w:r>
                  <w:r>
                    <w:rPr>
                      <w:color w:val="auto"/>
                      <w:sz w:val="18"/>
                      <w:szCs w:val="18"/>
                    </w:rPr>
                    <w:t>/</w:t>
                  </w:r>
                  <w:r>
                    <w:rPr>
                      <w:rFonts w:hint="eastAsia"/>
                      <w:color w:val="auto"/>
                      <w:sz w:val="18"/>
                      <w:szCs w:val="18"/>
                      <w:lang w:val="en-US" w:eastAsia="zh-CN"/>
                    </w:rPr>
                    <w:t>a</w:t>
                  </w:r>
                  <w:r>
                    <w:rPr>
                      <w:color w:val="auto"/>
                      <w:sz w:val="18"/>
                      <w:szCs w:val="18"/>
                    </w:rPr>
                    <w:t>）</w:t>
                  </w:r>
                </w:p>
              </w:tc>
              <w:tc>
                <w:tcPr>
                  <w:tcW w:w="466" w:type="pct"/>
                  <w:vMerge w:val="restart"/>
                  <w:tcBorders>
                    <w:tl2br w:val="nil"/>
                    <w:tr2bl w:val="nil"/>
                  </w:tcBorders>
                  <w:noWrap w:val="0"/>
                  <w:vAlign w:val="center"/>
                </w:tcPr>
                <w:p>
                  <w:pPr>
                    <w:jc w:val="center"/>
                    <w:rPr>
                      <w:color w:val="auto"/>
                      <w:sz w:val="18"/>
                      <w:szCs w:val="18"/>
                    </w:rPr>
                  </w:pPr>
                  <w:r>
                    <w:rPr>
                      <w:rFonts w:ascii="Times New Roman" w:hAnsi="Times New Roman" w:eastAsia="宋体" w:cs="Times New Roman"/>
                      <w:color w:val="auto"/>
                      <w:sz w:val="18"/>
                      <w:szCs w:val="18"/>
                    </w:rPr>
                    <w:t>年运行时数</w:t>
                  </w:r>
                </w:p>
              </w:tc>
              <w:tc>
                <w:tcPr>
                  <w:tcW w:w="299" w:type="pct"/>
                  <w:vMerge w:val="restart"/>
                  <w:tcBorders>
                    <w:tl2br w:val="nil"/>
                    <w:tr2bl w:val="nil"/>
                  </w:tcBorders>
                  <w:noWrap w:val="0"/>
                  <w:vAlign w:val="center"/>
                </w:tcPr>
                <w:p>
                  <w:pPr>
                    <w:jc w:val="center"/>
                    <w:rPr>
                      <w:color w:val="auto"/>
                      <w:sz w:val="18"/>
                      <w:szCs w:val="18"/>
                    </w:rPr>
                  </w:pPr>
                  <w:r>
                    <w:rPr>
                      <w:color w:val="auto"/>
                      <w:sz w:val="18"/>
                      <w:szCs w:val="18"/>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8" w:type="pct"/>
                  <w:vMerge w:val="continue"/>
                  <w:tcBorders>
                    <w:tl2br w:val="nil"/>
                    <w:tr2bl w:val="nil"/>
                  </w:tcBorders>
                  <w:noWrap w:val="0"/>
                  <w:vAlign w:val="center"/>
                </w:tcPr>
                <w:p>
                  <w:pPr>
                    <w:jc w:val="center"/>
                    <w:rPr>
                      <w:color w:val="auto"/>
                      <w:sz w:val="18"/>
                      <w:szCs w:val="18"/>
                    </w:rPr>
                  </w:pPr>
                </w:p>
              </w:tc>
              <w:tc>
                <w:tcPr>
                  <w:tcW w:w="890" w:type="pct"/>
                  <w:vMerge w:val="continue"/>
                  <w:tcBorders>
                    <w:tl2br w:val="nil"/>
                    <w:tr2bl w:val="nil"/>
                  </w:tcBorders>
                  <w:noWrap w:val="0"/>
                  <w:vAlign w:val="center"/>
                </w:tcPr>
                <w:p>
                  <w:pPr>
                    <w:jc w:val="center"/>
                    <w:rPr>
                      <w:color w:val="auto"/>
                      <w:sz w:val="18"/>
                      <w:szCs w:val="18"/>
                    </w:rPr>
                  </w:pPr>
                </w:p>
              </w:tc>
              <w:tc>
                <w:tcPr>
                  <w:tcW w:w="998" w:type="pct"/>
                  <w:vMerge w:val="continue"/>
                  <w:tcBorders>
                    <w:tl2br w:val="nil"/>
                    <w:tr2bl w:val="nil"/>
                  </w:tcBorders>
                  <w:noWrap w:val="0"/>
                  <w:vAlign w:val="center"/>
                </w:tcPr>
                <w:p>
                  <w:pPr>
                    <w:jc w:val="center"/>
                    <w:rPr>
                      <w:color w:val="auto"/>
                      <w:sz w:val="18"/>
                      <w:szCs w:val="18"/>
                    </w:rPr>
                  </w:pPr>
                </w:p>
              </w:tc>
              <w:tc>
                <w:tcPr>
                  <w:tcW w:w="724" w:type="pct"/>
                  <w:tcBorders>
                    <w:tl2br w:val="nil"/>
                    <w:tr2bl w:val="nil"/>
                  </w:tcBorders>
                  <w:noWrap w:val="0"/>
                  <w:vAlign w:val="center"/>
                </w:tcPr>
                <w:p>
                  <w:pPr>
                    <w:jc w:val="center"/>
                    <w:rPr>
                      <w:color w:val="auto"/>
                      <w:sz w:val="18"/>
                      <w:szCs w:val="18"/>
                    </w:rPr>
                  </w:pPr>
                  <w:r>
                    <w:rPr>
                      <w:rFonts w:hint="eastAsia"/>
                      <w:color w:val="auto"/>
                      <w:sz w:val="18"/>
                      <w:szCs w:val="18"/>
                      <w:lang w:eastAsia="zh-CN"/>
                    </w:rPr>
                    <w:t>改扩建</w:t>
                  </w:r>
                  <w:r>
                    <w:rPr>
                      <w:color w:val="auto"/>
                      <w:sz w:val="18"/>
                      <w:szCs w:val="18"/>
                    </w:rPr>
                    <w:t>前</w:t>
                  </w:r>
                </w:p>
              </w:tc>
              <w:tc>
                <w:tcPr>
                  <w:tcW w:w="524" w:type="pct"/>
                  <w:tcBorders>
                    <w:tl2br w:val="nil"/>
                    <w:tr2bl w:val="nil"/>
                  </w:tcBorders>
                  <w:noWrap w:val="0"/>
                  <w:vAlign w:val="center"/>
                </w:tcPr>
                <w:p>
                  <w:pPr>
                    <w:jc w:val="center"/>
                    <w:rPr>
                      <w:color w:val="auto"/>
                      <w:sz w:val="18"/>
                      <w:szCs w:val="18"/>
                    </w:rPr>
                  </w:pPr>
                  <w:r>
                    <w:rPr>
                      <w:color w:val="auto"/>
                      <w:sz w:val="18"/>
                      <w:szCs w:val="18"/>
                    </w:rPr>
                    <w:t>变化量</w:t>
                  </w:r>
                </w:p>
              </w:tc>
              <w:tc>
                <w:tcPr>
                  <w:tcW w:w="727" w:type="pct"/>
                  <w:tcBorders>
                    <w:tl2br w:val="nil"/>
                    <w:tr2bl w:val="nil"/>
                  </w:tcBorders>
                  <w:noWrap w:val="0"/>
                  <w:vAlign w:val="center"/>
                </w:tcPr>
                <w:p>
                  <w:pPr>
                    <w:jc w:val="center"/>
                    <w:rPr>
                      <w:color w:val="auto"/>
                      <w:sz w:val="18"/>
                      <w:szCs w:val="18"/>
                    </w:rPr>
                  </w:pPr>
                  <w:r>
                    <w:rPr>
                      <w:rFonts w:hint="eastAsia"/>
                      <w:color w:val="auto"/>
                      <w:sz w:val="18"/>
                      <w:szCs w:val="18"/>
                      <w:lang w:eastAsia="zh-CN"/>
                    </w:rPr>
                    <w:t>改扩建</w:t>
                  </w:r>
                  <w:r>
                    <w:rPr>
                      <w:color w:val="auto"/>
                      <w:sz w:val="18"/>
                      <w:szCs w:val="18"/>
                    </w:rPr>
                    <w:t>后</w:t>
                  </w:r>
                </w:p>
              </w:tc>
              <w:tc>
                <w:tcPr>
                  <w:tcW w:w="466" w:type="pct"/>
                  <w:vMerge w:val="continue"/>
                  <w:tcBorders>
                    <w:tl2br w:val="nil"/>
                    <w:tr2bl w:val="nil"/>
                  </w:tcBorders>
                  <w:noWrap w:val="0"/>
                  <w:vAlign w:val="top"/>
                </w:tcPr>
                <w:p>
                  <w:pPr>
                    <w:jc w:val="center"/>
                    <w:rPr>
                      <w:color w:val="auto"/>
                      <w:sz w:val="18"/>
                      <w:szCs w:val="18"/>
                    </w:rPr>
                  </w:pPr>
                </w:p>
              </w:tc>
              <w:tc>
                <w:tcPr>
                  <w:tcW w:w="299" w:type="pct"/>
                  <w:vMerge w:val="continue"/>
                  <w:tcBorders>
                    <w:tl2br w:val="nil"/>
                    <w:tr2bl w:val="nil"/>
                  </w:tcBorders>
                  <w:noWrap w:val="0"/>
                  <w:vAlign w:val="top"/>
                </w:tcPr>
                <w:p>
                  <w:pPr>
                    <w:jc w:val="center"/>
                    <w:rPr>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68" w:type="pct"/>
                  <w:vMerge w:val="restart"/>
                  <w:tcBorders>
                    <w:tl2br w:val="nil"/>
                    <w:tr2bl w:val="nil"/>
                  </w:tcBorders>
                  <w:noWrap w:val="0"/>
                  <w:vAlign w:val="center"/>
                </w:tcPr>
                <w:p>
                  <w:pPr>
                    <w:jc w:val="center"/>
                    <w:rPr>
                      <w:color w:val="auto"/>
                      <w:sz w:val="18"/>
                      <w:szCs w:val="18"/>
                    </w:rPr>
                  </w:pPr>
                  <w:r>
                    <w:rPr>
                      <w:rFonts w:hint="eastAsia" w:ascii="Times New Roman" w:hAnsi="Times New Roman" w:eastAsia="宋体" w:cs="Times New Roman"/>
                      <w:color w:val="auto"/>
                      <w:sz w:val="18"/>
                      <w:szCs w:val="18"/>
                      <w:lang w:val="en-US" w:eastAsia="zh-CN"/>
                    </w:rPr>
                    <w:t>锻件及粉末冶金制品制造</w:t>
                  </w:r>
                </w:p>
              </w:tc>
              <w:tc>
                <w:tcPr>
                  <w:tcW w:w="890" w:type="pct"/>
                  <w:vMerge w:val="restart"/>
                  <w:tcBorders>
                    <w:tl2br w:val="nil"/>
                    <w:tr2bl w:val="nil"/>
                  </w:tcBorders>
                  <w:noWrap w:val="0"/>
                  <w:vAlign w:val="center"/>
                </w:tcPr>
                <w:p>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eastAsia="zh-CN"/>
                    </w:rPr>
                    <w:t>高端风电主轴及零部件生产线</w:t>
                  </w:r>
                </w:p>
              </w:tc>
              <w:tc>
                <w:tcPr>
                  <w:tcW w:w="998" w:type="pct"/>
                  <w:tcBorders>
                    <w:tl2br w:val="nil"/>
                    <w:tr2bl w:val="nil"/>
                  </w:tcBorders>
                  <w:noWrap w:val="0"/>
                  <w:vAlign w:val="center"/>
                </w:tcPr>
                <w:p>
                  <w:pPr>
                    <w:jc w:val="center"/>
                    <w:rPr>
                      <w:rFonts w:hint="eastAsia" w:eastAsia="宋体"/>
                      <w:color w:val="auto"/>
                      <w:sz w:val="18"/>
                      <w:szCs w:val="18"/>
                      <w:lang w:eastAsia="zh-CN"/>
                    </w:rPr>
                  </w:pPr>
                  <w:r>
                    <w:rPr>
                      <w:rFonts w:hint="eastAsia" w:ascii="Times New Roman" w:hAnsi="Times New Roman" w:eastAsia="宋体" w:cs="Times New Roman"/>
                      <w:color w:val="auto"/>
                      <w:sz w:val="18"/>
                      <w:szCs w:val="18"/>
                      <w:lang w:eastAsia="zh-CN"/>
                    </w:rPr>
                    <w:t>轴类锻件</w:t>
                  </w:r>
                </w:p>
              </w:tc>
              <w:tc>
                <w:tcPr>
                  <w:tcW w:w="724" w:type="pct"/>
                  <w:tcBorders>
                    <w:tl2br w:val="nil"/>
                    <w:tr2bl w:val="nil"/>
                  </w:tcBorders>
                  <w:noWrap w:val="0"/>
                  <w:vAlign w:val="center"/>
                </w:tcPr>
                <w:p>
                  <w:pPr>
                    <w:jc w:val="center"/>
                    <w:rPr>
                      <w:rFonts w:hint="default" w:eastAsia="宋体"/>
                      <w:color w:val="auto"/>
                      <w:sz w:val="18"/>
                      <w:szCs w:val="18"/>
                      <w:lang w:val="en-US" w:eastAsia="zh-CN"/>
                    </w:rPr>
                  </w:pPr>
                  <w:r>
                    <w:rPr>
                      <w:rFonts w:hint="eastAsia"/>
                      <w:color w:val="auto"/>
                      <w:sz w:val="18"/>
                      <w:szCs w:val="18"/>
                      <w:lang w:val="en-US" w:eastAsia="zh-CN"/>
                    </w:rPr>
                    <w:t>40000</w:t>
                  </w:r>
                </w:p>
              </w:tc>
              <w:tc>
                <w:tcPr>
                  <w:tcW w:w="524" w:type="pct"/>
                  <w:tcBorders>
                    <w:tl2br w:val="nil"/>
                    <w:tr2bl w:val="nil"/>
                  </w:tcBorders>
                  <w:noWrap w:val="0"/>
                  <w:vAlign w:val="center"/>
                </w:tcPr>
                <w:p>
                  <w:pPr>
                    <w:jc w:val="center"/>
                    <w:rPr>
                      <w:color w:val="auto"/>
                      <w:sz w:val="18"/>
                      <w:szCs w:val="18"/>
                    </w:rPr>
                  </w:pPr>
                  <w:r>
                    <w:rPr>
                      <w:rFonts w:hint="eastAsia"/>
                      <w:color w:val="auto"/>
                      <w:sz w:val="18"/>
                      <w:szCs w:val="18"/>
                      <w:lang w:val="en-US" w:eastAsia="zh-CN"/>
                    </w:rPr>
                    <w:t>+79000</w:t>
                  </w:r>
                </w:p>
              </w:tc>
              <w:tc>
                <w:tcPr>
                  <w:tcW w:w="727" w:type="pct"/>
                  <w:tcBorders>
                    <w:tl2br w:val="nil"/>
                    <w:tr2bl w:val="nil"/>
                  </w:tcBorders>
                  <w:noWrap w:val="0"/>
                  <w:vAlign w:val="center"/>
                </w:tcPr>
                <w:p>
                  <w:pPr>
                    <w:jc w:val="center"/>
                    <w:rPr>
                      <w:rFonts w:hint="default"/>
                      <w:color w:val="auto"/>
                      <w:sz w:val="18"/>
                      <w:szCs w:val="18"/>
                      <w:lang w:val="en-US"/>
                    </w:rPr>
                  </w:pPr>
                  <w:r>
                    <w:rPr>
                      <w:rFonts w:hint="eastAsia"/>
                      <w:color w:val="auto"/>
                      <w:sz w:val="18"/>
                      <w:szCs w:val="18"/>
                      <w:lang w:val="en-US" w:eastAsia="zh-CN"/>
                    </w:rPr>
                    <w:t>119000</w:t>
                  </w:r>
                </w:p>
              </w:tc>
              <w:tc>
                <w:tcPr>
                  <w:tcW w:w="466" w:type="pct"/>
                  <w:vMerge w:val="restart"/>
                  <w:tcBorders>
                    <w:tl2br w:val="nil"/>
                    <w:tr2bl w:val="nil"/>
                  </w:tcBorders>
                  <w:noWrap w:val="0"/>
                  <w:vAlign w:val="center"/>
                </w:tcPr>
                <w:p>
                  <w:pPr>
                    <w:jc w:val="center"/>
                    <w:rPr>
                      <w:rFonts w:hint="eastAsia" w:ascii="Times New Roman" w:hAnsi="Times New Roman" w:eastAsia="宋体" w:cs="Times New Roman"/>
                      <w:color w:val="auto"/>
                      <w:sz w:val="18"/>
                      <w:szCs w:val="18"/>
                      <w:lang w:eastAsia="zh-CN"/>
                    </w:rPr>
                  </w:pPr>
                  <w:r>
                    <w:rPr>
                      <w:rFonts w:ascii="Times New Roman" w:hAnsi="Times New Roman" w:eastAsia="宋体" w:cs="Times New Roman"/>
                      <w:color w:val="auto"/>
                      <w:sz w:val="18"/>
                      <w:szCs w:val="18"/>
                    </w:rPr>
                    <w:t>7920h</w:t>
                  </w:r>
                </w:p>
              </w:tc>
              <w:tc>
                <w:tcPr>
                  <w:tcW w:w="299" w:type="pct"/>
                  <w:vMerge w:val="restart"/>
                  <w:tcBorders>
                    <w:tl2br w:val="nil"/>
                    <w:tr2bl w:val="nil"/>
                  </w:tcBorders>
                  <w:noWrap w:val="0"/>
                  <w:vAlign w:val="center"/>
                </w:tcPr>
                <w:p>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68" w:type="pct"/>
                  <w:vMerge w:val="continue"/>
                  <w:tcBorders>
                    <w:tl2br w:val="nil"/>
                    <w:tr2bl w:val="nil"/>
                  </w:tcBorders>
                  <w:noWrap w:val="0"/>
                  <w:vAlign w:val="center"/>
                </w:tcPr>
                <w:p>
                  <w:pPr>
                    <w:jc w:val="center"/>
                    <w:rPr>
                      <w:color w:val="auto"/>
                      <w:sz w:val="18"/>
                      <w:szCs w:val="18"/>
                    </w:rPr>
                  </w:pPr>
                </w:p>
              </w:tc>
              <w:tc>
                <w:tcPr>
                  <w:tcW w:w="890" w:type="pct"/>
                  <w:vMerge w:val="continue"/>
                  <w:tcBorders>
                    <w:tl2br w:val="nil"/>
                    <w:tr2bl w:val="nil"/>
                  </w:tcBorders>
                  <w:noWrap w:val="0"/>
                  <w:vAlign w:val="center"/>
                </w:tcPr>
                <w:p>
                  <w:pPr>
                    <w:jc w:val="center"/>
                    <w:rPr>
                      <w:rFonts w:ascii="Times New Roman" w:hAnsi="Times New Roman" w:eastAsia="宋体" w:cs="Times New Roman"/>
                      <w:color w:val="auto"/>
                      <w:sz w:val="18"/>
                      <w:szCs w:val="18"/>
                    </w:rPr>
                  </w:pPr>
                </w:p>
              </w:tc>
              <w:tc>
                <w:tcPr>
                  <w:tcW w:w="998" w:type="pct"/>
                  <w:tcBorders>
                    <w:tl2br w:val="nil"/>
                    <w:tr2bl w:val="nil"/>
                  </w:tcBorders>
                  <w:noWrap w:val="0"/>
                  <w:vAlign w:val="center"/>
                </w:tcPr>
                <w:p>
                  <w:pPr>
                    <w:jc w:val="center"/>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饼类、盘类锻件</w:t>
                  </w:r>
                </w:p>
              </w:tc>
              <w:tc>
                <w:tcPr>
                  <w:tcW w:w="724" w:type="pct"/>
                  <w:tcBorders>
                    <w:tl2br w:val="nil"/>
                    <w:tr2bl w:val="nil"/>
                  </w:tcBorders>
                  <w:noWrap w:val="0"/>
                  <w:vAlign w:val="center"/>
                </w:tcPr>
                <w:p>
                  <w:pPr>
                    <w:jc w:val="center"/>
                    <w:rPr>
                      <w:rFonts w:hint="default"/>
                      <w:color w:val="auto"/>
                      <w:sz w:val="18"/>
                      <w:szCs w:val="18"/>
                      <w:lang w:val="en-US" w:eastAsia="zh-CN"/>
                    </w:rPr>
                  </w:pPr>
                  <w:r>
                    <w:rPr>
                      <w:rFonts w:hint="eastAsia"/>
                      <w:color w:val="auto"/>
                      <w:sz w:val="18"/>
                      <w:szCs w:val="18"/>
                      <w:lang w:val="en-US" w:eastAsia="zh-CN"/>
                    </w:rPr>
                    <w:t>8000</w:t>
                  </w:r>
                </w:p>
              </w:tc>
              <w:tc>
                <w:tcPr>
                  <w:tcW w:w="524" w:type="pct"/>
                  <w:tcBorders>
                    <w:tl2br w:val="nil"/>
                    <w:tr2bl w:val="nil"/>
                  </w:tcBorders>
                  <w:noWrap w:val="0"/>
                  <w:vAlign w:val="center"/>
                </w:tcPr>
                <w:p>
                  <w:pPr>
                    <w:jc w:val="center"/>
                    <w:rPr>
                      <w:rFonts w:hint="eastAsia"/>
                      <w:color w:val="auto"/>
                      <w:sz w:val="18"/>
                      <w:szCs w:val="18"/>
                      <w:lang w:val="en-US" w:eastAsia="zh-CN"/>
                    </w:rPr>
                  </w:pPr>
                  <w:r>
                    <w:rPr>
                      <w:rFonts w:hint="eastAsia"/>
                      <w:color w:val="auto"/>
                      <w:sz w:val="18"/>
                      <w:szCs w:val="18"/>
                      <w:lang w:val="en-US" w:eastAsia="zh-CN"/>
                    </w:rPr>
                    <w:t>0</w:t>
                  </w:r>
                </w:p>
              </w:tc>
              <w:tc>
                <w:tcPr>
                  <w:tcW w:w="727" w:type="pct"/>
                  <w:tcBorders>
                    <w:tl2br w:val="nil"/>
                    <w:tr2bl w:val="nil"/>
                  </w:tcBorders>
                  <w:noWrap w:val="0"/>
                  <w:vAlign w:val="center"/>
                </w:tcPr>
                <w:p>
                  <w:pPr>
                    <w:jc w:val="center"/>
                    <w:rPr>
                      <w:rFonts w:hint="eastAsia"/>
                      <w:color w:val="auto"/>
                      <w:sz w:val="18"/>
                      <w:szCs w:val="18"/>
                      <w:lang w:val="en-US" w:eastAsia="zh-CN"/>
                    </w:rPr>
                  </w:pPr>
                  <w:r>
                    <w:rPr>
                      <w:rFonts w:hint="eastAsia"/>
                      <w:color w:val="auto"/>
                      <w:sz w:val="18"/>
                      <w:szCs w:val="18"/>
                      <w:lang w:val="en-US" w:eastAsia="zh-CN"/>
                    </w:rPr>
                    <w:t>8000</w:t>
                  </w:r>
                </w:p>
              </w:tc>
              <w:tc>
                <w:tcPr>
                  <w:tcW w:w="466" w:type="pct"/>
                  <w:vMerge w:val="continue"/>
                  <w:tcBorders>
                    <w:tl2br w:val="nil"/>
                    <w:tr2bl w:val="nil"/>
                  </w:tcBorders>
                  <w:noWrap w:val="0"/>
                  <w:vAlign w:val="center"/>
                </w:tcPr>
                <w:p>
                  <w:pPr>
                    <w:jc w:val="center"/>
                    <w:rPr>
                      <w:rFonts w:ascii="Times New Roman" w:hAnsi="Times New Roman" w:eastAsia="宋体" w:cs="Times New Roman"/>
                      <w:color w:val="auto"/>
                      <w:sz w:val="18"/>
                      <w:szCs w:val="18"/>
                    </w:rPr>
                  </w:pPr>
                </w:p>
              </w:tc>
              <w:tc>
                <w:tcPr>
                  <w:tcW w:w="299" w:type="pct"/>
                  <w:vMerge w:val="continue"/>
                  <w:tcBorders>
                    <w:tl2br w:val="nil"/>
                    <w:tr2bl w:val="nil"/>
                  </w:tcBorders>
                  <w:noWrap w:val="0"/>
                  <w:vAlign w:val="center"/>
                </w:tcPr>
                <w:p>
                  <w:pPr>
                    <w:jc w:val="center"/>
                    <w:rPr>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68" w:type="pct"/>
                  <w:vMerge w:val="continue"/>
                  <w:tcBorders>
                    <w:tl2br w:val="nil"/>
                    <w:tr2bl w:val="nil"/>
                  </w:tcBorders>
                  <w:noWrap w:val="0"/>
                  <w:vAlign w:val="center"/>
                </w:tcPr>
                <w:p>
                  <w:pPr>
                    <w:jc w:val="center"/>
                    <w:rPr>
                      <w:color w:val="auto"/>
                      <w:sz w:val="18"/>
                      <w:szCs w:val="18"/>
                    </w:rPr>
                  </w:pPr>
                </w:p>
              </w:tc>
              <w:tc>
                <w:tcPr>
                  <w:tcW w:w="890" w:type="pct"/>
                  <w:vMerge w:val="continue"/>
                  <w:tcBorders>
                    <w:tl2br w:val="nil"/>
                    <w:tr2bl w:val="nil"/>
                  </w:tcBorders>
                  <w:noWrap w:val="0"/>
                  <w:vAlign w:val="center"/>
                </w:tcPr>
                <w:p>
                  <w:pPr>
                    <w:jc w:val="center"/>
                    <w:rPr>
                      <w:rFonts w:ascii="Times New Roman" w:hAnsi="Times New Roman" w:eastAsia="宋体" w:cs="Times New Roman"/>
                      <w:color w:val="auto"/>
                      <w:sz w:val="18"/>
                      <w:szCs w:val="18"/>
                    </w:rPr>
                  </w:pPr>
                </w:p>
              </w:tc>
              <w:tc>
                <w:tcPr>
                  <w:tcW w:w="998" w:type="pct"/>
                  <w:tcBorders>
                    <w:tl2br w:val="nil"/>
                    <w:tr2bl w:val="nil"/>
                  </w:tcBorders>
                  <w:noWrap w:val="0"/>
                  <w:vAlign w:val="center"/>
                </w:tcPr>
                <w:p>
                  <w:pPr>
                    <w:jc w:val="center"/>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模块类锻件</w:t>
                  </w:r>
                </w:p>
              </w:tc>
              <w:tc>
                <w:tcPr>
                  <w:tcW w:w="724" w:type="pct"/>
                  <w:tcBorders>
                    <w:tl2br w:val="nil"/>
                    <w:tr2bl w:val="nil"/>
                  </w:tcBorders>
                  <w:noWrap w:val="0"/>
                  <w:vAlign w:val="center"/>
                </w:tcPr>
                <w:p>
                  <w:pPr>
                    <w:jc w:val="center"/>
                    <w:rPr>
                      <w:rFonts w:hint="default"/>
                      <w:color w:val="auto"/>
                      <w:sz w:val="18"/>
                      <w:szCs w:val="18"/>
                      <w:lang w:val="en-US" w:eastAsia="zh-CN"/>
                    </w:rPr>
                  </w:pPr>
                  <w:r>
                    <w:rPr>
                      <w:rFonts w:hint="eastAsia"/>
                      <w:color w:val="auto"/>
                      <w:sz w:val="18"/>
                      <w:szCs w:val="18"/>
                      <w:lang w:val="en-US" w:eastAsia="zh-CN"/>
                    </w:rPr>
                    <w:t>15000</w:t>
                  </w:r>
                </w:p>
              </w:tc>
              <w:tc>
                <w:tcPr>
                  <w:tcW w:w="524" w:type="pct"/>
                  <w:tcBorders>
                    <w:tl2br w:val="nil"/>
                    <w:tr2bl w:val="nil"/>
                  </w:tcBorders>
                  <w:noWrap w:val="0"/>
                  <w:vAlign w:val="center"/>
                </w:tcPr>
                <w:p>
                  <w:pPr>
                    <w:jc w:val="center"/>
                    <w:rPr>
                      <w:rFonts w:hint="eastAsia"/>
                      <w:color w:val="auto"/>
                      <w:sz w:val="18"/>
                      <w:szCs w:val="18"/>
                      <w:lang w:val="en-US" w:eastAsia="zh-CN"/>
                    </w:rPr>
                  </w:pPr>
                  <w:r>
                    <w:rPr>
                      <w:rFonts w:hint="eastAsia"/>
                      <w:color w:val="auto"/>
                      <w:sz w:val="18"/>
                      <w:szCs w:val="18"/>
                      <w:lang w:val="en-US" w:eastAsia="zh-CN"/>
                    </w:rPr>
                    <w:t>+20000</w:t>
                  </w:r>
                </w:p>
              </w:tc>
              <w:tc>
                <w:tcPr>
                  <w:tcW w:w="727" w:type="pct"/>
                  <w:tcBorders>
                    <w:tl2br w:val="nil"/>
                    <w:tr2bl w:val="nil"/>
                  </w:tcBorders>
                  <w:noWrap w:val="0"/>
                  <w:vAlign w:val="center"/>
                </w:tcPr>
                <w:p>
                  <w:pPr>
                    <w:jc w:val="center"/>
                    <w:rPr>
                      <w:rFonts w:hint="eastAsia"/>
                      <w:color w:val="auto"/>
                      <w:sz w:val="18"/>
                      <w:szCs w:val="18"/>
                      <w:lang w:val="en-US" w:eastAsia="zh-CN"/>
                    </w:rPr>
                  </w:pPr>
                  <w:r>
                    <w:rPr>
                      <w:rFonts w:hint="eastAsia"/>
                      <w:color w:val="auto"/>
                      <w:sz w:val="18"/>
                      <w:szCs w:val="18"/>
                      <w:lang w:val="en-US" w:eastAsia="zh-CN"/>
                    </w:rPr>
                    <w:t>35000</w:t>
                  </w:r>
                </w:p>
              </w:tc>
              <w:tc>
                <w:tcPr>
                  <w:tcW w:w="466" w:type="pct"/>
                  <w:vMerge w:val="continue"/>
                  <w:tcBorders>
                    <w:tl2br w:val="nil"/>
                    <w:tr2bl w:val="nil"/>
                  </w:tcBorders>
                  <w:noWrap w:val="0"/>
                  <w:vAlign w:val="center"/>
                </w:tcPr>
                <w:p>
                  <w:pPr>
                    <w:jc w:val="center"/>
                    <w:rPr>
                      <w:rFonts w:ascii="Times New Roman" w:hAnsi="Times New Roman" w:eastAsia="宋体" w:cs="Times New Roman"/>
                      <w:color w:val="auto"/>
                      <w:sz w:val="18"/>
                      <w:szCs w:val="18"/>
                    </w:rPr>
                  </w:pPr>
                </w:p>
              </w:tc>
              <w:tc>
                <w:tcPr>
                  <w:tcW w:w="299" w:type="pct"/>
                  <w:vMerge w:val="continue"/>
                  <w:tcBorders>
                    <w:tl2br w:val="nil"/>
                    <w:tr2bl w:val="nil"/>
                  </w:tcBorders>
                  <w:noWrap w:val="0"/>
                  <w:vAlign w:val="center"/>
                </w:tcPr>
                <w:p>
                  <w:pPr>
                    <w:jc w:val="center"/>
                    <w:rPr>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68" w:type="pct"/>
                  <w:vMerge w:val="continue"/>
                  <w:tcBorders>
                    <w:tl2br w:val="nil"/>
                    <w:tr2bl w:val="nil"/>
                  </w:tcBorders>
                  <w:noWrap w:val="0"/>
                  <w:vAlign w:val="center"/>
                </w:tcPr>
                <w:p>
                  <w:pPr>
                    <w:jc w:val="center"/>
                    <w:rPr>
                      <w:color w:val="auto"/>
                      <w:sz w:val="18"/>
                      <w:szCs w:val="18"/>
                    </w:rPr>
                  </w:pPr>
                </w:p>
              </w:tc>
              <w:tc>
                <w:tcPr>
                  <w:tcW w:w="890" w:type="pct"/>
                  <w:vMerge w:val="continue"/>
                  <w:tcBorders>
                    <w:tl2br w:val="nil"/>
                    <w:tr2bl w:val="nil"/>
                  </w:tcBorders>
                  <w:noWrap w:val="0"/>
                  <w:vAlign w:val="center"/>
                </w:tcPr>
                <w:p>
                  <w:pPr>
                    <w:jc w:val="center"/>
                    <w:rPr>
                      <w:rFonts w:ascii="Times New Roman" w:hAnsi="Times New Roman" w:eastAsia="宋体" w:cs="Times New Roman"/>
                      <w:color w:val="auto"/>
                      <w:sz w:val="18"/>
                      <w:szCs w:val="18"/>
                    </w:rPr>
                  </w:pPr>
                </w:p>
              </w:tc>
              <w:tc>
                <w:tcPr>
                  <w:tcW w:w="998" w:type="pct"/>
                  <w:tcBorders>
                    <w:tl2br w:val="nil"/>
                    <w:tr2bl w:val="nil"/>
                  </w:tcBorders>
                  <w:noWrap w:val="0"/>
                  <w:vAlign w:val="center"/>
                </w:tcPr>
                <w:p>
                  <w:pPr>
                    <w:jc w:val="center"/>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环形类锻件</w:t>
                  </w:r>
                </w:p>
              </w:tc>
              <w:tc>
                <w:tcPr>
                  <w:tcW w:w="724" w:type="pct"/>
                  <w:tcBorders>
                    <w:tl2br w:val="nil"/>
                    <w:tr2bl w:val="nil"/>
                  </w:tcBorders>
                  <w:noWrap w:val="0"/>
                  <w:vAlign w:val="center"/>
                </w:tcPr>
                <w:p>
                  <w:pPr>
                    <w:jc w:val="center"/>
                    <w:rPr>
                      <w:rFonts w:hint="default"/>
                      <w:color w:val="auto"/>
                      <w:sz w:val="18"/>
                      <w:szCs w:val="18"/>
                      <w:lang w:val="en-US" w:eastAsia="zh-CN"/>
                    </w:rPr>
                  </w:pPr>
                  <w:r>
                    <w:rPr>
                      <w:rFonts w:hint="eastAsia"/>
                      <w:color w:val="auto"/>
                      <w:sz w:val="18"/>
                      <w:szCs w:val="18"/>
                      <w:lang w:val="en-US" w:eastAsia="zh-CN"/>
                    </w:rPr>
                    <w:t>9000</w:t>
                  </w:r>
                </w:p>
              </w:tc>
              <w:tc>
                <w:tcPr>
                  <w:tcW w:w="524" w:type="pct"/>
                  <w:tcBorders>
                    <w:tl2br w:val="nil"/>
                    <w:tr2bl w:val="nil"/>
                  </w:tcBorders>
                  <w:noWrap w:val="0"/>
                  <w:vAlign w:val="center"/>
                </w:tcPr>
                <w:p>
                  <w:pPr>
                    <w:jc w:val="center"/>
                    <w:rPr>
                      <w:rFonts w:hint="eastAsia"/>
                      <w:color w:val="auto"/>
                      <w:sz w:val="18"/>
                      <w:szCs w:val="18"/>
                      <w:lang w:val="en-US" w:eastAsia="zh-CN"/>
                    </w:rPr>
                  </w:pPr>
                  <w:r>
                    <w:rPr>
                      <w:rFonts w:hint="eastAsia"/>
                      <w:color w:val="auto"/>
                      <w:sz w:val="18"/>
                      <w:szCs w:val="18"/>
                      <w:lang w:val="en-US" w:eastAsia="zh-CN"/>
                    </w:rPr>
                    <w:t>0</w:t>
                  </w:r>
                </w:p>
              </w:tc>
              <w:tc>
                <w:tcPr>
                  <w:tcW w:w="727" w:type="pct"/>
                  <w:tcBorders>
                    <w:tl2br w:val="nil"/>
                    <w:tr2bl w:val="nil"/>
                  </w:tcBorders>
                  <w:noWrap w:val="0"/>
                  <w:vAlign w:val="center"/>
                </w:tcPr>
                <w:p>
                  <w:pPr>
                    <w:jc w:val="center"/>
                    <w:rPr>
                      <w:rFonts w:hint="eastAsia"/>
                      <w:color w:val="auto"/>
                      <w:sz w:val="18"/>
                      <w:szCs w:val="18"/>
                      <w:lang w:val="en-US" w:eastAsia="zh-CN"/>
                    </w:rPr>
                  </w:pPr>
                  <w:r>
                    <w:rPr>
                      <w:rFonts w:hint="eastAsia"/>
                      <w:color w:val="auto"/>
                      <w:sz w:val="18"/>
                      <w:szCs w:val="18"/>
                      <w:lang w:val="en-US" w:eastAsia="zh-CN"/>
                    </w:rPr>
                    <w:t>9000</w:t>
                  </w:r>
                </w:p>
              </w:tc>
              <w:tc>
                <w:tcPr>
                  <w:tcW w:w="466" w:type="pct"/>
                  <w:vMerge w:val="continue"/>
                  <w:tcBorders>
                    <w:tl2br w:val="nil"/>
                    <w:tr2bl w:val="nil"/>
                  </w:tcBorders>
                  <w:noWrap w:val="0"/>
                  <w:vAlign w:val="center"/>
                </w:tcPr>
                <w:p>
                  <w:pPr>
                    <w:jc w:val="center"/>
                    <w:rPr>
                      <w:rFonts w:ascii="Times New Roman" w:hAnsi="Times New Roman" w:eastAsia="宋体" w:cs="Times New Roman"/>
                      <w:color w:val="auto"/>
                      <w:sz w:val="18"/>
                      <w:szCs w:val="18"/>
                    </w:rPr>
                  </w:pPr>
                </w:p>
              </w:tc>
              <w:tc>
                <w:tcPr>
                  <w:tcW w:w="299" w:type="pct"/>
                  <w:vMerge w:val="continue"/>
                  <w:tcBorders>
                    <w:tl2br w:val="nil"/>
                    <w:tr2bl w:val="nil"/>
                  </w:tcBorders>
                  <w:noWrap w:val="0"/>
                  <w:vAlign w:val="center"/>
                </w:tcPr>
                <w:p>
                  <w:pPr>
                    <w:jc w:val="center"/>
                    <w:rPr>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58" w:type="pct"/>
                  <w:gridSpan w:val="3"/>
                  <w:tcBorders>
                    <w:tl2br w:val="nil"/>
                    <w:tr2bl w:val="nil"/>
                  </w:tcBorders>
                  <w:noWrap w:val="0"/>
                  <w:vAlign w:val="center"/>
                </w:tcPr>
                <w:p>
                  <w:pPr>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合计</w:t>
                  </w:r>
                </w:p>
              </w:tc>
              <w:tc>
                <w:tcPr>
                  <w:tcW w:w="724" w:type="pct"/>
                  <w:tcBorders>
                    <w:tl2br w:val="nil"/>
                    <w:tr2bl w:val="nil"/>
                  </w:tcBorders>
                  <w:noWrap w:val="0"/>
                  <w:vAlign w:val="center"/>
                </w:tcPr>
                <w:p>
                  <w:pPr>
                    <w:jc w:val="center"/>
                    <w:rPr>
                      <w:rFonts w:hint="default"/>
                      <w:color w:val="auto"/>
                      <w:sz w:val="18"/>
                      <w:szCs w:val="18"/>
                      <w:lang w:val="en-US" w:eastAsia="zh-CN"/>
                    </w:rPr>
                  </w:pPr>
                  <w:r>
                    <w:rPr>
                      <w:rFonts w:hint="eastAsia"/>
                      <w:color w:val="auto"/>
                      <w:sz w:val="18"/>
                      <w:szCs w:val="18"/>
                      <w:lang w:val="en-US" w:eastAsia="zh-CN"/>
                    </w:rPr>
                    <w:t>72000</w:t>
                  </w:r>
                </w:p>
              </w:tc>
              <w:tc>
                <w:tcPr>
                  <w:tcW w:w="524" w:type="pct"/>
                  <w:tcBorders>
                    <w:tl2br w:val="nil"/>
                    <w:tr2bl w:val="nil"/>
                  </w:tcBorders>
                  <w:shd w:val="clear" w:color="auto" w:fill="auto"/>
                  <w:noWrap w:val="0"/>
                  <w:vAlign w:val="center"/>
                </w:tcPr>
                <w:p>
                  <w:pPr>
                    <w:jc w:val="center"/>
                    <w:rPr>
                      <w:rFonts w:hint="eastAsia"/>
                      <w:color w:val="auto"/>
                      <w:sz w:val="18"/>
                      <w:szCs w:val="18"/>
                      <w:lang w:val="en-US" w:eastAsia="zh-CN"/>
                    </w:rPr>
                  </w:pPr>
                  <w:r>
                    <w:rPr>
                      <w:rFonts w:hint="eastAsia"/>
                      <w:color w:val="auto"/>
                      <w:sz w:val="18"/>
                      <w:szCs w:val="18"/>
                      <w:lang w:val="en-US" w:eastAsia="zh-CN"/>
                    </w:rPr>
                    <w:t>99000</w:t>
                  </w:r>
                </w:p>
              </w:tc>
              <w:tc>
                <w:tcPr>
                  <w:tcW w:w="727" w:type="pct"/>
                  <w:tcBorders>
                    <w:tl2br w:val="nil"/>
                    <w:tr2bl w:val="nil"/>
                  </w:tcBorders>
                  <w:shd w:val="clear" w:color="auto" w:fill="auto"/>
                  <w:noWrap w:val="0"/>
                  <w:vAlign w:val="center"/>
                </w:tcPr>
                <w:p>
                  <w:pPr>
                    <w:jc w:val="center"/>
                    <w:rPr>
                      <w:rFonts w:hint="eastAsia"/>
                      <w:color w:val="auto"/>
                      <w:sz w:val="18"/>
                      <w:szCs w:val="18"/>
                      <w:lang w:val="en-US" w:eastAsia="zh-CN"/>
                    </w:rPr>
                  </w:pPr>
                  <w:r>
                    <w:rPr>
                      <w:rFonts w:hint="eastAsia"/>
                      <w:color w:val="auto"/>
                      <w:sz w:val="18"/>
                      <w:szCs w:val="18"/>
                      <w:lang w:val="en-US" w:eastAsia="zh-CN"/>
                    </w:rPr>
                    <w:t>171000</w:t>
                  </w:r>
                </w:p>
              </w:tc>
              <w:tc>
                <w:tcPr>
                  <w:tcW w:w="466" w:type="pct"/>
                  <w:vMerge w:val="continue"/>
                  <w:tcBorders>
                    <w:tl2br w:val="nil"/>
                    <w:tr2bl w:val="nil"/>
                  </w:tcBorders>
                  <w:noWrap w:val="0"/>
                  <w:vAlign w:val="center"/>
                </w:tcPr>
                <w:p>
                  <w:pPr>
                    <w:jc w:val="center"/>
                    <w:rPr>
                      <w:rFonts w:ascii="Times New Roman" w:hAnsi="Times New Roman" w:eastAsia="宋体" w:cs="Times New Roman"/>
                      <w:color w:val="auto"/>
                      <w:sz w:val="18"/>
                      <w:szCs w:val="18"/>
                    </w:rPr>
                  </w:pPr>
                </w:p>
              </w:tc>
              <w:tc>
                <w:tcPr>
                  <w:tcW w:w="299" w:type="pct"/>
                  <w:vMerge w:val="continue"/>
                  <w:tcBorders>
                    <w:tl2br w:val="nil"/>
                    <w:tr2bl w:val="nil"/>
                  </w:tcBorders>
                  <w:noWrap w:val="0"/>
                  <w:vAlign w:val="center"/>
                </w:tcPr>
                <w:p>
                  <w:pPr>
                    <w:jc w:val="center"/>
                    <w:rPr>
                      <w:color w:val="auto"/>
                      <w:sz w:val="18"/>
                      <w:szCs w:val="18"/>
                    </w:rPr>
                  </w:pPr>
                </w:p>
              </w:tc>
            </w:tr>
          </w:tbl>
          <w:p>
            <w:pPr>
              <w:spacing w:line="360" w:lineRule="auto"/>
              <w:ind w:firstLine="422" w:firstLineChars="200"/>
              <w:jc w:val="center"/>
              <w:rPr>
                <w:b/>
                <w:bCs/>
                <w:color w:val="auto"/>
              </w:rPr>
            </w:pPr>
            <w:r>
              <w:rPr>
                <w:b/>
                <w:bCs/>
                <w:color w:val="auto"/>
                <w:szCs w:val="21"/>
              </w:rPr>
              <w:t>表2-</w:t>
            </w:r>
            <w:r>
              <w:rPr>
                <w:rFonts w:hint="eastAsia"/>
                <w:b/>
                <w:bCs/>
                <w:color w:val="auto"/>
                <w:szCs w:val="21"/>
                <w:lang w:val="en-US" w:eastAsia="zh-CN"/>
              </w:rPr>
              <w:t>4</w:t>
            </w:r>
            <w:r>
              <w:rPr>
                <w:b/>
                <w:bCs/>
                <w:color w:val="auto"/>
                <w:szCs w:val="21"/>
              </w:rPr>
              <w:t xml:space="preserve"> 建设项目</w:t>
            </w:r>
            <w:r>
              <w:rPr>
                <w:rFonts w:hint="eastAsia"/>
                <w:b/>
                <w:bCs/>
                <w:color w:val="auto"/>
                <w:szCs w:val="21"/>
                <w:lang w:eastAsia="zh-CN"/>
              </w:rPr>
              <w:t>涉及到</w:t>
            </w:r>
            <w:r>
              <w:rPr>
                <w:b/>
                <w:bCs/>
                <w:color w:val="auto"/>
                <w:szCs w:val="21"/>
              </w:rPr>
              <w:t>主要产品情况</w:t>
            </w:r>
          </w:p>
          <w:tbl>
            <w:tblPr>
              <w:tblStyle w:val="21"/>
              <w:tblW w:w="803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23"/>
              <w:gridCol w:w="4632"/>
              <w:gridCol w:w="1059"/>
              <w:gridCol w:w="1128"/>
              <w:gridCol w:w="5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14" w:hRule="atLeast"/>
                <w:jc w:val="center"/>
              </w:trPr>
              <w:tc>
                <w:tcPr>
                  <w:tcW w:w="387" w:type="pct"/>
                  <w:tcBorders>
                    <w:tl2br w:val="nil"/>
                    <w:tr2bl w:val="nil"/>
                  </w:tcBorders>
                  <w:shd w:val="clear" w:color="auto" w:fill="auto"/>
                  <w:noWrap w:val="0"/>
                  <w:vAlign w:val="center"/>
                </w:tcPr>
                <w:p>
                  <w:pPr>
                    <w:jc w:val="center"/>
                    <w:rPr>
                      <w:color w:val="auto"/>
                      <w:sz w:val="18"/>
                      <w:szCs w:val="18"/>
                    </w:rPr>
                  </w:pPr>
                  <w:r>
                    <w:rPr>
                      <w:color w:val="auto"/>
                      <w:sz w:val="18"/>
                      <w:szCs w:val="18"/>
                    </w:rPr>
                    <w:t>产品名称</w:t>
                  </w:r>
                </w:p>
              </w:tc>
              <w:tc>
                <w:tcPr>
                  <w:tcW w:w="2881" w:type="pct"/>
                  <w:tcBorders>
                    <w:tl2br w:val="nil"/>
                    <w:tr2bl w:val="nil"/>
                  </w:tcBorders>
                  <w:shd w:val="clear" w:color="auto" w:fill="auto"/>
                  <w:noWrap w:val="0"/>
                  <w:vAlign w:val="center"/>
                </w:tcPr>
                <w:p>
                  <w:pPr>
                    <w:jc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产品图片</w:t>
                  </w:r>
                </w:p>
              </w:tc>
              <w:tc>
                <w:tcPr>
                  <w:tcW w:w="658" w:type="pct"/>
                  <w:tcBorders>
                    <w:tl2br w:val="nil"/>
                    <w:tr2bl w:val="nil"/>
                  </w:tcBorders>
                  <w:shd w:val="clear" w:color="auto" w:fill="auto"/>
                  <w:noWrap w:val="0"/>
                  <w:vAlign w:val="center"/>
                </w:tcPr>
                <w:p>
                  <w:pPr>
                    <w:jc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产品规格</w:t>
                  </w:r>
                </w:p>
              </w:tc>
              <w:tc>
                <w:tcPr>
                  <w:tcW w:w="701" w:type="pct"/>
                  <w:tcBorders>
                    <w:tl2br w:val="nil"/>
                    <w:tr2bl w:val="nil"/>
                  </w:tcBorders>
                  <w:shd w:val="clear" w:color="auto" w:fill="auto"/>
                  <w:noWrap w:val="0"/>
                  <w:vAlign w:val="center"/>
                </w:tcPr>
                <w:p>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尺寸</w:t>
                  </w:r>
                </w:p>
              </w:tc>
              <w:tc>
                <w:tcPr>
                  <w:tcW w:w="370" w:type="pct"/>
                  <w:tcBorders>
                    <w:tl2br w:val="nil"/>
                    <w:tr2bl w:val="nil"/>
                  </w:tcBorders>
                  <w:shd w:val="clear" w:color="auto" w:fill="auto"/>
                  <w:noWrap w:val="0"/>
                  <w:vAlign w:val="center"/>
                </w:tcPr>
                <w:p>
                  <w:pPr>
                    <w:jc w:val="center"/>
                    <w:rPr>
                      <w:color w:val="auto"/>
                      <w:sz w:val="18"/>
                      <w:szCs w:val="18"/>
                    </w:rPr>
                  </w:pPr>
                  <w:r>
                    <w:rPr>
                      <w:rFonts w:hint="eastAsia"/>
                      <w:color w:val="auto"/>
                      <w:sz w:val="18"/>
                      <w:szCs w:val="18"/>
                      <w:lang w:val="en-US" w:eastAsia="zh-CN"/>
                    </w:rPr>
                    <w:t>单件重量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74" w:hRule="atLeast"/>
                <w:jc w:val="center"/>
              </w:trPr>
              <w:tc>
                <w:tcPr>
                  <w:tcW w:w="387" w:type="pct"/>
                  <w:tcBorders>
                    <w:tl2br w:val="nil"/>
                    <w:tr2bl w:val="nil"/>
                  </w:tcBorders>
                  <w:shd w:val="clear" w:color="auto" w:fill="auto"/>
                  <w:noWrap w:val="0"/>
                  <w:vAlign w:val="center"/>
                </w:tcPr>
                <w:p>
                  <w:pPr>
                    <w:jc w:val="center"/>
                    <w:rPr>
                      <w:rFonts w:hint="eastAsia" w:eastAsia="宋体"/>
                      <w:color w:val="auto"/>
                      <w:sz w:val="18"/>
                      <w:szCs w:val="18"/>
                      <w:lang w:eastAsia="zh-CN"/>
                    </w:rPr>
                  </w:pPr>
                  <w:r>
                    <w:rPr>
                      <w:rFonts w:hint="eastAsia" w:ascii="Times New Roman" w:hAnsi="Times New Roman" w:eastAsia="宋体" w:cs="Times New Roman"/>
                      <w:color w:val="auto"/>
                      <w:sz w:val="18"/>
                      <w:szCs w:val="18"/>
                      <w:lang w:eastAsia="zh-CN"/>
                    </w:rPr>
                    <w:t>轴类锻件</w:t>
                  </w:r>
                </w:p>
              </w:tc>
              <w:tc>
                <w:tcPr>
                  <w:tcW w:w="2881" w:type="pct"/>
                  <w:tcBorders>
                    <w:tl2br w:val="nil"/>
                    <w:tr2bl w:val="nil"/>
                  </w:tcBorders>
                  <w:shd w:val="clear" w:color="auto" w:fill="auto"/>
                  <w:noWrap w:val="0"/>
                  <w:vAlign w:val="center"/>
                </w:tcPr>
                <w:p>
                  <w:pPr>
                    <w:jc w:val="center"/>
                    <w:rPr>
                      <w:rFonts w:hint="default"/>
                      <w:color w:val="auto"/>
                      <w:sz w:val="18"/>
                      <w:szCs w:val="18"/>
                      <w:lang w:val="en-US"/>
                    </w:rPr>
                  </w:pPr>
                  <w:r>
                    <w:rPr>
                      <w:rFonts w:hint="eastAsia" w:ascii="楷体" w:hAnsi="楷体" w:eastAsia="楷体" w:cs="楷体"/>
                      <w:color w:val="auto"/>
                      <w:sz w:val="18"/>
                      <w:szCs w:val="18"/>
                    </w:rPr>
                    <w:drawing>
                      <wp:inline distT="0" distB="0" distL="114300" distR="114300">
                        <wp:extent cx="2934335" cy="2118995"/>
                        <wp:effectExtent l="0" t="0" r="18415" b="14605"/>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6"/>
                                <a:stretch>
                                  <a:fillRect/>
                                </a:stretch>
                              </pic:blipFill>
                              <pic:spPr>
                                <a:xfrm>
                                  <a:off x="0" y="0"/>
                                  <a:ext cx="2934335" cy="2118995"/>
                                </a:xfrm>
                                <a:prstGeom prst="rect">
                                  <a:avLst/>
                                </a:prstGeom>
                                <a:noFill/>
                                <a:ln>
                                  <a:noFill/>
                                </a:ln>
                              </pic:spPr>
                            </pic:pic>
                          </a:graphicData>
                        </a:graphic>
                      </wp:inline>
                    </w:drawing>
                  </w:r>
                </w:p>
              </w:tc>
              <w:tc>
                <w:tcPr>
                  <w:tcW w:w="658" w:type="pct"/>
                  <w:tcBorders>
                    <w:tl2br w:val="nil"/>
                    <w:tr2bl w:val="nil"/>
                  </w:tcBorders>
                  <w:shd w:val="clear" w:color="auto" w:fill="auto"/>
                  <w:noWrap w:val="0"/>
                  <w:vAlign w:val="center"/>
                </w:tcPr>
                <w:p>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b w:val="0"/>
                      <w:bCs w:val="0"/>
                      <w:i w:val="0"/>
                      <w:iCs w:val="0"/>
                      <w:caps w:val="0"/>
                      <w:color w:val="auto"/>
                      <w:spacing w:val="0"/>
                      <w:kern w:val="2"/>
                      <w:sz w:val="18"/>
                      <w:szCs w:val="18"/>
                      <w:shd w:val="clear" w:fill="FFFFFF"/>
                      <w:lang w:val="en-US" w:eastAsia="zh-CN" w:bidi="ar-SA"/>
                    </w:rPr>
                    <w:t>42CrMo4、42CrMo、34CrNiMo6</w:t>
                  </w:r>
                </w:p>
              </w:tc>
              <w:tc>
                <w:tcPr>
                  <w:tcW w:w="701" w:type="pct"/>
                  <w:tcBorders>
                    <w:tl2br w:val="nil"/>
                    <w:tr2bl w:val="nil"/>
                  </w:tcBorders>
                  <w:shd w:val="clear" w:color="auto" w:fill="auto"/>
                  <w:noWrap w:val="0"/>
                  <w:vAlign w:val="center"/>
                </w:tcPr>
                <w:p>
                  <w:pPr>
                    <w:jc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Φ</w:t>
                  </w:r>
                  <w:r>
                    <w:rPr>
                      <w:rFonts w:hint="eastAsia" w:ascii="Times New Roman" w:hAnsi="Times New Roman" w:eastAsia="宋体" w:cs="Times New Roman"/>
                      <w:color w:val="auto"/>
                      <w:sz w:val="18"/>
                      <w:szCs w:val="18"/>
                      <w:lang w:val="en-US" w:eastAsia="zh-CN"/>
                    </w:rPr>
                    <w:t>400~1000mm长：4000~15000mm</w:t>
                  </w:r>
                </w:p>
              </w:tc>
              <w:tc>
                <w:tcPr>
                  <w:tcW w:w="370" w:type="pct"/>
                  <w:tcBorders>
                    <w:tl2br w:val="nil"/>
                    <w:tr2bl w:val="nil"/>
                  </w:tcBorders>
                  <w:shd w:val="clear" w:color="auto" w:fill="auto"/>
                  <w:noWrap w:val="0"/>
                  <w:vAlign w:val="center"/>
                </w:tcPr>
                <w:p>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5t~20t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74" w:hRule="atLeast"/>
                <w:jc w:val="center"/>
              </w:trPr>
              <w:tc>
                <w:tcPr>
                  <w:tcW w:w="387" w:type="pct"/>
                  <w:tcBorders>
                    <w:tl2br w:val="nil"/>
                    <w:tr2bl w:val="nil"/>
                  </w:tcBorders>
                  <w:shd w:val="clear" w:color="auto" w:fill="auto"/>
                  <w:noWrap w:val="0"/>
                  <w:vAlign w:val="center"/>
                </w:tcPr>
                <w:p>
                  <w:pPr>
                    <w:jc w:val="center"/>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模块类锻件</w:t>
                  </w:r>
                </w:p>
              </w:tc>
              <w:tc>
                <w:tcPr>
                  <w:tcW w:w="2881" w:type="pct"/>
                  <w:tcBorders>
                    <w:tl2br w:val="nil"/>
                    <w:tr2bl w:val="nil"/>
                  </w:tcBorders>
                  <w:shd w:val="clear" w:color="auto" w:fill="auto"/>
                  <w:noWrap w:val="0"/>
                  <w:vAlign w:val="center"/>
                </w:tcPr>
                <w:p>
                  <w:pPr>
                    <w:jc w:val="center"/>
                    <w:rPr>
                      <w:rFonts w:hint="eastAsia"/>
                      <w:color w:val="auto"/>
                      <w:sz w:val="18"/>
                      <w:szCs w:val="18"/>
                      <w:lang w:val="en-US" w:eastAsia="zh-CN"/>
                    </w:rPr>
                  </w:pPr>
                  <w:r>
                    <w:rPr>
                      <w:rFonts w:hint="eastAsia" w:ascii="楷体" w:hAnsi="楷体" w:eastAsia="楷体" w:cs="楷体"/>
                      <w:color w:val="auto"/>
                      <w:sz w:val="18"/>
                      <w:szCs w:val="18"/>
                    </w:rPr>
                    <w:drawing>
                      <wp:inline distT="0" distB="0" distL="114300" distR="114300">
                        <wp:extent cx="2823210" cy="2101850"/>
                        <wp:effectExtent l="0" t="0" r="15240" b="12700"/>
                        <wp:docPr id="1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3"/>
                                <pic:cNvPicPr>
                                  <a:picLocks noChangeAspect="1"/>
                                </pic:cNvPicPr>
                              </pic:nvPicPr>
                              <pic:blipFill>
                                <a:blip r:embed="rId7"/>
                                <a:stretch>
                                  <a:fillRect/>
                                </a:stretch>
                              </pic:blipFill>
                              <pic:spPr>
                                <a:xfrm>
                                  <a:off x="0" y="0"/>
                                  <a:ext cx="2823210" cy="2101850"/>
                                </a:xfrm>
                                <a:prstGeom prst="rect">
                                  <a:avLst/>
                                </a:prstGeom>
                                <a:noFill/>
                                <a:ln>
                                  <a:noFill/>
                                </a:ln>
                              </pic:spPr>
                            </pic:pic>
                          </a:graphicData>
                        </a:graphic>
                      </wp:inline>
                    </w:drawing>
                  </w:r>
                </w:p>
              </w:tc>
              <w:tc>
                <w:tcPr>
                  <w:tcW w:w="658" w:type="pct"/>
                  <w:tcBorders>
                    <w:tl2br w:val="nil"/>
                    <w:tr2bl w:val="nil"/>
                  </w:tcBorders>
                  <w:shd w:val="clear" w:color="auto" w:fill="auto"/>
                  <w:noWrap w:val="0"/>
                  <w:vAlign w:val="center"/>
                </w:tcPr>
                <w:p>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b w:val="0"/>
                      <w:bCs w:val="0"/>
                      <w:i w:val="0"/>
                      <w:iCs w:val="0"/>
                      <w:caps w:val="0"/>
                      <w:color w:val="auto"/>
                      <w:spacing w:val="0"/>
                      <w:kern w:val="2"/>
                      <w:sz w:val="18"/>
                      <w:szCs w:val="18"/>
                      <w:shd w:val="clear" w:fill="FFFFFF"/>
                      <w:lang w:val="en-US" w:eastAsia="zh-CN" w:bidi="ar-SA"/>
                    </w:rPr>
                    <w:t>42CrMo4、42CrMo、34CrNiMo6</w:t>
                  </w:r>
                </w:p>
              </w:tc>
              <w:tc>
                <w:tcPr>
                  <w:tcW w:w="701" w:type="pct"/>
                  <w:tcBorders>
                    <w:tl2br w:val="nil"/>
                    <w:tr2bl w:val="nil"/>
                  </w:tcBorders>
                  <w:shd w:val="clear" w:color="auto" w:fill="auto"/>
                  <w:noWrap w:val="0"/>
                  <w:vAlign w:val="center"/>
                </w:tcPr>
                <w:p>
                  <w:pPr>
                    <w:jc w:val="center"/>
                    <w:rPr>
                      <w:color w:val="auto"/>
                      <w:sz w:val="18"/>
                      <w:szCs w:val="18"/>
                    </w:rPr>
                  </w:pPr>
                  <w:r>
                    <w:rPr>
                      <w:rFonts w:hint="eastAsia" w:ascii="Times New Roman" w:hAnsi="Times New Roman" w:eastAsia="宋体" w:cs="Times New Roman"/>
                      <w:color w:val="auto"/>
                      <w:sz w:val="18"/>
                      <w:szCs w:val="18"/>
                      <w:lang w:eastAsia="zh-CN"/>
                    </w:rPr>
                    <w:t>厚</w:t>
                  </w:r>
                  <w:r>
                    <w:rPr>
                      <w:rFonts w:hint="eastAsia" w:ascii="Times New Roman" w:hAnsi="Times New Roman" w:eastAsia="宋体" w:cs="Times New Roman"/>
                      <w:color w:val="auto"/>
                      <w:sz w:val="18"/>
                      <w:szCs w:val="18"/>
                      <w:lang w:val="en-US" w:eastAsia="zh-CN"/>
                    </w:rPr>
                    <w:t>120</w:t>
                  </w:r>
                  <w:r>
                    <w:rPr>
                      <w:rFonts w:hint="eastAsia" w:cs="Times New Roman"/>
                      <w:color w:val="auto"/>
                      <w:sz w:val="18"/>
                      <w:szCs w:val="18"/>
                      <w:lang w:val="en-US" w:eastAsia="zh-CN"/>
                    </w:rPr>
                    <w:t>mm</w:t>
                  </w:r>
                  <w:r>
                    <w:rPr>
                      <w:rFonts w:hint="eastAsia" w:ascii="Times New Roman" w:hAnsi="Times New Roman" w:eastAsia="宋体" w:cs="Times New Roman"/>
                      <w:color w:val="auto"/>
                      <w:sz w:val="18"/>
                      <w:szCs w:val="18"/>
                      <w:lang w:val="en-US" w:eastAsia="zh-CN"/>
                    </w:rPr>
                    <w:t>以上，宽1200</w:t>
                  </w:r>
                  <w:r>
                    <w:rPr>
                      <w:rFonts w:hint="eastAsia" w:cs="Times New Roman"/>
                      <w:color w:val="auto"/>
                      <w:sz w:val="18"/>
                      <w:szCs w:val="18"/>
                      <w:lang w:val="en-US" w:eastAsia="zh-CN"/>
                    </w:rPr>
                    <w:t>mm</w:t>
                  </w:r>
                  <w:r>
                    <w:rPr>
                      <w:rFonts w:hint="eastAsia" w:ascii="Times New Roman" w:hAnsi="Times New Roman" w:eastAsia="宋体" w:cs="Times New Roman"/>
                      <w:color w:val="auto"/>
                      <w:sz w:val="18"/>
                      <w:szCs w:val="18"/>
                      <w:lang w:val="en-US" w:eastAsia="zh-CN"/>
                    </w:rPr>
                    <w:t>以内</w:t>
                  </w:r>
                </w:p>
              </w:tc>
              <w:tc>
                <w:tcPr>
                  <w:tcW w:w="370" w:type="pct"/>
                  <w:tcBorders>
                    <w:tl2br w:val="nil"/>
                    <w:tr2bl w:val="nil"/>
                  </w:tcBorders>
                  <w:shd w:val="clear" w:color="auto" w:fill="auto"/>
                  <w:noWrap w:val="0"/>
                  <w:vAlign w:val="center"/>
                </w:tcPr>
                <w:p>
                  <w:pPr>
                    <w:jc w:val="center"/>
                    <w:rPr>
                      <w:rFonts w:hint="default" w:eastAsia="宋体"/>
                      <w:color w:val="auto"/>
                      <w:sz w:val="18"/>
                      <w:szCs w:val="18"/>
                      <w:lang w:val="en-US" w:eastAsia="zh-CN"/>
                    </w:rPr>
                  </w:pPr>
                  <w:r>
                    <w:rPr>
                      <w:rFonts w:hint="eastAsia"/>
                      <w:color w:val="auto"/>
                      <w:sz w:val="18"/>
                      <w:szCs w:val="18"/>
                      <w:lang w:val="en-US" w:eastAsia="zh-CN"/>
                    </w:rPr>
                    <w:t>5t</w:t>
                  </w:r>
                </w:p>
              </w:tc>
            </w:tr>
          </w:tbl>
          <w:p>
            <w:pPr>
              <w:spacing w:line="360" w:lineRule="auto"/>
              <w:ind w:firstLine="422" w:firstLineChars="200"/>
              <w:rPr>
                <w:b/>
                <w:bCs/>
                <w:color w:val="auto"/>
              </w:rPr>
            </w:pPr>
            <w:r>
              <w:rPr>
                <w:b/>
                <w:bCs/>
                <w:color w:val="auto"/>
              </w:rPr>
              <w:t>4、建设项目原辅材料消耗表</w:t>
            </w:r>
          </w:p>
          <w:p>
            <w:pPr>
              <w:spacing w:line="480" w:lineRule="exact"/>
              <w:jc w:val="center"/>
              <w:rPr>
                <w:b/>
                <w:color w:val="auto"/>
                <w:szCs w:val="21"/>
                <w:lang w:val="zh-CN"/>
              </w:rPr>
            </w:pPr>
            <w:r>
              <w:rPr>
                <w:b/>
                <w:color w:val="auto"/>
                <w:szCs w:val="21"/>
                <w:lang w:val="zh-CN"/>
              </w:rPr>
              <w:t>表</w:t>
            </w:r>
            <w:r>
              <w:rPr>
                <w:b/>
                <w:color w:val="auto"/>
                <w:szCs w:val="21"/>
              </w:rPr>
              <w:t>2-</w:t>
            </w:r>
            <w:r>
              <w:rPr>
                <w:rFonts w:hint="eastAsia"/>
                <w:b/>
                <w:color w:val="auto"/>
                <w:szCs w:val="21"/>
                <w:lang w:val="en-US" w:eastAsia="zh-CN"/>
              </w:rPr>
              <w:t>5</w:t>
            </w:r>
            <w:r>
              <w:rPr>
                <w:b/>
                <w:color w:val="auto"/>
                <w:szCs w:val="21"/>
              </w:rPr>
              <w:t xml:space="preserve"> </w:t>
            </w:r>
            <w:r>
              <w:rPr>
                <w:b/>
                <w:color w:val="auto"/>
                <w:szCs w:val="21"/>
                <w:lang w:val="zh-CN"/>
              </w:rPr>
              <w:t>项目主要原辅料及能源消耗一览表</w:t>
            </w:r>
          </w:p>
          <w:tbl>
            <w:tblPr>
              <w:tblStyle w:val="22"/>
              <w:tblW w:w="8031"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6"/>
              <w:gridCol w:w="1189"/>
              <w:gridCol w:w="1054"/>
              <w:gridCol w:w="1053"/>
              <w:gridCol w:w="1014"/>
              <w:gridCol w:w="1084"/>
              <w:gridCol w:w="691"/>
              <w:gridCol w:w="947"/>
              <w:gridCol w:w="5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41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kern w:val="2"/>
                      <w:sz w:val="18"/>
                      <w:szCs w:val="18"/>
                      <w:lang w:val="en-US" w:eastAsia="zh-CN" w:bidi="ar-SA"/>
                    </w:rPr>
                  </w:pPr>
                  <w:r>
                    <w:rPr>
                      <w:rFonts w:hint="default" w:ascii="Times New Roman" w:hAnsi="Times New Roman" w:cs="Times New Roman"/>
                      <w:color w:val="auto"/>
                      <w:sz w:val="18"/>
                      <w:szCs w:val="18"/>
                    </w:rPr>
                    <w:t>序号</w:t>
                  </w:r>
                </w:p>
              </w:tc>
              <w:tc>
                <w:tcPr>
                  <w:tcW w:w="118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kern w:val="2"/>
                      <w:sz w:val="18"/>
                      <w:szCs w:val="18"/>
                      <w:lang w:val="en-US" w:eastAsia="zh-CN" w:bidi="ar-SA"/>
                    </w:rPr>
                  </w:pPr>
                  <w:r>
                    <w:rPr>
                      <w:rFonts w:hint="default" w:ascii="Times New Roman" w:hAnsi="Times New Roman" w:cs="Times New Roman"/>
                      <w:color w:val="auto"/>
                      <w:sz w:val="18"/>
                      <w:szCs w:val="18"/>
                    </w:rPr>
                    <w:t>原料名称</w:t>
                  </w:r>
                </w:p>
              </w:tc>
              <w:tc>
                <w:tcPr>
                  <w:tcW w:w="105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kern w:val="2"/>
                      <w:sz w:val="18"/>
                      <w:szCs w:val="18"/>
                      <w:lang w:val="en-US" w:eastAsia="zh-CN" w:bidi="ar-SA"/>
                    </w:rPr>
                  </w:pPr>
                  <w:r>
                    <w:rPr>
                      <w:rFonts w:hint="default" w:ascii="Times New Roman" w:hAnsi="Times New Roman" w:cs="Times New Roman"/>
                      <w:color w:val="auto"/>
                      <w:sz w:val="18"/>
                      <w:szCs w:val="18"/>
                    </w:rPr>
                    <w:t>组分/规格</w:t>
                  </w:r>
                </w:p>
              </w:tc>
              <w:tc>
                <w:tcPr>
                  <w:tcW w:w="3151" w:type="dxa"/>
                  <w:gridSpan w:val="3"/>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rPr>
                    <w:t>年耗量（a）</w:t>
                  </w:r>
                </w:p>
              </w:tc>
              <w:tc>
                <w:tcPr>
                  <w:tcW w:w="691" w:type="dxa"/>
                  <w:vMerge w:val="restar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储存位置</w:t>
                  </w:r>
                </w:p>
              </w:tc>
              <w:tc>
                <w:tcPr>
                  <w:tcW w:w="947" w:type="dxa"/>
                  <w:vMerge w:val="restar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最大储存量</w:t>
                  </w:r>
                </w:p>
              </w:tc>
              <w:tc>
                <w:tcPr>
                  <w:tcW w:w="583" w:type="dxa"/>
                  <w:vMerge w:val="restar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6" w:type="dxa"/>
                  <w:vMerge w:val="continue"/>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vertAlign w:val="baseline"/>
                    </w:rPr>
                  </w:pPr>
                </w:p>
              </w:tc>
              <w:tc>
                <w:tcPr>
                  <w:tcW w:w="1189" w:type="dxa"/>
                  <w:vMerge w:val="continue"/>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vertAlign w:val="baseline"/>
                    </w:rPr>
                  </w:pPr>
                </w:p>
              </w:tc>
              <w:tc>
                <w:tcPr>
                  <w:tcW w:w="1054" w:type="dxa"/>
                  <w:vMerge w:val="continue"/>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vertAlign w:val="baseline"/>
                    </w:rPr>
                  </w:pPr>
                </w:p>
              </w:tc>
              <w:tc>
                <w:tcPr>
                  <w:tcW w:w="10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18"/>
                      <w:szCs w:val="18"/>
                      <w:vertAlign w:val="baseline"/>
                    </w:rPr>
                  </w:pPr>
                  <w:r>
                    <w:rPr>
                      <w:rFonts w:hint="eastAsia" w:cs="Times New Roman"/>
                      <w:color w:val="auto"/>
                      <w:sz w:val="18"/>
                      <w:szCs w:val="18"/>
                      <w:lang w:eastAsia="zh-CN"/>
                    </w:rPr>
                    <w:t>改扩建</w:t>
                  </w:r>
                  <w:r>
                    <w:rPr>
                      <w:rFonts w:hint="default" w:ascii="Times New Roman" w:hAnsi="Times New Roman" w:cs="Times New Roman"/>
                      <w:color w:val="auto"/>
                      <w:sz w:val="18"/>
                      <w:szCs w:val="18"/>
                    </w:rPr>
                    <w:t>前</w:t>
                  </w:r>
                </w:p>
              </w:tc>
              <w:tc>
                <w:tcPr>
                  <w:tcW w:w="10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rPr>
                    <w:t>增减量</w:t>
                  </w:r>
                </w:p>
              </w:tc>
              <w:tc>
                <w:tcPr>
                  <w:tcW w:w="10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18"/>
                      <w:szCs w:val="18"/>
                      <w:vertAlign w:val="baseline"/>
                      <w:lang w:eastAsia="zh-CN"/>
                    </w:rPr>
                  </w:pPr>
                  <w:r>
                    <w:rPr>
                      <w:rFonts w:hint="eastAsia" w:cs="Times New Roman"/>
                      <w:color w:val="auto"/>
                      <w:sz w:val="18"/>
                      <w:szCs w:val="18"/>
                      <w:lang w:eastAsia="zh-CN"/>
                    </w:rPr>
                    <w:t>改扩建后</w:t>
                  </w:r>
                </w:p>
              </w:tc>
              <w:tc>
                <w:tcPr>
                  <w:tcW w:w="691" w:type="dxa"/>
                  <w:vMerge w:val="continue"/>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vertAlign w:val="baseline"/>
                    </w:rPr>
                  </w:pPr>
                </w:p>
              </w:tc>
              <w:tc>
                <w:tcPr>
                  <w:tcW w:w="947" w:type="dxa"/>
                  <w:vMerge w:val="continue"/>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vertAlign w:val="baseline"/>
                    </w:rPr>
                  </w:pPr>
                </w:p>
              </w:tc>
              <w:tc>
                <w:tcPr>
                  <w:tcW w:w="583" w:type="dxa"/>
                  <w:vMerge w:val="continue"/>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rPr>
                    <w:t>1</w:t>
                  </w:r>
                </w:p>
              </w:tc>
              <w:tc>
                <w:tcPr>
                  <w:tcW w:w="11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18"/>
                      <w:szCs w:val="18"/>
                      <w:vertAlign w:val="baseline"/>
                      <w:lang w:eastAsia="zh-CN"/>
                    </w:rPr>
                  </w:pPr>
                  <w:r>
                    <w:rPr>
                      <w:rFonts w:hint="default" w:ascii="Times New Roman" w:hAnsi="Times New Roman" w:cs="Times New Roman"/>
                      <w:color w:val="auto"/>
                      <w:sz w:val="18"/>
                      <w:szCs w:val="18"/>
                      <w:lang w:eastAsia="zh-CN"/>
                    </w:rPr>
                    <w:t>钢锭</w:t>
                  </w:r>
                </w:p>
              </w:tc>
              <w:tc>
                <w:tcPr>
                  <w:tcW w:w="10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18"/>
                      <w:szCs w:val="18"/>
                      <w:vertAlign w:val="baseline"/>
                    </w:rPr>
                  </w:pPr>
                  <w:r>
                    <w:rPr>
                      <w:rFonts w:hint="eastAsia" w:ascii="Times New Roman" w:hAnsi="Times New Roman" w:eastAsia="宋体" w:cs="Times New Roman"/>
                      <w:b w:val="0"/>
                      <w:bCs w:val="0"/>
                      <w:i w:val="0"/>
                      <w:iCs w:val="0"/>
                      <w:caps w:val="0"/>
                      <w:color w:val="auto"/>
                      <w:spacing w:val="0"/>
                      <w:kern w:val="2"/>
                      <w:sz w:val="18"/>
                      <w:szCs w:val="18"/>
                      <w:shd w:val="clear" w:fill="FFFFFF"/>
                      <w:lang w:val="en-US" w:eastAsia="zh-CN" w:bidi="ar-SA"/>
                    </w:rPr>
                    <w:t>42CrMo4、42CrMo、34CrNiMo6</w:t>
                  </w:r>
                </w:p>
              </w:tc>
              <w:tc>
                <w:tcPr>
                  <w:tcW w:w="10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18"/>
                      <w:szCs w:val="18"/>
                    </w:rPr>
                  </w:pPr>
                  <w:r>
                    <w:rPr>
                      <w:rFonts w:hint="eastAsia" w:cs="Times New Roman"/>
                      <w:color w:val="auto"/>
                      <w:sz w:val="18"/>
                      <w:szCs w:val="18"/>
                      <w:lang w:val="en-US" w:eastAsia="zh-CN"/>
                    </w:rPr>
                    <w:t>72200</w:t>
                  </w:r>
                  <w:r>
                    <w:rPr>
                      <w:rFonts w:hint="default" w:ascii="Times New Roman" w:hAnsi="Times New Roman" w:cs="Times New Roman"/>
                      <w:color w:val="auto"/>
                      <w:sz w:val="18"/>
                      <w:szCs w:val="18"/>
                    </w:rPr>
                    <w:t>t</w:t>
                  </w:r>
                </w:p>
              </w:tc>
              <w:tc>
                <w:tcPr>
                  <w:tcW w:w="10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i w:val="0"/>
                      <w:iCs w:val="0"/>
                      <w:caps w:val="0"/>
                      <w:color w:val="auto"/>
                      <w:spacing w:val="0"/>
                      <w:kern w:val="2"/>
                      <w:sz w:val="18"/>
                      <w:szCs w:val="18"/>
                      <w:shd w:val="clear" w:fill="FFFFFF"/>
                      <w:lang w:val="en-US" w:eastAsia="zh-CN" w:bidi="ar-SA"/>
                    </w:rPr>
                  </w:pPr>
                  <w:r>
                    <w:rPr>
                      <w:rFonts w:hint="default" w:ascii="Times New Roman" w:hAnsi="Times New Roman" w:eastAsia="宋体" w:cs="Times New Roman"/>
                      <w:b w:val="0"/>
                      <w:bCs w:val="0"/>
                      <w:i w:val="0"/>
                      <w:iCs w:val="0"/>
                      <w:caps w:val="0"/>
                      <w:color w:val="auto"/>
                      <w:spacing w:val="0"/>
                      <w:kern w:val="2"/>
                      <w:sz w:val="18"/>
                      <w:szCs w:val="18"/>
                      <w:shd w:val="clear" w:fill="FFFFFF"/>
                      <w:lang w:val="en-US" w:eastAsia="zh-CN" w:bidi="ar-SA"/>
                    </w:rPr>
                    <w:t>+99</w:t>
                  </w:r>
                  <w:r>
                    <w:rPr>
                      <w:rFonts w:hint="eastAsia" w:ascii="Times New Roman" w:hAnsi="Times New Roman" w:eastAsia="宋体" w:cs="Times New Roman"/>
                      <w:b w:val="0"/>
                      <w:bCs w:val="0"/>
                      <w:i w:val="0"/>
                      <w:iCs w:val="0"/>
                      <w:caps w:val="0"/>
                      <w:color w:val="auto"/>
                      <w:spacing w:val="0"/>
                      <w:kern w:val="2"/>
                      <w:sz w:val="18"/>
                      <w:szCs w:val="18"/>
                      <w:shd w:val="clear" w:fill="FFFFFF"/>
                      <w:lang w:val="en-US" w:eastAsia="zh-CN" w:bidi="ar-SA"/>
                    </w:rPr>
                    <w:t>362.03</w:t>
                  </w:r>
                </w:p>
              </w:tc>
              <w:tc>
                <w:tcPr>
                  <w:tcW w:w="10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i w:val="0"/>
                      <w:iCs w:val="0"/>
                      <w:caps w:val="0"/>
                      <w:color w:val="auto"/>
                      <w:spacing w:val="0"/>
                      <w:kern w:val="2"/>
                      <w:sz w:val="18"/>
                      <w:szCs w:val="18"/>
                      <w:shd w:val="clear" w:fill="FFFFFF"/>
                      <w:lang w:val="en-US" w:eastAsia="zh-CN" w:bidi="ar-SA"/>
                    </w:rPr>
                  </w:pPr>
                  <w:r>
                    <w:rPr>
                      <w:rFonts w:hint="eastAsia" w:ascii="Times New Roman" w:hAnsi="Times New Roman" w:eastAsia="宋体" w:cs="Times New Roman"/>
                      <w:b w:val="0"/>
                      <w:bCs w:val="0"/>
                      <w:i w:val="0"/>
                      <w:iCs w:val="0"/>
                      <w:caps w:val="0"/>
                      <w:color w:val="auto"/>
                      <w:spacing w:val="0"/>
                      <w:kern w:val="2"/>
                      <w:sz w:val="18"/>
                      <w:szCs w:val="18"/>
                      <w:shd w:val="clear" w:fill="FFFFFF"/>
                      <w:lang w:val="en-US" w:eastAsia="zh-CN" w:bidi="ar-SA"/>
                    </w:rPr>
                    <w:t>171562.03</w:t>
                  </w:r>
                  <w:r>
                    <w:rPr>
                      <w:rFonts w:hint="default" w:ascii="Times New Roman" w:hAnsi="Times New Roman" w:eastAsia="宋体" w:cs="Times New Roman"/>
                      <w:b w:val="0"/>
                      <w:bCs w:val="0"/>
                      <w:i w:val="0"/>
                      <w:iCs w:val="0"/>
                      <w:caps w:val="0"/>
                      <w:color w:val="auto"/>
                      <w:spacing w:val="0"/>
                      <w:kern w:val="2"/>
                      <w:sz w:val="18"/>
                      <w:szCs w:val="18"/>
                      <w:shd w:val="clear" w:fill="FFFFFF"/>
                      <w:lang w:val="en-US" w:eastAsia="zh-CN" w:bidi="ar-SA"/>
                    </w:rPr>
                    <w:t>t</w:t>
                  </w:r>
                </w:p>
              </w:tc>
              <w:tc>
                <w:tcPr>
                  <w:tcW w:w="691" w:type="dxa"/>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18"/>
                      <w:szCs w:val="18"/>
                      <w:vertAlign w:val="baseline"/>
                      <w:lang w:eastAsia="zh-CN"/>
                    </w:rPr>
                  </w:pPr>
                  <w:r>
                    <w:rPr>
                      <w:rFonts w:hint="default" w:ascii="Times New Roman" w:hAnsi="Times New Roman" w:cs="Times New Roman"/>
                      <w:color w:val="auto"/>
                      <w:sz w:val="18"/>
                      <w:szCs w:val="18"/>
                      <w:vertAlign w:val="baseline"/>
                      <w:lang w:eastAsia="zh-CN"/>
                    </w:rPr>
                    <w:t>原料仓库</w:t>
                  </w:r>
                </w:p>
              </w:tc>
              <w:tc>
                <w:tcPr>
                  <w:tcW w:w="947" w:type="dxa"/>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vertAlign w:val="baseline"/>
                      <w:lang w:val="en-US" w:eastAsia="zh-CN"/>
                    </w:rPr>
                    <w:t>1000t</w:t>
                  </w:r>
                </w:p>
              </w:tc>
              <w:tc>
                <w:tcPr>
                  <w:tcW w:w="583" w:type="dxa"/>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rPr>
                    <w:t>2</w:t>
                  </w:r>
                </w:p>
              </w:tc>
              <w:tc>
                <w:tcPr>
                  <w:tcW w:w="11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18"/>
                      <w:szCs w:val="18"/>
                      <w:vertAlign w:val="baseline"/>
                      <w:lang w:eastAsia="zh-CN"/>
                    </w:rPr>
                  </w:pPr>
                  <w:r>
                    <w:rPr>
                      <w:rFonts w:hint="default" w:ascii="Times New Roman" w:hAnsi="Times New Roman" w:cs="Times New Roman"/>
                      <w:color w:val="auto"/>
                      <w:sz w:val="18"/>
                      <w:szCs w:val="18"/>
                      <w:lang w:eastAsia="zh-CN"/>
                    </w:rPr>
                    <w:t>氧气</w:t>
                  </w:r>
                </w:p>
              </w:tc>
              <w:tc>
                <w:tcPr>
                  <w:tcW w:w="10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18"/>
                      <w:szCs w:val="18"/>
                      <w:vertAlign w:val="baseline"/>
                    </w:rPr>
                  </w:pPr>
                  <w:r>
                    <w:rPr>
                      <w:rFonts w:ascii="Times New Roman" w:hAnsi="Times New Roman"/>
                      <w:color w:val="auto"/>
                      <w:sz w:val="18"/>
                      <w:szCs w:val="18"/>
                    </w:rPr>
                    <w:t>/</w:t>
                  </w:r>
                </w:p>
              </w:tc>
              <w:tc>
                <w:tcPr>
                  <w:tcW w:w="10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460</w:t>
                  </w:r>
                  <w:r>
                    <w:rPr>
                      <w:rFonts w:hint="default" w:ascii="Times New Roman" w:hAnsi="Times New Roman" w:cs="Times New Roman"/>
                      <w:color w:val="auto"/>
                      <w:sz w:val="18"/>
                      <w:szCs w:val="18"/>
                      <w:lang w:val="en-US" w:eastAsia="zh-CN"/>
                    </w:rPr>
                    <w:t>m</w:t>
                  </w:r>
                  <w:r>
                    <w:rPr>
                      <w:rFonts w:hint="default" w:ascii="Times New Roman" w:hAnsi="Times New Roman" w:cs="Times New Roman"/>
                      <w:color w:val="auto"/>
                      <w:sz w:val="18"/>
                      <w:szCs w:val="18"/>
                      <w:vertAlign w:val="superscript"/>
                      <w:lang w:val="en-US" w:eastAsia="zh-CN"/>
                    </w:rPr>
                    <w:t>3</w:t>
                  </w:r>
                  <w:r>
                    <w:rPr>
                      <w:rFonts w:hint="default" w:ascii="Times New Roman" w:hAnsi="Times New Roman" w:cs="Times New Roman"/>
                      <w:color w:val="auto"/>
                      <w:sz w:val="18"/>
                      <w:szCs w:val="18"/>
                      <w:lang w:val="en-US" w:eastAsia="zh-CN"/>
                    </w:rPr>
                    <w:t>/a</w:t>
                  </w:r>
                </w:p>
              </w:tc>
              <w:tc>
                <w:tcPr>
                  <w:tcW w:w="10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+500</w:t>
                  </w:r>
                  <w:r>
                    <w:rPr>
                      <w:rFonts w:hint="default" w:ascii="Times New Roman" w:hAnsi="Times New Roman" w:cs="Times New Roman"/>
                      <w:color w:val="auto"/>
                      <w:sz w:val="18"/>
                      <w:szCs w:val="18"/>
                      <w:lang w:val="en-US" w:eastAsia="zh-CN"/>
                    </w:rPr>
                    <w:t>m</w:t>
                  </w:r>
                  <w:r>
                    <w:rPr>
                      <w:rFonts w:hint="default" w:ascii="Times New Roman" w:hAnsi="Times New Roman" w:cs="Times New Roman"/>
                      <w:color w:val="auto"/>
                      <w:sz w:val="18"/>
                      <w:szCs w:val="18"/>
                      <w:vertAlign w:val="superscript"/>
                      <w:lang w:val="en-US" w:eastAsia="zh-CN"/>
                    </w:rPr>
                    <w:t>3</w:t>
                  </w:r>
                  <w:r>
                    <w:rPr>
                      <w:rFonts w:hint="default" w:ascii="Times New Roman" w:hAnsi="Times New Roman" w:cs="Times New Roman"/>
                      <w:color w:val="auto"/>
                      <w:sz w:val="18"/>
                      <w:szCs w:val="18"/>
                      <w:lang w:val="en-US" w:eastAsia="zh-CN"/>
                    </w:rPr>
                    <w:t>/a</w:t>
                  </w:r>
                </w:p>
              </w:tc>
              <w:tc>
                <w:tcPr>
                  <w:tcW w:w="10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18"/>
                      <w:szCs w:val="18"/>
                    </w:rPr>
                  </w:pPr>
                  <w:r>
                    <w:rPr>
                      <w:rFonts w:hint="eastAsia" w:cs="Times New Roman"/>
                      <w:color w:val="auto"/>
                      <w:sz w:val="18"/>
                      <w:szCs w:val="18"/>
                      <w:lang w:val="en-US" w:eastAsia="zh-CN"/>
                    </w:rPr>
                    <w:t>960</w:t>
                  </w:r>
                  <w:r>
                    <w:rPr>
                      <w:rFonts w:hint="default" w:ascii="Times New Roman" w:hAnsi="Times New Roman" w:cs="Times New Roman"/>
                      <w:color w:val="auto"/>
                      <w:sz w:val="18"/>
                      <w:szCs w:val="18"/>
                      <w:lang w:val="en-US" w:eastAsia="zh-CN"/>
                    </w:rPr>
                    <w:t>m</w:t>
                  </w:r>
                  <w:r>
                    <w:rPr>
                      <w:rFonts w:hint="default" w:ascii="Times New Roman" w:hAnsi="Times New Roman" w:cs="Times New Roman"/>
                      <w:color w:val="auto"/>
                      <w:sz w:val="18"/>
                      <w:szCs w:val="18"/>
                      <w:vertAlign w:val="superscript"/>
                      <w:lang w:val="en-US" w:eastAsia="zh-CN"/>
                    </w:rPr>
                    <w:t>3</w:t>
                  </w:r>
                  <w:r>
                    <w:rPr>
                      <w:rFonts w:hint="default" w:ascii="Times New Roman" w:hAnsi="Times New Roman" w:cs="Times New Roman"/>
                      <w:color w:val="auto"/>
                      <w:sz w:val="18"/>
                      <w:szCs w:val="18"/>
                      <w:lang w:val="en-US" w:eastAsia="zh-CN"/>
                    </w:rPr>
                    <w:t>/a</w:t>
                  </w:r>
                </w:p>
              </w:tc>
              <w:tc>
                <w:tcPr>
                  <w:tcW w:w="691" w:type="dxa"/>
                  <w:vMerge w:val="restar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auto"/>
                      <w:sz w:val="18"/>
                      <w:szCs w:val="18"/>
                      <w:vertAlign w:val="baseline"/>
                      <w:lang w:eastAsia="zh-CN"/>
                    </w:rPr>
                  </w:pPr>
                  <w:r>
                    <w:rPr>
                      <w:rFonts w:hint="eastAsia" w:ascii="Times New Roman" w:hAnsi="Times New Roman" w:cs="Times New Roman"/>
                      <w:color w:val="auto"/>
                      <w:sz w:val="18"/>
                      <w:szCs w:val="18"/>
                      <w:vertAlign w:val="baseline"/>
                      <w:lang w:eastAsia="zh-CN"/>
                    </w:rPr>
                    <w:t>气瓶间</w:t>
                  </w:r>
                </w:p>
              </w:tc>
              <w:tc>
                <w:tcPr>
                  <w:tcW w:w="947" w:type="dxa"/>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cs="Times New Roman"/>
                      <w:color w:val="auto"/>
                      <w:sz w:val="18"/>
                      <w:szCs w:val="18"/>
                      <w:vertAlign w:val="baseline"/>
                      <w:lang w:val="en-US" w:eastAsia="zh-CN"/>
                    </w:rPr>
                    <w:t>12瓶/每瓶0.48</w:t>
                  </w:r>
                  <w:r>
                    <w:rPr>
                      <w:rFonts w:hint="default" w:ascii="Times New Roman" w:hAnsi="Times New Roman" w:cs="Times New Roman"/>
                      <w:color w:val="auto"/>
                      <w:sz w:val="18"/>
                      <w:szCs w:val="18"/>
                      <w:lang w:val="en-US" w:eastAsia="zh-CN"/>
                    </w:rPr>
                    <w:t>m</w:t>
                  </w:r>
                  <w:r>
                    <w:rPr>
                      <w:rFonts w:hint="default" w:ascii="Times New Roman" w:hAnsi="Times New Roman" w:cs="Times New Roman"/>
                      <w:color w:val="auto"/>
                      <w:sz w:val="18"/>
                      <w:szCs w:val="18"/>
                      <w:vertAlign w:val="superscript"/>
                      <w:lang w:val="en-US" w:eastAsia="zh-CN"/>
                    </w:rPr>
                    <w:t>3</w:t>
                  </w:r>
                </w:p>
              </w:tc>
              <w:tc>
                <w:tcPr>
                  <w:tcW w:w="583" w:type="dxa"/>
                  <w:vMerge w:val="restar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auto"/>
                      <w:sz w:val="18"/>
                      <w:szCs w:val="18"/>
                      <w:vertAlign w:val="baseline"/>
                      <w:lang w:eastAsia="zh-CN"/>
                    </w:rPr>
                  </w:pPr>
                  <w:r>
                    <w:rPr>
                      <w:rFonts w:hint="eastAsia" w:ascii="Times New Roman" w:hAnsi="Times New Roman" w:cs="Times New Roman"/>
                      <w:color w:val="auto"/>
                      <w:sz w:val="18"/>
                      <w:szCs w:val="18"/>
                      <w:vertAlign w:val="baseline"/>
                      <w:lang w:eastAsia="zh-CN"/>
                    </w:rPr>
                    <w:t>设备维修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3</w:t>
                  </w:r>
                </w:p>
              </w:tc>
              <w:tc>
                <w:tcPr>
                  <w:tcW w:w="11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eastAsia="zh-CN"/>
                    </w:rPr>
                    <w:t>液化石油气</w:t>
                  </w:r>
                </w:p>
              </w:tc>
              <w:tc>
                <w:tcPr>
                  <w:tcW w:w="10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18"/>
                      <w:szCs w:val="18"/>
                    </w:rPr>
                  </w:pPr>
                  <w:r>
                    <w:rPr>
                      <w:rFonts w:ascii="Times New Roman" w:hAnsi="Times New Roman"/>
                      <w:color w:val="auto"/>
                      <w:sz w:val="18"/>
                      <w:szCs w:val="18"/>
                    </w:rPr>
                    <w:t>/</w:t>
                  </w:r>
                </w:p>
              </w:tc>
              <w:tc>
                <w:tcPr>
                  <w:tcW w:w="10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3m</w:t>
                  </w:r>
                  <w:r>
                    <w:rPr>
                      <w:rFonts w:hint="default" w:ascii="Times New Roman" w:hAnsi="Times New Roman" w:cs="Times New Roman"/>
                      <w:color w:val="auto"/>
                      <w:sz w:val="18"/>
                      <w:szCs w:val="18"/>
                      <w:vertAlign w:val="superscript"/>
                      <w:lang w:val="en-US" w:eastAsia="zh-CN"/>
                    </w:rPr>
                    <w:t>3</w:t>
                  </w:r>
                  <w:r>
                    <w:rPr>
                      <w:rFonts w:hint="default" w:ascii="Times New Roman" w:hAnsi="Times New Roman" w:cs="Times New Roman"/>
                      <w:color w:val="auto"/>
                      <w:sz w:val="18"/>
                      <w:szCs w:val="18"/>
                      <w:lang w:val="en-US" w:eastAsia="zh-CN"/>
                    </w:rPr>
                    <w:t>/a</w:t>
                  </w:r>
                </w:p>
              </w:tc>
              <w:tc>
                <w:tcPr>
                  <w:tcW w:w="10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r>
                    <w:rPr>
                      <w:rFonts w:hint="default" w:ascii="Times New Roman" w:hAnsi="Times New Roman" w:cs="Times New Roman"/>
                      <w:color w:val="auto"/>
                      <w:sz w:val="18"/>
                      <w:szCs w:val="18"/>
                      <w:lang w:val="en-US" w:eastAsia="zh-CN"/>
                    </w:rPr>
                    <w:t>3m</w:t>
                  </w:r>
                  <w:r>
                    <w:rPr>
                      <w:rFonts w:hint="default" w:ascii="Times New Roman" w:hAnsi="Times New Roman" w:cs="Times New Roman"/>
                      <w:color w:val="auto"/>
                      <w:sz w:val="18"/>
                      <w:szCs w:val="18"/>
                      <w:vertAlign w:val="superscript"/>
                      <w:lang w:val="en-US" w:eastAsia="zh-CN"/>
                    </w:rPr>
                    <w:t>3</w:t>
                  </w:r>
                  <w:r>
                    <w:rPr>
                      <w:rFonts w:hint="default" w:ascii="Times New Roman" w:hAnsi="Times New Roman" w:cs="Times New Roman"/>
                      <w:color w:val="auto"/>
                      <w:sz w:val="18"/>
                      <w:szCs w:val="18"/>
                      <w:lang w:val="en-US" w:eastAsia="zh-CN"/>
                    </w:rPr>
                    <w:t>/a</w:t>
                  </w:r>
                </w:p>
              </w:tc>
              <w:tc>
                <w:tcPr>
                  <w:tcW w:w="10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0</w:t>
                  </w:r>
                </w:p>
              </w:tc>
              <w:tc>
                <w:tcPr>
                  <w:tcW w:w="691" w:type="dxa"/>
                  <w:vMerge w:val="continue"/>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vertAlign w:val="baseline"/>
                    </w:rPr>
                  </w:pPr>
                </w:p>
              </w:tc>
              <w:tc>
                <w:tcPr>
                  <w:tcW w:w="947" w:type="dxa"/>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vertAlign w:val="baseline"/>
                      <w:lang w:val="en-US" w:eastAsia="zh-CN"/>
                    </w:rPr>
                  </w:pPr>
                  <w:r>
                    <w:rPr>
                      <w:rFonts w:hint="default" w:ascii="Times New Roman" w:hAnsi="Times New Roman" w:cs="Times New Roman"/>
                      <w:color w:val="auto"/>
                      <w:sz w:val="18"/>
                      <w:szCs w:val="18"/>
                      <w:vertAlign w:val="baseline"/>
                      <w:lang w:val="en-US" w:eastAsia="zh-CN"/>
                    </w:rPr>
                    <w:t>3瓶/每瓶0.09</w:t>
                  </w:r>
                  <w:r>
                    <w:rPr>
                      <w:rFonts w:hint="default" w:ascii="Times New Roman" w:hAnsi="Times New Roman" w:cs="Times New Roman"/>
                      <w:color w:val="auto"/>
                      <w:sz w:val="18"/>
                      <w:szCs w:val="18"/>
                      <w:lang w:val="en-US" w:eastAsia="zh-CN"/>
                    </w:rPr>
                    <w:t>m</w:t>
                  </w:r>
                  <w:r>
                    <w:rPr>
                      <w:rFonts w:hint="default" w:ascii="Times New Roman" w:hAnsi="Times New Roman" w:cs="Times New Roman"/>
                      <w:color w:val="auto"/>
                      <w:sz w:val="18"/>
                      <w:szCs w:val="18"/>
                      <w:vertAlign w:val="superscript"/>
                      <w:lang w:val="en-US" w:eastAsia="zh-CN"/>
                    </w:rPr>
                    <w:t>3</w:t>
                  </w:r>
                </w:p>
              </w:tc>
              <w:tc>
                <w:tcPr>
                  <w:tcW w:w="583" w:type="dxa"/>
                  <w:vMerge w:val="continue"/>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416"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4</w:t>
                  </w:r>
                </w:p>
              </w:tc>
              <w:tc>
                <w:tcPr>
                  <w:tcW w:w="11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18"/>
                      <w:szCs w:val="18"/>
                      <w:lang w:eastAsia="zh-CN"/>
                    </w:rPr>
                  </w:pPr>
                  <w:r>
                    <w:rPr>
                      <w:rFonts w:hint="eastAsia" w:cs="Times New Roman"/>
                      <w:color w:val="auto"/>
                      <w:sz w:val="18"/>
                      <w:szCs w:val="18"/>
                      <w:lang w:eastAsia="zh-CN"/>
                    </w:rPr>
                    <w:t>丙烷</w:t>
                  </w:r>
                </w:p>
              </w:tc>
              <w:tc>
                <w:tcPr>
                  <w:tcW w:w="10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olor w:val="auto"/>
                      <w:sz w:val="18"/>
                      <w:szCs w:val="18"/>
                    </w:rPr>
                  </w:pPr>
                  <w:r>
                    <w:rPr>
                      <w:rFonts w:ascii="Times New Roman" w:hAnsi="Times New Roman"/>
                      <w:color w:val="auto"/>
                      <w:sz w:val="18"/>
                      <w:szCs w:val="18"/>
                    </w:rPr>
                    <w:t>/</w:t>
                  </w:r>
                </w:p>
              </w:tc>
              <w:tc>
                <w:tcPr>
                  <w:tcW w:w="10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0</w:t>
                  </w:r>
                </w:p>
              </w:tc>
              <w:tc>
                <w:tcPr>
                  <w:tcW w:w="10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+1</w:t>
                  </w:r>
                  <w:r>
                    <w:rPr>
                      <w:rFonts w:hint="default" w:ascii="Times New Roman" w:hAnsi="Times New Roman" w:cs="Times New Roman"/>
                      <w:color w:val="auto"/>
                      <w:sz w:val="18"/>
                      <w:szCs w:val="18"/>
                    </w:rPr>
                    <w:t>t</w:t>
                  </w:r>
                </w:p>
              </w:tc>
              <w:tc>
                <w:tcPr>
                  <w:tcW w:w="10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1</w:t>
                  </w:r>
                  <w:r>
                    <w:rPr>
                      <w:rFonts w:hint="default" w:ascii="Times New Roman" w:hAnsi="Times New Roman" w:cs="Times New Roman"/>
                      <w:color w:val="auto"/>
                      <w:sz w:val="18"/>
                      <w:szCs w:val="18"/>
                    </w:rPr>
                    <w:t>t</w:t>
                  </w:r>
                </w:p>
              </w:tc>
              <w:tc>
                <w:tcPr>
                  <w:tcW w:w="691" w:type="dxa"/>
                  <w:vMerge w:val="continue"/>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vertAlign w:val="baseline"/>
                    </w:rPr>
                  </w:pPr>
                </w:p>
              </w:tc>
              <w:tc>
                <w:tcPr>
                  <w:tcW w:w="947" w:type="dxa"/>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vertAlign w:val="baseline"/>
                      <w:lang w:val="en-US" w:eastAsia="zh-CN"/>
                    </w:rPr>
                  </w:pPr>
                  <w:r>
                    <w:rPr>
                      <w:rFonts w:hint="default" w:ascii="Times New Roman" w:hAnsi="Times New Roman" w:cs="Times New Roman"/>
                      <w:color w:val="auto"/>
                      <w:sz w:val="18"/>
                      <w:szCs w:val="18"/>
                      <w:vertAlign w:val="baseline"/>
                      <w:lang w:val="en-US" w:eastAsia="zh-CN"/>
                    </w:rPr>
                    <w:t>3瓶/每瓶</w:t>
                  </w:r>
                  <w:r>
                    <w:rPr>
                      <w:rFonts w:hint="eastAsia" w:ascii="Times New Roman" w:hAnsi="Times New Roman" w:cs="Times New Roman"/>
                      <w:color w:val="auto"/>
                      <w:sz w:val="18"/>
                      <w:szCs w:val="18"/>
                      <w:vertAlign w:val="baseline"/>
                      <w:lang w:val="en-US" w:eastAsia="zh-CN"/>
                    </w:rPr>
                    <w:t>500kg</w:t>
                  </w:r>
                </w:p>
              </w:tc>
              <w:tc>
                <w:tcPr>
                  <w:tcW w:w="583" w:type="dxa"/>
                  <w:vMerge w:val="continue"/>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6"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5</w:t>
                  </w:r>
                </w:p>
              </w:tc>
              <w:tc>
                <w:tcPr>
                  <w:tcW w:w="11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18"/>
                      <w:szCs w:val="18"/>
                      <w:lang w:eastAsia="zh-CN"/>
                    </w:rPr>
                  </w:pPr>
                  <w:r>
                    <w:rPr>
                      <w:rFonts w:hint="eastAsia" w:cs="Times New Roman"/>
                      <w:color w:val="auto"/>
                      <w:sz w:val="18"/>
                      <w:szCs w:val="18"/>
                      <w:lang w:eastAsia="zh-CN"/>
                    </w:rPr>
                    <w:t>切削液</w:t>
                  </w:r>
                </w:p>
              </w:tc>
              <w:tc>
                <w:tcPr>
                  <w:tcW w:w="10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olor w:val="auto"/>
                      <w:sz w:val="18"/>
                      <w:szCs w:val="18"/>
                    </w:rPr>
                  </w:pPr>
                  <w:r>
                    <w:rPr>
                      <w:rFonts w:ascii="宋体" w:hAnsi="宋体" w:eastAsia="宋体" w:cs="宋体"/>
                      <w:b w:val="0"/>
                      <w:bCs w:val="0"/>
                      <w:color w:val="auto"/>
                      <w:sz w:val="18"/>
                      <w:szCs w:val="18"/>
                    </w:rPr>
                    <w:t>水、极压剂、防锈剂、抗氧化剂、消泡剂、杀菌剂</w:t>
                  </w:r>
                </w:p>
              </w:tc>
              <w:tc>
                <w:tcPr>
                  <w:tcW w:w="10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0.1</w:t>
                  </w:r>
                  <w:r>
                    <w:rPr>
                      <w:rFonts w:hint="default" w:ascii="Times New Roman" w:hAnsi="Times New Roman" w:cs="Times New Roman"/>
                      <w:color w:val="auto"/>
                      <w:sz w:val="18"/>
                      <w:szCs w:val="18"/>
                      <w:lang w:val="en-US" w:eastAsia="zh-CN"/>
                    </w:rPr>
                    <w:t>t</w:t>
                  </w:r>
                </w:p>
              </w:tc>
              <w:tc>
                <w:tcPr>
                  <w:tcW w:w="10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+0.137</w:t>
                  </w:r>
                  <w:r>
                    <w:rPr>
                      <w:rFonts w:hint="default" w:ascii="Times New Roman" w:hAnsi="Times New Roman" w:cs="Times New Roman"/>
                      <w:color w:val="auto"/>
                      <w:sz w:val="18"/>
                      <w:szCs w:val="18"/>
                      <w:lang w:val="en-US" w:eastAsia="zh-CN"/>
                    </w:rPr>
                    <w:t>t</w:t>
                  </w:r>
                </w:p>
              </w:tc>
              <w:tc>
                <w:tcPr>
                  <w:tcW w:w="10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0.237</w:t>
                  </w:r>
                  <w:r>
                    <w:rPr>
                      <w:rFonts w:hint="default" w:ascii="Times New Roman" w:hAnsi="Times New Roman" w:cs="Times New Roman"/>
                      <w:color w:val="auto"/>
                      <w:sz w:val="18"/>
                      <w:szCs w:val="18"/>
                      <w:lang w:val="en-US" w:eastAsia="zh-CN"/>
                    </w:rPr>
                    <w:t>t</w:t>
                  </w:r>
                </w:p>
              </w:tc>
              <w:tc>
                <w:tcPr>
                  <w:tcW w:w="691" w:type="dxa"/>
                  <w:vMerge w:val="restar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18"/>
                      <w:szCs w:val="18"/>
                      <w:vertAlign w:val="baseline"/>
                      <w:lang w:eastAsia="zh-CN"/>
                    </w:rPr>
                  </w:pPr>
                  <w:r>
                    <w:rPr>
                      <w:rFonts w:hint="default" w:ascii="Times New Roman" w:hAnsi="Times New Roman" w:cs="Times New Roman"/>
                      <w:color w:val="auto"/>
                      <w:sz w:val="18"/>
                      <w:szCs w:val="18"/>
                      <w:vertAlign w:val="baseline"/>
                      <w:lang w:eastAsia="zh-CN"/>
                    </w:rPr>
                    <w:t>生产车间</w:t>
                  </w:r>
                </w:p>
              </w:tc>
              <w:tc>
                <w:tcPr>
                  <w:tcW w:w="947" w:type="dxa"/>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vertAlign w:val="baseline"/>
                      <w:lang w:val="en-US" w:eastAsia="zh-CN"/>
                    </w:rPr>
                  </w:pPr>
                  <w:r>
                    <w:rPr>
                      <w:rFonts w:hint="eastAsia" w:ascii="Times New Roman" w:hAnsi="Times New Roman" w:cs="Times New Roman"/>
                      <w:color w:val="auto"/>
                      <w:sz w:val="18"/>
                      <w:szCs w:val="18"/>
                      <w:vertAlign w:val="baseline"/>
                      <w:lang w:val="en-US" w:eastAsia="zh-CN"/>
                    </w:rPr>
                    <w:t>50kg</w:t>
                  </w:r>
                </w:p>
              </w:tc>
              <w:tc>
                <w:tcPr>
                  <w:tcW w:w="583" w:type="dxa"/>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6"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6</w:t>
                  </w:r>
                </w:p>
              </w:tc>
              <w:tc>
                <w:tcPr>
                  <w:tcW w:w="11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18"/>
                      <w:szCs w:val="18"/>
                      <w:lang w:eastAsia="zh-CN"/>
                    </w:rPr>
                  </w:pPr>
                  <w:r>
                    <w:rPr>
                      <w:rFonts w:hint="eastAsia" w:cs="Times New Roman"/>
                      <w:color w:val="auto"/>
                      <w:sz w:val="18"/>
                      <w:szCs w:val="18"/>
                      <w:lang w:eastAsia="zh-CN"/>
                    </w:rPr>
                    <w:t>乳化液</w:t>
                  </w:r>
                </w:p>
              </w:tc>
              <w:tc>
                <w:tcPr>
                  <w:tcW w:w="10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olor w:val="auto"/>
                      <w:sz w:val="18"/>
                      <w:szCs w:val="18"/>
                    </w:rPr>
                  </w:pPr>
                  <w:r>
                    <w:rPr>
                      <w:rFonts w:ascii="Times New Roman" w:hAnsi="Times New Roman"/>
                      <w:color w:val="auto"/>
                      <w:sz w:val="18"/>
                      <w:szCs w:val="18"/>
                    </w:rPr>
                    <w:t>/</w:t>
                  </w:r>
                </w:p>
              </w:tc>
              <w:tc>
                <w:tcPr>
                  <w:tcW w:w="10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0.1</w:t>
                  </w:r>
                  <w:r>
                    <w:rPr>
                      <w:rFonts w:hint="default" w:ascii="Times New Roman" w:hAnsi="Times New Roman" w:cs="Times New Roman"/>
                      <w:color w:val="auto"/>
                      <w:sz w:val="18"/>
                      <w:szCs w:val="18"/>
                      <w:lang w:val="en-US" w:eastAsia="zh-CN"/>
                    </w:rPr>
                    <w:t>t</w:t>
                  </w:r>
                </w:p>
              </w:tc>
              <w:tc>
                <w:tcPr>
                  <w:tcW w:w="10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+0.137</w:t>
                  </w:r>
                  <w:r>
                    <w:rPr>
                      <w:rFonts w:hint="default" w:ascii="Times New Roman" w:hAnsi="Times New Roman" w:cs="Times New Roman"/>
                      <w:color w:val="auto"/>
                      <w:sz w:val="18"/>
                      <w:szCs w:val="18"/>
                      <w:lang w:val="en-US" w:eastAsia="zh-CN"/>
                    </w:rPr>
                    <w:t>t</w:t>
                  </w:r>
                </w:p>
              </w:tc>
              <w:tc>
                <w:tcPr>
                  <w:tcW w:w="10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0.237</w:t>
                  </w:r>
                  <w:r>
                    <w:rPr>
                      <w:rFonts w:hint="default" w:ascii="Times New Roman" w:hAnsi="Times New Roman" w:cs="Times New Roman"/>
                      <w:color w:val="auto"/>
                      <w:sz w:val="18"/>
                      <w:szCs w:val="18"/>
                      <w:lang w:val="en-US" w:eastAsia="zh-CN"/>
                    </w:rPr>
                    <w:t>t</w:t>
                  </w:r>
                </w:p>
              </w:tc>
              <w:tc>
                <w:tcPr>
                  <w:tcW w:w="691" w:type="dxa"/>
                  <w:vMerge w:val="continue"/>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vertAlign w:val="baseline"/>
                    </w:rPr>
                  </w:pPr>
                </w:p>
              </w:tc>
              <w:tc>
                <w:tcPr>
                  <w:tcW w:w="947" w:type="dxa"/>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vertAlign w:val="baseline"/>
                      <w:lang w:val="en-US" w:eastAsia="zh-CN"/>
                    </w:rPr>
                  </w:pPr>
                  <w:r>
                    <w:rPr>
                      <w:rFonts w:hint="eastAsia" w:ascii="Times New Roman" w:hAnsi="Times New Roman" w:cs="Times New Roman"/>
                      <w:color w:val="auto"/>
                      <w:sz w:val="18"/>
                      <w:szCs w:val="18"/>
                      <w:vertAlign w:val="baseline"/>
                      <w:lang w:val="en-US" w:eastAsia="zh-CN"/>
                    </w:rPr>
                    <w:t>50kg</w:t>
                  </w:r>
                </w:p>
              </w:tc>
              <w:tc>
                <w:tcPr>
                  <w:tcW w:w="583" w:type="dxa"/>
                  <w:vMerge w:val="restar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auto"/>
                      <w:sz w:val="18"/>
                      <w:szCs w:val="18"/>
                      <w:vertAlign w:val="baseline"/>
                      <w:lang w:eastAsia="zh-CN"/>
                    </w:rPr>
                  </w:pPr>
                  <w:r>
                    <w:rPr>
                      <w:rFonts w:hint="eastAsia" w:ascii="Times New Roman" w:hAnsi="Times New Roman" w:cs="Times New Roman"/>
                      <w:color w:val="auto"/>
                      <w:sz w:val="18"/>
                      <w:szCs w:val="18"/>
                      <w:vertAlign w:val="baseline"/>
                      <w:lang w:eastAsia="zh-CN"/>
                    </w:rPr>
                    <w:t>设备维护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416"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7</w:t>
                  </w:r>
                </w:p>
              </w:tc>
              <w:tc>
                <w:tcPr>
                  <w:tcW w:w="11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18"/>
                      <w:szCs w:val="18"/>
                      <w:lang w:eastAsia="zh-CN"/>
                    </w:rPr>
                  </w:pPr>
                  <w:r>
                    <w:rPr>
                      <w:rFonts w:hint="eastAsia" w:cs="Times New Roman"/>
                      <w:color w:val="auto"/>
                      <w:sz w:val="18"/>
                      <w:szCs w:val="18"/>
                      <w:lang w:eastAsia="zh-CN"/>
                    </w:rPr>
                    <w:t>润滑油</w:t>
                  </w:r>
                </w:p>
              </w:tc>
              <w:tc>
                <w:tcPr>
                  <w:tcW w:w="10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18"/>
                      <w:szCs w:val="18"/>
                      <w:lang w:eastAsia="zh-CN"/>
                    </w:rPr>
                  </w:pPr>
                  <w:r>
                    <w:rPr>
                      <w:rFonts w:ascii="宋体" w:hAnsi="宋体" w:eastAsia="宋体" w:cs="宋体"/>
                      <w:b w:val="0"/>
                      <w:bCs w:val="0"/>
                      <w:color w:val="auto"/>
                      <w:sz w:val="18"/>
                      <w:szCs w:val="18"/>
                    </w:rPr>
                    <w:t>防锈剂</w:t>
                  </w:r>
                  <w:r>
                    <w:rPr>
                      <w:rFonts w:hint="eastAsia" w:ascii="宋体" w:hAnsi="宋体" w:eastAsia="宋体" w:cs="宋体"/>
                      <w:b w:val="0"/>
                      <w:bCs w:val="0"/>
                      <w:color w:val="auto"/>
                      <w:sz w:val="18"/>
                      <w:szCs w:val="18"/>
                      <w:lang w:eastAsia="zh-CN"/>
                    </w:rPr>
                    <w:t>、</w:t>
                  </w:r>
                  <w:r>
                    <w:rPr>
                      <w:rFonts w:ascii="宋体" w:hAnsi="宋体" w:eastAsia="宋体" w:cs="宋体"/>
                      <w:b w:val="0"/>
                      <w:bCs w:val="0"/>
                      <w:color w:val="auto"/>
                      <w:sz w:val="18"/>
                      <w:szCs w:val="18"/>
                    </w:rPr>
                    <w:t>润滑剂</w:t>
                  </w:r>
                  <w:r>
                    <w:rPr>
                      <w:rFonts w:hint="eastAsia" w:ascii="宋体" w:hAnsi="宋体" w:eastAsia="宋体" w:cs="宋体"/>
                      <w:b w:val="0"/>
                      <w:bCs w:val="0"/>
                      <w:color w:val="auto"/>
                      <w:sz w:val="18"/>
                      <w:szCs w:val="18"/>
                      <w:lang w:eastAsia="zh-CN"/>
                    </w:rPr>
                    <w:t>、</w:t>
                  </w:r>
                  <w:r>
                    <w:rPr>
                      <w:rFonts w:ascii="宋体" w:hAnsi="宋体" w:eastAsia="宋体" w:cs="宋体"/>
                      <w:b w:val="0"/>
                      <w:bCs w:val="0"/>
                      <w:color w:val="auto"/>
                      <w:sz w:val="18"/>
                      <w:szCs w:val="18"/>
                    </w:rPr>
                    <w:t>合成添加剂</w:t>
                  </w:r>
                  <w:r>
                    <w:rPr>
                      <w:rFonts w:hint="eastAsia" w:ascii="宋体" w:hAnsi="宋体" w:eastAsia="宋体" w:cs="宋体"/>
                      <w:b w:val="0"/>
                      <w:bCs w:val="0"/>
                      <w:color w:val="auto"/>
                      <w:sz w:val="18"/>
                      <w:szCs w:val="18"/>
                      <w:lang w:eastAsia="zh-CN"/>
                    </w:rPr>
                    <w:t>、</w:t>
                  </w:r>
                  <w:r>
                    <w:rPr>
                      <w:rFonts w:ascii="宋体" w:hAnsi="宋体" w:eastAsia="宋体" w:cs="宋体"/>
                      <w:b w:val="0"/>
                      <w:bCs w:val="0"/>
                      <w:color w:val="auto"/>
                      <w:sz w:val="18"/>
                      <w:szCs w:val="18"/>
                    </w:rPr>
                    <w:t>沉降剂</w:t>
                  </w:r>
                </w:p>
              </w:tc>
              <w:tc>
                <w:tcPr>
                  <w:tcW w:w="10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0.1</w:t>
                  </w:r>
                  <w:r>
                    <w:rPr>
                      <w:rFonts w:hint="default" w:ascii="Times New Roman" w:hAnsi="Times New Roman" w:cs="Times New Roman"/>
                      <w:color w:val="auto"/>
                      <w:sz w:val="18"/>
                      <w:szCs w:val="18"/>
                      <w:lang w:val="en-US" w:eastAsia="zh-CN"/>
                    </w:rPr>
                    <w:t>t</w:t>
                  </w:r>
                </w:p>
              </w:tc>
              <w:tc>
                <w:tcPr>
                  <w:tcW w:w="10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+0.137</w:t>
                  </w:r>
                  <w:r>
                    <w:rPr>
                      <w:rFonts w:hint="default" w:ascii="Times New Roman" w:hAnsi="Times New Roman" w:cs="Times New Roman"/>
                      <w:color w:val="auto"/>
                      <w:sz w:val="18"/>
                      <w:szCs w:val="18"/>
                      <w:lang w:val="en-US" w:eastAsia="zh-CN"/>
                    </w:rPr>
                    <w:t>t</w:t>
                  </w:r>
                </w:p>
              </w:tc>
              <w:tc>
                <w:tcPr>
                  <w:tcW w:w="10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0.237</w:t>
                  </w:r>
                  <w:r>
                    <w:rPr>
                      <w:rFonts w:hint="default" w:ascii="Times New Roman" w:hAnsi="Times New Roman" w:cs="Times New Roman"/>
                      <w:color w:val="auto"/>
                      <w:sz w:val="18"/>
                      <w:szCs w:val="18"/>
                      <w:lang w:val="en-US" w:eastAsia="zh-CN"/>
                    </w:rPr>
                    <w:t>t</w:t>
                  </w:r>
                </w:p>
              </w:tc>
              <w:tc>
                <w:tcPr>
                  <w:tcW w:w="691" w:type="dxa"/>
                  <w:vMerge w:val="continue"/>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vertAlign w:val="baseline"/>
                    </w:rPr>
                  </w:pPr>
                </w:p>
              </w:tc>
              <w:tc>
                <w:tcPr>
                  <w:tcW w:w="947" w:type="dxa"/>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Times New Roman" w:hAnsi="Times New Roman" w:cs="Times New Roman"/>
                      <w:color w:val="auto"/>
                      <w:sz w:val="18"/>
                      <w:szCs w:val="18"/>
                      <w:vertAlign w:val="baseline"/>
                      <w:lang w:val="en-US" w:eastAsia="zh-CN"/>
                    </w:rPr>
                  </w:pPr>
                  <w:r>
                    <w:rPr>
                      <w:rFonts w:hint="eastAsia" w:ascii="Times New Roman" w:hAnsi="Times New Roman" w:cs="Times New Roman"/>
                      <w:color w:val="auto"/>
                      <w:sz w:val="18"/>
                      <w:szCs w:val="18"/>
                      <w:vertAlign w:val="baseline"/>
                      <w:lang w:val="en-US" w:eastAsia="zh-CN"/>
                    </w:rPr>
                    <w:t>50kg</w:t>
                  </w:r>
                </w:p>
              </w:tc>
              <w:tc>
                <w:tcPr>
                  <w:tcW w:w="583" w:type="dxa"/>
                  <w:vMerge w:val="continue"/>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Times New Roman" w:hAnsi="Times New Roman" w:cs="Times New Roman"/>
                      <w:color w:val="auto"/>
                      <w:sz w:val="18"/>
                      <w:szCs w:val="18"/>
                      <w:vertAlign w:val="baseline"/>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416"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8</w:t>
                  </w:r>
                </w:p>
              </w:tc>
              <w:tc>
                <w:tcPr>
                  <w:tcW w:w="11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eastAsia="zh-CN"/>
                    </w:rPr>
                    <w:t>机油</w:t>
                  </w:r>
                </w:p>
              </w:tc>
              <w:tc>
                <w:tcPr>
                  <w:tcW w:w="10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18"/>
                      <w:szCs w:val="18"/>
                    </w:rPr>
                  </w:pPr>
                  <w:r>
                    <w:rPr>
                      <w:rFonts w:ascii="Times New Roman" w:hAnsi="Times New Roman"/>
                      <w:color w:val="auto"/>
                      <w:sz w:val="18"/>
                      <w:szCs w:val="18"/>
                    </w:rPr>
                    <w:t>/</w:t>
                  </w:r>
                </w:p>
              </w:tc>
              <w:tc>
                <w:tcPr>
                  <w:tcW w:w="10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0.2</w:t>
                  </w:r>
                  <w:r>
                    <w:rPr>
                      <w:rFonts w:hint="default" w:ascii="Times New Roman" w:hAnsi="Times New Roman" w:cs="Times New Roman"/>
                      <w:color w:val="auto"/>
                      <w:sz w:val="18"/>
                      <w:szCs w:val="18"/>
                      <w:lang w:val="en-US" w:eastAsia="zh-CN"/>
                    </w:rPr>
                    <w:t>t</w:t>
                  </w:r>
                </w:p>
              </w:tc>
              <w:tc>
                <w:tcPr>
                  <w:tcW w:w="10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+0.2</w:t>
                  </w:r>
                  <w:r>
                    <w:rPr>
                      <w:rFonts w:hint="default" w:ascii="Times New Roman" w:hAnsi="Times New Roman" w:cs="Times New Roman"/>
                      <w:color w:val="auto"/>
                      <w:sz w:val="18"/>
                      <w:szCs w:val="18"/>
                      <w:lang w:val="en-US" w:eastAsia="zh-CN"/>
                    </w:rPr>
                    <w:t>t</w:t>
                  </w:r>
                </w:p>
              </w:tc>
              <w:tc>
                <w:tcPr>
                  <w:tcW w:w="10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0.5t</w:t>
                  </w:r>
                </w:p>
              </w:tc>
              <w:tc>
                <w:tcPr>
                  <w:tcW w:w="691" w:type="dxa"/>
                  <w:vMerge w:val="continue"/>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18"/>
                      <w:szCs w:val="18"/>
                      <w:vertAlign w:val="baseline"/>
                      <w:lang w:eastAsia="zh-CN"/>
                    </w:rPr>
                  </w:pPr>
                </w:p>
              </w:tc>
              <w:tc>
                <w:tcPr>
                  <w:tcW w:w="947" w:type="dxa"/>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vertAlign w:val="baseline"/>
                      <w:lang w:val="en-US" w:eastAsia="zh-CN"/>
                    </w:rPr>
                  </w:pPr>
                  <w:r>
                    <w:rPr>
                      <w:rFonts w:hint="default" w:ascii="Times New Roman" w:hAnsi="Times New Roman" w:cs="Times New Roman"/>
                      <w:color w:val="auto"/>
                      <w:sz w:val="18"/>
                      <w:szCs w:val="18"/>
                      <w:vertAlign w:val="baseline"/>
                      <w:lang w:val="en-US" w:eastAsia="zh-CN"/>
                    </w:rPr>
                    <w:t>500kg</w:t>
                  </w:r>
                </w:p>
              </w:tc>
              <w:tc>
                <w:tcPr>
                  <w:tcW w:w="583" w:type="dxa"/>
                  <w:vMerge w:val="continue"/>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416"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9</w:t>
                  </w:r>
                </w:p>
              </w:tc>
              <w:tc>
                <w:tcPr>
                  <w:tcW w:w="11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18"/>
                      <w:szCs w:val="18"/>
                      <w:lang w:eastAsia="zh-CN"/>
                    </w:rPr>
                  </w:pPr>
                  <w:r>
                    <w:rPr>
                      <w:rFonts w:hint="eastAsia" w:cs="Times New Roman"/>
                      <w:color w:val="auto"/>
                      <w:sz w:val="18"/>
                      <w:szCs w:val="18"/>
                      <w:lang w:eastAsia="zh-CN"/>
                    </w:rPr>
                    <w:t>液压油</w:t>
                  </w:r>
                </w:p>
              </w:tc>
              <w:tc>
                <w:tcPr>
                  <w:tcW w:w="10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olor w:val="auto"/>
                      <w:sz w:val="18"/>
                      <w:szCs w:val="18"/>
                    </w:rPr>
                  </w:pPr>
                  <w:r>
                    <w:rPr>
                      <w:rFonts w:ascii="Times New Roman" w:hAnsi="Times New Roman"/>
                      <w:color w:val="auto"/>
                      <w:sz w:val="18"/>
                      <w:szCs w:val="18"/>
                    </w:rPr>
                    <w:t>/</w:t>
                  </w:r>
                </w:p>
              </w:tc>
              <w:tc>
                <w:tcPr>
                  <w:tcW w:w="10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21t</w:t>
                  </w:r>
                </w:p>
              </w:tc>
              <w:tc>
                <w:tcPr>
                  <w:tcW w:w="10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+30t</w:t>
                  </w:r>
                </w:p>
              </w:tc>
              <w:tc>
                <w:tcPr>
                  <w:tcW w:w="10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51t</w:t>
                  </w:r>
                </w:p>
              </w:tc>
              <w:tc>
                <w:tcPr>
                  <w:tcW w:w="691" w:type="dxa"/>
                  <w:vMerge w:val="continue"/>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vertAlign w:val="baseline"/>
                      <w:lang w:eastAsia="zh-CN"/>
                    </w:rPr>
                  </w:pPr>
                </w:p>
              </w:tc>
              <w:tc>
                <w:tcPr>
                  <w:tcW w:w="947" w:type="dxa"/>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vertAlign w:val="baseline"/>
                      <w:lang w:val="en-US" w:eastAsia="zh-CN"/>
                    </w:rPr>
                  </w:pPr>
                  <w:r>
                    <w:rPr>
                      <w:rFonts w:hint="eastAsia" w:ascii="Times New Roman" w:hAnsi="Times New Roman" w:cs="Times New Roman"/>
                      <w:color w:val="auto"/>
                      <w:sz w:val="18"/>
                      <w:szCs w:val="18"/>
                      <w:vertAlign w:val="baseline"/>
                      <w:lang w:val="en-US" w:eastAsia="zh-CN"/>
                    </w:rPr>
                    <w:t>500kg</w:t>
                  </w:r>
                </w:p>
              </w:tc>
              <w:tc>
                <w:tcPr>
                  <w:tcW w:w="583" w:type="dxa"/>
                  <w:vMerge w:val="continue"/>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10</w:t>
                  </w:r>
                </w:p>
              </w:tc>
              <w:tc>
                <w:tcPr>
                  <w:tcW w:w="11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eastAsia="zh-CN"/>
                    </w:rPr>
                    <w:t>天然气</w:t>
                  </w:r>
                </w:p>
              </w:tc>
              <w:tc>
                <w:tcPr>
                  <w:tcW w:w="10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18"/>
                      <w:szCs w:val="18"/>
                    </w:rPr>
                  </w:pPr>
                  <w:r>
                    <w:rPr>
                      <w:rFonts w:ascii="Times New Roman" w:hAnsi="Times New Roman"/>
                      <w:color w:val="auto"/>
                      <w:sz w:val="18"/>
                      <w:szCs w:val="18"/>
                    </w:rPr>
                    <w:t>/</w:t>
                  </w:r>
                </w:p>
              </w:tc>
              <w:tc>
                <w:tcPr>
                  <w:tcW w:w="10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3960万m</w:t>
                  </w:r>
                  <w:r>
                    <w:rPr>
                      <w:rFonts w:hint="default" w:ascii="Times New Roman" w:hAnsi="Times New Roman" w:cs="Times New Roman"/>
                      <w:color w:val="auto"/>
                      <w:sz w:val="18"/>
                      <w:szCs w:val="18"/>
                      <w:vertAlign w:val="superscript"/>
                      <w:lang w:val="en-US" w:eastAsia="zh-CN"/>
                    </w:rPr>
                    <w:t>3</w:t>
                  </w:r>
                  <w:r>
                    <w:rPr>
                      <w:rFonts w:hint="default" w:ascii="Times New Roman" w:hAnsi="Times New Roman" w:cs="Times New Roman"/>
                      <w:color w:val="auto"/>
                      <w:sz w:val="18"/>
                      <w:szCs w:val="18"/>
                      <w:lang w:val="en-US" w:eastAsia="zh-CN"/>
                    </w:rPr>
                    <w:t>/a</w:t>
                  </w:r>
                </w:p>
              </w:tc>
              <w:tc>
                <w:tcPr>
                  <w:tcW w:w="10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+150万m</w:t>
                  </w:r>
                  <w:r>
                    <w:rPr>
                      <w:rFonts w:hint="default" w:ascii="Times New Roman" w:hAnsi="Times New Roman" w:cs="Times New Roman"/>
                      <w:color w:val="auto"/>
                      <w:sz w:val="18"/>
                      <w:szCs w:val="18"/>
                      <w:vertAlign w:val="superscript"/>
                      <w:lang w:val="en-US" w:eastAsia="zh-CN"/>
                    </w:rPr>
                    <w:t>3</w:t>
                  </w:r>
                  <w:r>
                    <w:rPr>
                      <w:rFonts w:hint="default" w:ascii="Times New Roman" w:hAnsi="Times New Roman" w:cs="Times New Roman"/>
                      <w:color w:val="auto"/>
                      <w:sz w:val="18"/>
                      <w:szCs w:val="18"/>
                      <w:lang w:val="en-US" w:eastAsia="zh-CN"/>
                    </w:rPr>
                    <w:t>/a</w:t>
                  </w:r>
                </w:p>
              </w:tc>
              <w:tc>
                <w:tcPr>
                  <w:tcW w:w="10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4110万m</w:t>
                  </w:r>
                  <w:r>
                    <w:rPr>
                      <w:rFonts w:hint="default" w:ascii="Times New Roman" w:hAnsi="Times New Roman" w:cs="Times New Roman"/>
                      <w:color w:val="auto"/>
                      <w:sz w:val="18"/>
                      <w:szCs w:val="18"/>
                      <w:vertAlign w:val="superscript"/>
                      <w:lang w:val="en-US" w:eastAsia="zh-CN"/>
                    </w:rPr>
                    <w:t>3</w:t>
                  </w:r>
                  <w:r>
                    <w:rPr>
                      <w:rFonts w:hint="default" w:ascii="Times New Roman" w:hAnsi="Times New Roman" w:cs="Times New Roman"/>
                      <w:color w:val="auto"/>
                      <w:sz w:val="18"/>
                      <w:szCs w:val="18"/>
                      <w:lang w:val="en-US" w:eastAsia="zh-CN"/>
                    </w:rPr>
                    <w:t>/a</w:t>
                  </w:r>
                </w:p>
              </w:tc>
              <w:tc>
                <w:tcPr>
                  <w:tcW w:w="691" w:type="dxa"/>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cs="Times New Roman"/>
                      <w:color w:val="auto"/>
                      <w:sz w:val="18"/>
                      <w:szCs w:val="18"/>
                      <w:vertAlign w:val="baseline"/>
                      <w:lang w:val="en-US" w:eastAsia="zh-CN"/>
                    </w:rPr>
                    <w:t>管道</w:t>
                  </w:r>
                </w:p>
              </w:tc>
              <w:tc>
                <w:tcPr>
                  <w:tcW w:w="947" w:type="dxa"/>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vertAlign w:val="baseline"/>
                      <w:lang w:val="en-US" w:eastAsia="zh-CN"/>
                    </w:rPr>
                  </w:pPr>
                  <w:r>
                    <w:rPr>
                      <w:rFonts w:hint="default" w:ascii="Times New Roman" w:hAnsi="Times New Roman" w:cs="Times New Roman"/>
                      <w:color w:val="auto"/>
                      <w:sz w:val="18"/>
                      <w:szCs w:val="18"/>
                      <w:vertAlign w:val="baseline"/>
                      <w:lang w:val="en-US" w:eastAsia="zh-CN"/>
                    </w:rPr>
                    <w:t>/</w:t>
                  </w:r>
                </w:p>
              </w:tc>
              <w:tc>
                <w:tcPr>
                  <w:tcW w:w="583" w:type="dxa"/>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lang w:val="en-US" w:eastAsia="zh-CN"/>
                    </w:rPr>
                    <w:t>/</w:t>
                  </w:r>
                </w:p>
              </w:tc>
            </w:tr>
          </w:tbl>
          <w:p>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*注：原料</w:t>
            </w:r>
            <w:r>
              <w:rPr>
                <w:rFonts w:hint="default" w:ascii="Times New Roman" w:hAnsi="Times New Roman" w:eastAsia="宋体" w:cs="Times New Roman"/>
                <w:color w:val="auto"/>
                <w:sz w:val="18"/>
                <w:szCs w:val="18"/>
                <w:lang w:eastAsia="zh-CN"/>
              </w:rPr>
              <w:t>钢锭</w:t>
            </w:r>
            <w:r>
              <w:rPr>
                <w:rFonts w:hint="eastAsia" w:ascii="Times New Roman" w:hAnsi="Times New Roman" w:eastAsia="宋体" w:cs="Times New Roman"/>
                <w:color w:val="auto"/>
                <w:sz w:val="18"/>
                <w:szCs w:val="18"/>
                <w:lang w:val="en-US" w:eastAsia="zh-CN"/>
              </w:rPr>
              <w:t>不含铅、汞、氟化物，不使用废钢。</w:t>
            </w:r>
          </w:p>
          <w:p>
            <w:pPr>
              <w:adjustRightInd w:val="0"/>
              <w:snapToGrid w:val="0"/>
              <w:spacing w:line="500" w:lineRule="exact"/>
              <w:ind w:firstLine="420" w:firstLineChars="20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根据钢锭平衡表，当前原料供应能力需覆盖171562.03</w:t>
            </w:r>
            <w:r>
              <w:rPr>
                <w:rFonts w:hint="default" w:ascii="Times New Roman" w:hAnsi="Times New Roman" w:eastAsia="宋体" w:cs="Times New Roman"/>
                <w:color w:val="auto"/>
                <w:sz w:val="21"/>
                <w:szCs w:val="21"/>
                <w:lang w:val="en-US" w:eastAsia="zh-CN"/>
              </w:rPr>
              <w:t>吨/年‌，方可匹配100%产能负荷</w:t>
            </w:r>
            <w:r>
              <w:rPr>
                <w:rFonts w:hint="eastAsia" w:ascii="Times New Roman" w:hAnsi="Times New Roman" w:eastAsia="宋体" w:cs="Times New Roman"/>
                <w:color w:val="auto"/>
                <w:sz w:val="21"/>
                <w:szCs w:val="21"/>
                <w:lang w:val="en-US" w:eastAsia="zh-CN"/>
              </w:rPr>
              <w:t>。钢锭平衡</w:t>
            </w:r>
            <w:r>
              <w:rPr>
                <w:rFonts w:hint="eastAsia" w:eastAsia="宋体" w:cs="Times New Roman"/>
                <w:color w:val="auto"/>
                <w:sz w:val="21"/>
                <w:szCs w:val="21"/>
                <w:lang w:val="en-US" w:eastAsia="zh-CN"/>
              </w:rPr>
              <w:t>表</w:t>
            </w:r>
            <w:r>
              <w:rPr>
                <w:rFonts w:hint="eastAsia" w:ascii="Times New Roman" w:hAnsi="Times New Roman" w:eastAsia="宋体" w:cs="Times New Roman"/>
                <w:color w:val="auto"/>
                <w:sz w:val="21"/>
                <w:szCs w:val="21"/>
                <w:lang w:val="en-US" w:eastAsia="zh-CN"/>
              </w:rPr>
              <w:t>如下：</w:t>
            </w:r>
          </w:p>
          <w:p>
            <w:pPr>
              <w:snapToGrid w:val="0"/>
              <w:spacing w:before="120" w:beforeLines="50"/>
              <w:jc w:val="center"/>
              <w:rPr>
                <w:rFonts w:eastAsia="宋体"/>
                <w:b/>
                <w:bCs/>
                <w:color w:val="auto"/>
                <w:szCs w:val="28"/>
              </w:rPr>
            </w:pPr>
            <w:r>
              <w:rPr>
                <w:rFonts w:eastAsia="宋体"/>
                <w:b/>
                <w:bCs/>
                <w:color w:val="auto"/>
                <w:szCs w:val="28"/>
              </w:rPr>
              <w:t>表2-</w:t>
            </w:r>
            <w:r>
              <w:rPr>
                <w:rFonts w:hint="eastAsia"/>
                <w:b/>
                <w:bCs/>
                <w:color w:val="auto"/>
                <w:szCs w:val="28"/>
                <w:lang w:val="en-US" w:eastAsia="zh-CN"/>
              </w:rPr>
              <w:t>6</w:t>
            </w:r>
            <w:r>
              <w:rPr>
                <w:rFonts w:eastAsia="宋体"/>
                <w:b/>
                <w:bCs/>
                <w:color w:val="auto"/>
                <w:szCs w:val="28"/>
              </w:rPr>
              <w:t xml:space="preserve">  </w:t>
            </w:r>
            <w:r>
              <w:rPr>
                <w:rFonts w:hint="eastAsia" w:eastAsia="宋体"/>
                <w:b/>
                <w:bCs/>
                <w:color w:val="auto"/>
                <w:szCs w:val="28"/>
                <w:lang w:eastAsia="zh-CN"/>
              </w:rPr>
              <w:t>全厂钢锭物料平衡</w:t>
            </w:r>
            <w:r>
              <w:rPr>
                <w:rFonts w:eastAsia="宋体"/>
                <w:b/>
                <w:bCs/>
                <w:color w:val="auto"/>
                <w:szCs w:val="28"/>
              </w:rPr>
              <w:t>表</w:t>
            </w:r>
          </w:p>
          <w:tbl>
            <w:tblPr>
              <w:tblStyle w:val="22"/>
              <w:tblW w:w="801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72"/>
              <w:gridCol w:w="1547"/>
              <w:gridCol w:w="1641"/>
              <w:gridCol w:w="1959"/>
              <w:gridCol w:w="19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872" w:type="dxa"/>
                  <w:vMerge w:val="restart"/>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b/>
                      <w:bCs/>
                      <w:color w:val="auto"/>
                      <w:sz w:val="18"/>
                      <w:szCs w:val="18"/>
                      <w:vertAlign w:val="baseline"/>
                      <w:lang w:eastAsia="zh-CN"/>
                    </w:rPr>
                  </w:pPr>
                  <w:r>
                    <w:rPr>
                      <w:rFonts w:hint="default" w:ascii="Times New Roman" w:hAnsi="Times New Roman" w:cs="Times New Roman"/>
                      <w:b/>
                      <w:bCs/>
                      <w:color w:val="auto"/>
                      <w:sz w:val="18"/>
                      <w:szCs w:val="18"/>
                      <w:vertAlign w:val="baseline"/>
                      <w:lang w:eastAsia="zh-CN"/>
                    </w:rPr>
                    <w:t>序号</w:t>
                  </w:r>
                </w:p>
              </w:tc>
              <w:tc>
                <w:tcPr>
                  <w:tcW w:w="3188" w:type="dxa"/>
                  <w:gridSpan w:val="2"/>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b/>
                      <w:bCs/>
                      <w:color w:val="auto"/>
                      <w:sz w:val="18"/>
                      <w:szCs w:val="18"/>
                      <w:vertAlign w:val="baseline"/>
                      <w:lang w:eastAsia="zh-CN"/>
                    </w:rPr>
                  </w:pPr>
                  <w:r>
                    <w:rPr>
                      <w:rFonts w:hint="default" w:ascii="Times New Roman" w:hAnsi="Times New Roman" w:cs="Times New Roman"/>
                      <w:b/>
                      <w:bCs/>
                      <w:color w:val="auto"/>
                      <w:sz w:val="18"/>
                      <w:szCs w:val="18"/>
                      <w:vertAlign w:val="baseline"/>
                      <w:lang w:eastAsia="zh-CN"/>
                    </w:rPr>
                    <w:t>入方</w:t>
                  </w:r>
                </w:p>
              </w:tc>
              <w:tc>
                <w:tcPr>
                  <w:tcW w:w="3958" w:type="dxa"/>
                  <w:gridSpan w:val="2"/>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b/>
                      <w:bCs/>
                      <w:color w:val="auto"/>
                      <w:sz w:val="18"/>
                      <w:szCs w:val="18"/>
                      <w:vertAlign w:val="baseline"/>
                      <w:lang w:eastAsia="zh-CN"/>
                    </w:rPr>
                  </w:pPr>
                  <w:r>
                    <w:rPr>
                      <w:rFonts w:hint="default" w:ascii="Times New Roman" w:hAnsi="Times New Roman" w:cs="Times New Roman"/>
                      <w:b/>
                      <w:bCs/>
                      <w:color w:val="auto"/>
                      <w:sz w:val="18"/>
                      <w:szCs w:val="18"/>
                      <w:vertAlign w:val="baseline"/>
                      <w:lang w:eastAsia="zh-CN"/>
                    </w:rPr>
                    <w:t>出方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872" w:type="dxa"/>
                  <w:vMerge w:val="continue"/>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b/>
                      <w:bCs/>
                      <w:color w:val="auto"/>
                      <w:sz w:val="18"/>
                      <w:szCs w:val="18"/>
                      <w:vertAlign w:val="baseline"/>
                      <w:lang w:eastAsia="zh-CN"/>
                    </w:rPr>
                  </w:pPr>
                </w:p>
              </w:tc>
              <w:tc>
                <w:tcPr>
                  <w:tcW w:w="1547" w:type="dxa"/>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b/>
                      <w:bCs/>
                      <w:color w:val="auto"/>
                      <w:sz w:val="18"/>
                      <w:szCs w:val="18"/>
                      <w:vertAlign w:val="baseline"/>
                      <w:lang w:eastAsia="zh-CN"/>
                    </w:rPr>
                  </w:pPr>
                  <w:r>
                    <w:rPr>
                      <w:rFonts w:hint="default" w:ascii="Times New Roman" w:hAnsi="Times New Roman" w:cs="Times New Roman"/>
                      <w:b/>
                      <w:bCs/>
                      <w:color w:val="auto"/>
                      <w:sz w:val="18"/>
                      <w:szCs w:val="18"/>
                      <w:vertAlign w:val="baseline"/>
                      <w:lang w:eastAsia="zh-CN"/>
                    </w:rPr>
                    <w:t>物料名称</w:t>
                  </w:r>
                </w:p>
              </w:tc>
              <w:tc>
                <w:tcPr>
                  <w:tcW w:w="1641" w:type="dxa"/>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b/>
                      <w:bCs/>
                      <w:color w:val="auto"/>
                      <w:sz w:val="18"/>
                      <w:szCs w:val="18"/>
                      <w:vertAlign w:val="baseline"/>
                      <w:lang w:eastAsia="zh-CN"/>
                    </w:rPr>
                  </w:pPr>
                  <w:r>
                    <w:rPr>
                      <w:rFonts w:hint="default" w:ascii="Times New Roman" w:hAnsi="Times New Roman" w:cs="Times New Roman"/>
                      <w:b/>
                      <w:bCs/>
                      <w:color w:val="auto"/>
                      <w:sz w:val="18"/>
                      <w:szCs w:val="18"/>
                      <w:vertAlign w:val="baseline"/>
                      <w:lang w:eastAsia="zh-CN"/>
                    </w:rPr>
                    <w:t>数量（</w:t>
                  </w:r>
                  <w:r>
                    <w:rPr>
                      <w:rFonts w:hint="default" w:ascii="Times New Roman" w:hAnsi="Times New Roman" w:cs="Times New Roman"/>
                      <w:b/>
                      <w:bCs/>
                      <w:color w:val="auto"/>
                      <w:sz w:val="18"/>
                      <w:szCs w:val="18"/>
                      <w:vertAlign w:val="baseline"/>
                      <w:lang w:val="en-US" w:eastAsia="zh-CN"/>
                    </w:rPr>
                    <w:t>t/a</w:t>
                  </w:r>
                  <w:r>
                    <w:rPr>
                      <w:rFonts w:hint="default" w:ascii="Times New Roman" w:hAnsi="Times New Roman" w:cs="Times New Roman"/>
                      <w:b/>
                      <w:bCs/>
                      <w:color w:val="auto"/>
                      <w:sz w:val="18"/>
                      <w:szCs w:val="18"/>
                      <w:vertAlign w:val="baseline"/>
                      <w:lang w:eastAsia="zh-CN"/>
                    </w:rPr>
                    <w:t>）</w:t>
                  </w:r>
                </w:p>
              </w:tc>
              <w:tc>
                <w:tcPr>
                  <w:tcW w:w="1959" w:type="dxa"/>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b/>
                      <w:bCs/>
                      <w:color w:val="auto"/>
                      <w:sz w:val="18"/>
                      <w:szCs w:val="18"/>
                      <w:vertAlign w:val="baseline"/>
                      <w:lang w:eastAsia="zh-CN"/>
                    </w:rPr>
                  </w:pPr>
                  <w:r>
                    <w:rPr>
                      <w:rFonts w:hint="default" w:ascii="Times New Roman" w:hAnsi="Times New Roman" w:cs="Times New Roman"/>
                      <w:b/>
                      <w:bCs/>
                      <w:color w:val="auto"/>
                      <w:sz w:val="18"/>
                      <w:szCs w:val="18"/>
                      <w:vertAlign w:val="baseline"/>
                      <w:lang w:eastAsia="zh-CN"/>
                    </w:rPr>
                    <w:t>物料名称</w:t>
                  </w:r>
                </w:p>
              </w:tc>
              <w:tc>
                <w:tcPr>
                  <w:tcW w:w="1999" w:type="dxa"/>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b/>
                      <w:bCs/>
                      <w:color w:val="auto"/>
                      <w:sz w:val="18"/>
                      <w:szCs w:val="18"/>
                      <w:vertAlign w:val="baseline"/>
                      <w:lang w:eastAsia="zh-CN"/>
                    </w:rPr>
                  </w:pPr>
                  <w:r>
                    <w:rPr>
                      <w:rFonts w:hint="default" w:ascii="Times New Roman" w:hAnsi="Times New Roman" w:cs="Times New Roman"/>
                      <w:b/>
                      <w:bCs/>
                      <w:color w:val="auto"/>
                      <w:sz w:val="18"/>
                      <w:szCs w:val="18"/>
                      <w:vertAlign w:val="baseline"/>
                      <w:lang w:eastAsia="zh-CN"/>
                    </w:rPr>
                    <w:t>数量（</w:t>
                  </w:r>
                  <w:r>
                    <w:rPr>
                      <w:rFonts w:hint="default" w:ascii="Times New Roman" w:hAnsi="Times New Roman" w:cs="Times New Roman"/>
                      <w:b/>
                      <w:bCs/>
                      <w:color w:val="auto"/>
                      <w:sz w:val="18"/>
                      <w:szCs w:val="18"/>
                      <w:vertAlign w:val="baseline"/>
                      <w:lang w:val="en-US" w:eastAsia="zh-CN"/>
                    </w:rPr>
                    <w:t>t/a</w:t>
                  </w:r>
                  <w:r>
                    <w:rPr>
                      <w:rFonts w:hint="default" w:ascii="Times New Roman" w:hAnsi="Times New Roman" w:cs="Times New Roman"/>
                      <w:b/>
                      <w:bCs/>
                      <w:color w:val="auto"/>
                      <w:sz w:val="18"/>
                      <w:szCs w:val="18"/>
                      <w:vertAlign w:val="baseline"/>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872" w:type="dxa"/>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1</w:t>
                  </w:r>
                </w:p>
              </w:tc>
              <w:tc>
                <w:tcPr>
                  <w:tcW w:w="1547" w:type="dxa"/>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18"/>
                      <w:szCs w:val="18"/>
                      <w:vertAlign w:val="baseline"/>
                      <w:lang w:eastAsia="zh-CN"/>
                    </w:rPr>
                  </w:pPr>
                  <w:r>
                    <w:rPr>
                      <w:rFonts w:hint="eastAsia" w:ascii="Times New Roman" w:hAnsi="Times New Roman" w:eastAsia="宋体" w:cs="Times New Roman"/>
                      <w:color w:val="auto"/>
                      <w:sz w:val="18"/>
                      <w:szCs w:val="18"/>
                      <w:vertAlign w:val="baseline"/>
                      <w:lang w:eastAsia="zh-CN"/>
                    </w:rPr>
                    <w:t>钢锭</w:t>
                  </w:r>
                </w:p>
              </w:tc>
              <w:tc>
                <w:tcPr>
                  <w:tcW w:w="1641" w:type="dxa"/>
                  <w:tcBorders>
                    <w:tl2br w:val="nil"/>
                    <w:tr2bl w:val="nil"/>
                  </w:tcBorders>
                  <w:shd w:val="clear" w:color="auto" w:fill="auto"/>
                  <w:vAlign w:val="center"/>
                </w:tcPr>
                <w:p>
                  <w:pPr>
                    <w:pStyle w:val="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171562.03</w:t>
                  </w:r>
                </w:p>
              </w:tc>
              <w:tc>
                <w:tcPr>
                  <w:tcW w:w="1959" w:type="dxa"/>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18"/>
                      <w:szCs w:val="18"/>
                      <w:vertAlign w:val="baseline"/>
                      <w:lang w:eastAsia="zh-CN"/>
                    </w:rPr>
                  </w:pPr>
                  <w:r>
                    <w:rPr>
                      <w:rFonts w:hint="eastAsia" w:ascii="Times New Roman" w:hAnsi="Times New Roman" w:eastAsia="宋体" w:cs="Times New Roman"/>
                      <w:color w:val="auto"/>
                      <w:sz w:val="18"/>
                      <w:szCs w:val="18"/>
                      <w:vertAlign w:val="baseline"/>
                      <w:lang w:eastAsia="zh-CN"/>
                    </w:rPr>
                    <w:t>产品</w:t>
                  </w:r>
                </w:p>
              </w:tc>
              <w:tc>
                <w:tcPr>
                  <w:tcW w:w="1999" w:type="dxa"/>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171000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872" w:type="dxa"/>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2</w:t>
                  </w:r>
                </w:p>
              </w:tc>
              <w:tc>
                <w:tcPr>
                  <w:tcW w:w="1547" w:type="dxa"/>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w:t>
                  </w:r>
                </w:p>
              </w:tc>
              <w:tc>
                <w:tcPr>
                  <w:tcW w:w="1641" w:type="dxa"/>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18"/>
                      <w:szCs w:val="18"/>
                      <w:vertAlign w:val="baseline"/>
                      <w:lang w:eastAsia="zh-CN"/>
                    </w:rPr>
                  </w:pPr>
                  <w:r>
                    <w:rPr>
                      <w:rFonts w:hint="eastAsia" w:ascii="Times New Roman" w:hAnsi="Times New Roman" w:eastAsia="宋体" w:cs="Times New Roman"/>
                      <w:color w:val="auto"/>
                      <w:sz w:val="18"/>
                      <w:szCs w:val="18"/>
                      <w:vertAlign w:val="baseline"/>
                      <w:lang w:val="en-US" w:eastAsia="zh-CN"/>
                    </w:rPr>
                    <w:t>/</w:t>
                  </w:r>
                </w:p>
              </w:tc>
              <w:tc>
                <w:tcPr>
                  <w:tcW w:w="1959" w:type="dxa"/>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G1-3</w:t>
                  </w:r>
                  <w:r>
                    <w:rPr>
                      <w:rFonts w:hint="eastAsia" w:ascii="Times New Roman" w:hAnsi="Times New Roman" w:eastAsia="宋体" w:cs="Times New Roman"/>
                      <w:color w:val="auto"/>
                      <w:sz w:val="18"/>
                      <w:szCs w:val="18"/>
                      <w:vertAlign w:val="baseline"/>
                      <w:lang w:eastAsia="zh-CN"/>
                    </w:rPr>
                    <w:t>下料</w:t>
                  </w:r>
                  <w:r>
                    <w:rPr>
                      <w:rFonts w:hint="eastAsia" w:ascii="Times New Roman" w:hAnsi="Times New Roman" w:eastAsia="宋体" w:cs="Times New Roman"/>
                      <w:color w:val="auto"/>
                      <w:sz w:val="18"/>
                      <w:szCs w:val="18"/>
                      <w:vertAlign w:val="baseline"/>
                      <w:lang w:val="en-US" w:eastAsia="zh-CN"/>
                    </w:rPr>
                    <w:t>切割粉尘</w:t>
                  </w:r>
                </w:p>
              </w:tc>
              <w:tc>
                <w:tcPr>
                  <w:tcW w:w="1999" w:type="dxa"/>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26.5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872" w:type="dxa"/>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3</w:t>
                  </w:r>
                </w:p>
              </w:tc>
              <w:tc>
                <w:tcPr>
                  <w:tcW w:w="1547" w:type="dxa"/>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w:t>
                  </w:r>
                </w:p>
              </w:tc>
              <w:tc>
                <w:tcPr>
                  <w:tcW w:w="1641" w:type="dxa"/>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w:t>
                  </w:r>
                </w:p>
              </w:tc>
              <w:tc>
                <w:tcPr>
                  <w:tcW w:w="1959" w:type="dxa"/>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G1-4打磨粉尘</w:t>
                  </w:r>
                </w:p>
              </w:tc>
              <w:tc>
                <w:tcPr>
                  <w:tcW w:w="1999" w:type="dxa"/>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18"/>
                      <w:szCs w:val="18"/>
                      <w:vertAlign w:val="baseline"/>
                      <w:lang w:eastAsia="zh-CN"/>
                    </w:rPr>
                  </w:pPr>
                  <w:r>
                    <w:rPr>
                      <w:rFonts w:hint="default" w:ascii="Times New Roman" w:hAnsi="Times New Roman" w:eastAsia="宋体" w:cs="Times New Roman"/>
                      <w:color w:val="auto"/>
                      <w:sz w:val="18"/>
                      <w:szCs w:val="18"/>
                      <w:vertAlign w:val="baseline"/>
                      <w:lang w:val="en-US" w:eastAsia="zh-CN"/>
                    </w:rPr>
                    <w:t>2.19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872" w:type="dxa"/>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4</w:t>
                  </w:r>
                </w:p>
              </w:tc>
              <w:tc>
                <w:tcPr>
                  <w:tcW w:w="1547" w:type="dxa"/>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18"/>
                      <w:szCs w:val="18"/>
                      <w:vertAlign w:val="baseline"/>
                      <w:lang w:eastAsia="zh-CN"/>
                    </w:rPr>
                  </w:pPr>
                  <w:r>
                    <w:rPr>
                      <w:rFonts w:hint="eastAsia" w:ascii="Times New Roman" w:hAnsi="Times New Roman" w:eastAsia="宋体" w:cs="Times New Roman"/>
                      <w:color w:val="auto"/>
                      <w:sz w:val="18"/>
                      <w:szCs w:val="18"/>
                      <w:vertAlign w:val="baseline"/>
                      <w:lang w:val="en-US" w:eastAsia="zh-CN"/>
                    </w:rPr>
                    <w:t>/</w:t>
                  </w:r>
                </w:p>
              </w:tc>
              <w:tc>
                <w:tcPr>
                  <w:tcW w:w="1641" w:type="dxa"/>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18"/>
                      <w:szCs w:val="18"/>
                      <w:vertAlign w:val="baseline"/>
                      <w:lang w:eastAsia="zh-CN"/>
                    </w:rPr>
                  </w:pPr>
                  <w:r>
                    <w:rPr>
                      <w:rFonts w:hint="eastAsia" w:ascii="Times New Roman" w:hAnsi="Times New Roman" w:eastAsia="宋体" w:cs="Times New Roman"/>
                      <w:color w:val="auto"/>
                      <w:sz w:val="18"/>
                      <w:szCs w:val="18"/>
                      <w:vertAlign w:val="baseline"/>
                      <w:lang w:val="en-US" w:eastAsia="zh-CN"/>
                    </w:rPr>
                    <w:t>/</w:t>
                  </w:r>
                </w:p>
              </w:tc>
              <w:tc>
                <w:tcPr>
                  <w:tcW w:w="1959" w:type="dxa"/>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G1-6维修切割粉尘</w:t>
                  </w:r>
                </w:p>
              </w:tc>
              <w:tc>
                <w:tcPr>
                  <w:tcW w:w="1999" w:type="dxa"/>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18"/>
                      <w:szCs w:val="18"/>
                      <w:vertAlign w:val="baseline"/>
                      <w:lang w:eastAsia="zh-CN"/>
                    </w:rPr>
                  </w:pPr>
                  <w:r>
                    <w:rPr>
                      <w:rFonts w:hint="default" w:ascii="Times New Roman" w:hAnsi="Times New Roman" w:eastAsia="宋体" w:cs="Times New Roman"/>
                      <w:color w:val="auto"/>
                      <w:sz w:val="18"/>
                      <w:szCs w:val="18"/>
                      <w:vertAlign w:val="baseline"/>
                      <w:lang w:val="en-US" w:eastAsia="zh-CN"/>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872" w:type="dxa"/>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5</w:t>
                  </w:r>
                </w:p>
              </w:tc>
              <w:tc>
                <w:tcPr>
                  <w:tcW w:w="1547" w:type="dxa"/>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18"/>
                      <w:szCs w:val="18"/>
                      <w:vertAlign w:val="baseline"/>
                      <w:lang w:eastAsia="zh-CN"/>
                    </w:rPr>
                  </w:pPr>
                  <w:r>
                    <w:rPr>
                      <w:rFonts w:hint="eastAsia" w:ascii="Times New Roman" w:hAnsi="Times New Roman" w:eastAsia="宋体" w:cs="Times New Roman"/>
                      <w:color w:val="auto"/>
                      <w:sz w:val="18"/>
                      <w:szCs w:val="18"/>
                      <w:vertAlign w:val="baseline"/>
                      <w:lang w:val="en-US" w:eastAsia="zh-CN"/>
                    </w:rPr>
                    <w:t>/</w:t>
                  </w:r>
                </w:p>
              </w:tc>
              <w:tc>
                <w:tcPr>
                  <w:tcW w:w="1641" w:type="dxa"/>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18"/>
                      <w:szCs w:val="18"/>
                      <w:vertAlign w:val="baseline"/>
                      <w:lang w:eastAsia="zh-CN"/>
                    </w:rPr>
                  </w:pPr>
                  <w:r>
                    <w:rPr>
                      <w:rFonts w:hint="eastAsia" w:ascii="Times New Roman" w:hAnsi="Times New Roman" w:eastAsia="宋体" w:cs="Times New Roman"/>
                      <w:color w:val="auto"/>
                      <w:sz w:val="18"/>
                      <w:szCs w:val="18"/>
                      <w:vertAlign w:val="baseline"/>
                      <w:lang w:val="en-US" w:eastAsia="zh-CN"/>
                    </w:rPr>
                    <w:t>/</w:t>
                  </w:r>
                </w:p>
              </w:tc>
              <w:tc>
                <w:tcPr>
                  <w:tcW w:w="1959" w:type="dxa"/>
                  <w:tcBorders>
                    <w:tl2br w:val="nil"/>
                    <w:tr2bl w:val="nil"/>
                  </w:tcBorders>
                  <w:shd w:val="clear" w:color="auto" w:fill="auto"/>
                  <w:vAlign w:val="center"/>
                </w:tcPr>
                <w:p>
                  <w:pPr>
                    <w:pStyle w:val="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S1-1废氧化皮</w:t>
                  </w:r>
                </w:p>
              </w:tc>
              <w:tc>
                <w:tcPr>
                  <w:tcW w:w="1999" w:type="dxa"/>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18"/>
                      <w:szCs w:val="18"/>
                      <w:vertAlign w:val="baseline"/>
                      <w:lang w:eastAsia="zh-CN"/>
                    </w:rPr>
                  </w:pPr>
                  <w:r>
                    <w:rPr>
                      <w:rFonts w:hint="eastAsia" w:ascii="Times New Roman" w:hAnsi="Times New Roman" w:eastAsia="宋体" w:cs="Times New Roman"/>
                      <w:color w:val="auto"/>
                      <w:sz w:val="18"/>
                      <w:szCs w:val="18"/>
                      <w:vertAlign w:val="baseline"/>
                      <w:lang w:val="en-US" w:eastAsia="zh-CN"/>
                    </w:rPr>
                    <w:t>171.56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872" w:type="dxa"/>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6</w:t>
                  </w:r>
                </w:p>
              </w:tc>
              <w:tc>
                <w:tcPr>
                  <w:tcW w:w="1547" w:type="dxa"/>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w:t>
                  </w:r>
                </w:p>
              </w:tc>
              <w:tc>
                <w:tcPr>
                  <w:tcW w:w="1641" w:type="dxa"/>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w:t>
                  </w:r>
                </w:p>
              </w:tc>
              <w:tc>
                <w:tcPr>
                  <w:tcW w:w="1959" w:type="dxa"/>
                  <w:tcBorders>
                    <w:tl2br w:val="nil"/>
                    <w:tr2bl w:val="nil"/>
                  </w:tcBorders>
                  <w:shd w:val="clear" w:color="auto" w:fill="auto"/>
                  <w:vAlign w:val="center"/>
                </w:tcPr>
                <w:p>
                  <w:pPr>
                    <w:pStyle w:val="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S1-2废边角料</w:t>
                  </w:r>
                </w:p>
              </w:tc>
              <w:tc>
                <w:tcPr>
                  <w:tcW w:w="1999" w:type="dxa"/>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18"/>
                      <w:szCs w:val="18"/>
                      <w:vertAlign w:val="baseline"/>
                      <w:lang w:eastAsia="zh-CN"/>
                    </w:rPr>
                  </w:pPr>
                  <w:r>
                    <w:rPr>
                      <w:rFonts w:hint="eastAsia" w:ascii="Times New Roman" w:hAnsi="Times New Roman" w:eastAsia="宋体" w:cs="Times New Roman"/>
                      <w:color w:val="auto"/>
                      <w:sz w:val="18"/>
                      <w:szCs w:val="18"/>
                      <w:vertAlign w:val="baseline"/>
                      <w:lang w:val="en-US" w:eastAsia="zh-CN"/>
                    </w:rPr>
                    <w:t>171.56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872" w:type="dxa"/>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7</w:t>
                  </w:r>
                </w:p>
              </w:tc>
              <w:tc>
                <w:tcPr>
                  <w:tcW w:w="1547" w:type="dxa"/>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w:t>
                  </w:r>
                </w:p>
              </w:tc>
              <w:tc>
                <w:tcPr>
                  <w:tcW w:w="1641" w:type="dxa"/>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w:t>
                  </w:r>
                </w:p>
              </w:tc>
              <w:tc>
                <w:tcPr>
                  <w:tcW w:w="1959" w:type="dxa"/>
                  <w:tcBorders>
                    <w:tl2br w:val="nil"/>
                    <w:tr2bl w:val="nil"/>
                  </w:tcBorders>
                  <w:shd w:val="clear" w:color="auto" w:fill="auto"/>
                  <w:vAlign w:val="center"/>
                </w:tcPr>
                <w:p>
                  <w:pPr>
                    <w:pStyle w:val="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eastAsia="zh-CN"/>
                    </w:rPr>
                    <w:t>S1</w:t>
                  </w:r>
                  <w:r>
                    <w:rPr>
                      <w:rFonts w:hint="eastAsia" w:ascii="Times New Roman" w:hAnsi="Times New Roman" w:eastAsia="宋体" w:cs="Times New Roman"/>
                      <w:color w:val="auto"/>
                      <w:sz w:val="18"/>
                      <w:szCs w:val="18"/>
                      <w:vertAlign w:val="baseline"/>
                      <w:lang w:val="en-US" w:eastAsia="zh-CN"/>
                    </w:rPr>
                    <w:t>-4</w:t>
                  </w:r>
                  <w:r>
                    <w:rPr>
                      <w:rFonts w:hint="eastAsia" w:ascii="Times New Roman" w:hAnsi="Times New Roman" w:eastAsia="宋体" w:cs="Times New Roman"/>
                      <w:color w:val="auto"/>
                      <w:sz w:val="18"/>
                      <w:szCs w:val="18"/>
                      <w:vertAlign w:val="baseline"/>
                      <w:lang w:eastAsia="zh-CN"/>
                    </w:rPr>
                    <w:t>沉渣</w:t>
                  </w:r>
                </w:p>
              </w:tc>
              <w:tc>
                <w:tcPr>
                  <w:tcW w:w="1999" w:type="dxa"/>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18"/>
                      <w:szCs w:val="18"/>
                      <w:vertAlign w:val="baseline"/>
                      <w:lang w:eastAsia="zh-CN"/>
                    </w:rPr>
                  </w:pPr>
                  <w:r>
                    <w:rPr>
                      <w:rFonts w:hint="eastAsia" w:ascii="Times New Roman" w:hAnsi="Times New Roman" w:eastAsia="宋体" w:cs="Times New Roman"/>
                      <w:color w:val="auto"/>
                      <w:sz w:val="18"/>
                      <w:szCs w:val="18"/>
                      <w:vertAlign w:val="baseline"/>
                      <w:lang w:val="en-US" w:eastAsia="zh-CN"/>
                    </w:rPr>
                    <w:t>171.56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872" w:type="dxa"/>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8</w:t>
                  </w:r>
                </w:p>
              </w:tc>
              <w:tc>
                <w:tcPr>
                  <w:tcW w:w="1547" w:type="dxa"/>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w:t>
                  </w:r>
                </w:p>
              </w:tc>
              <w:tc>
                <w:tcPr>
                  <w:tcW w:w="1641" w:type="dxa"/>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w:t>
                  </w:r>
                </w:p>
              </w:tc>
              <w:tc>
                <w:tcPr>
                  <w:tcW w:w="1959" w:type="dxa"/>
                  <w:tcBorders>
                    <w:tl2br w:val="nil"/>
                    <w:tr2bl w:val="nil"/>
                  </w:tcBorders>
                  <w:shd w:val="clear" w:color="auto" w:fill="auto"/>
                  <w:vAlign w:val="center"/>
                </w:tcPr>
                <w:p>
                  <w:pPr>
                    <w:pStyle w:val="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S1-5废</w:t>
                  </w:r>
                  <w:r>
                    <w:rPr>
                      <w:rFonts w:hint="eastAsia" w:ascii="Times New Roman" w:hAnsi="Times New Roman" w:eastAsia="宋体" w:cs="Times New Roman"/>
                      <w:color w:val="auto"/>
                      <w:sz w:val="18"/>
                      <w:szCs w:val="18"/>
                      <w:vertAlign w:val="baseline"/>
                      <w:lang w:eastAsia="zh-CN"/>
                    </w:rPr>
                    <w:t>金属屑</w:t>
                  </w:r>
                </w:p>
              </w:tc>
              <w:tc>
                <w:tcPr>
                  <w:tcW w:w="1999" w:type="dxa"/>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18"/>
                      <w:szCs w:val="18"/>
                      <w:vertAlign w:val="baseline"/>
                      <w:lang w:eastAsia="zh-CN"/>
                    </w:rPr>
                  </w:pPr>
                  <w:r>
                    <w:rPr>
                      <w:rFonts w:hint="eastAsia" w:ascii="Times New Roman" w:hAnsi="Times New Roman" w:eastAsia="宋体" w:cs="Times New Roman"/>
                      <w:color w:val="auto"/>
                      <w:sz w:val="18"/>
                      <w:szCs w:val="18"/>
                      <w:vertAlign w:val="baseline"/>
                      <w:lang w:val="en-US" w:eastAsia="zh-CN"/>
                    </w:rPr>
                    <w:t>17.16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2419" w:type="dxa"/>
                  <w:gridSpan w:val="2"/>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合计</w:t>
                  </w:r>
                </w:p>
              </w:tc>
              <w:tc>
                <w:tcPr>
                  <w:tcW w:w="1641" w:type="dxa"/>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18"/>
                      <w:szCs w:val="18"/>
                      <w:vertAlign w:val="baseline"/>
                      <w:lang w:eastAsia="zh-CN"/>
                    </w:rPr>
                  </w:pPr>
                  <w:r>
                    <w:rPr>
                      <w:rFonts w:hint="eastAsia" w:ascii="Times New Roman" w:hAnsi="Times New Roman" w:eastAsia="宋体" w:cs="Times New Roman"/>
                      <w:color w:val="auto"/>
                      <w:sz w:val="18"/>
                      <w:szCs w:val="18"/>
                      <w:vertAlign w:val="baseline"/>
                      <w:lang w:val="en-US" w:eastAsia="zh-CN"/>
                    </w:rPr>
                    <w:t>171562.03</w:t>
                  </w:r>
                </w:p>
              </w:tc>
              <w:tc>
                <w:tcPr>
                  <w:tcW w:w="1959" w:type="dxa"/>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合计</w:t>
                  </w:r>
                </w:p>
              </w:tc>
              <w:tc>
                <w:tcPr>
                  <w:tcW w:w="1999" w:type="dxa"/>
                  <w:tcBorders>
                    <w:tl2br w:val="nil"/>
                    <w:tr2bl w:val="nil"/>
                  </w:tcBorders>
                  <w:shd w:val="clear" w:color="auto" w:fill="auto"/>
                  <w:vAlign w:val="center"/>
                </w:tcPr>
                <w:p>
                  <w:pPr>
                    <w:pStyle w:val="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171562.03</w:t>
                  </w:r>
                </w:p>
              </w:tc>
            </w:tr>
          </w:tbl>
          <w:p>
            <w:pPr>
              <w:spacing w:line="360" w:lineRule="auto"/>
              <w:ind w:firstLine="422" w:firstLineChars="200"/>
              <w:rPr>
                <w:rFonts w:hint="eastAsia" w:eastAsia="宋体"/>
                <w:b/>
                <w:bCs/>
                <w:color w:val="auto"/>
                <w:lang w:val="en-US" w:eastAsia="zh-CN"/>
              </w:rPr>
            </w:pPr>
            <w:r>
              <w:rPr>
                <w:rFonts w:hint="eastAsia" w:eastAsia="宋体"/>
                <w:b/>
                <w:bCs/>
                <w:color w:val="auto"/>
                <w:lang w:val="en-US" w:eastAsia="zh-CN"/>
              </w:rPr>
              <w:t>5、主要原辅材料</w:t>
            </w:r>
            <w:r>
              <w:rPr>
                <w:b/>
                <w:bCs/>
                <w:color w:val="auto"/>
                <w:szCs w:val="28"/>
              </w:rPr>
              <w:t>理化</w:t>
            </w:r>
            <w:r>
              <w:rPr>
                <w:rFonts w:hint="eastAsia"/>
                <w:b/>
                <w:bCs/>
                <w:color w:val="auto"/>
                <w:szCs w:val="28"/>
              </w:rPr>
              <w:t>性质</w:t>
            </w:r>
          </w:p>
          <w:p>
            <w:pPr>
              <w:snapToGrid w:val="0"/>
              <w:spacing w:before="120" w:beforeLines="50"/>
              <w:jc w:val="center"/>
              <w:rPr>
                <w:b/>
                <w:bCs/>
                <w:color w:val="auto"/>
                <w:szCs w:val="28"/>
              </w:rPr>
            </w:pPr>
            <w:r>
              <w:rPr>
                <w:b/>
                <w:bCs/>
                <w:color w:val="auto"/>
                <w:szCs w:val="28"/>
              </w:rPr>
              <w:t>表2-</w:t>
            </w:r>
            <w:r>
              <w:rPr>
                <w:rFonts w:hint="eastAsia"/>
                <w:b/>
                <w:bCs/>
                <w:color w:val="auto"/>
                <w:szCs w:val="28"/>
                <w:lang w:val="en-US" w:eastAsia="zh-CN"/>
              </w:rPr>
              <w:t>7</w:t>
            </w:r>
            <w:r>
              <w:rPr>
                <w:b/>
                <w:bCs/>
                <w:color w:val="auto"/>
                <w:szCs w:val="28"/>
              </w:rPr>
              <w:t xml:space="preserve">  </w:t>
            </w:r>
            <w:r>
              <w:rPr>
                <w:rFonts w:hint="eastAsia"/>
                <w:b/>
                <w:bCs/>
                <w:color w:val="auto"/>
                <w:szCs w:val="21"/>
              </w:rPr>
              <w:t>本项目</w:t>
            </w:r>
            <w:r>
              <w:rPr>
                <w:b/>
                <w:bCs/>
                <w:color w:val="auto"/>
                <w:szCs w:val="28"/>
              </w:rPr>
              <w:t>主要原辅料理化</w:t>
            </w:r>
            <w:r>
              <w:rPr>
                <w:rFonts w:hint="eastAsia"/>
                <w:b/>
                <w:bCs/>
                <w:color w:val="auto"/>
                <w:szCs w:val="28"/>
              </w:rPr>
              <w:t>性质</w:t>
            </w:r>
            <w:r>
              <w:rPr>
                <w:b/>
                <w:bCs/>
                <w:color w:val="auto"/>
                <w:szCs w:val="28"/>
              </w:rPr>
              <w:t>一览表</w:t>
            </w:r>
          </w:p>
          <w:tbl>
            <w:tblPr>
              <w:tblStyle w:val="2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4"/>
              <w:gridCol w:w="3928"/>
              <w:gridCol w:w="1482"/>
              <w:gridCol w:w="16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0" w:hRule="atLeast"/>
                <w:jc w:val="center"/>
              </w:trPr>
              <w:tc>
                <w:tcPr>
                  <w:tcW w:w="824" w:type="dxa"/>
                  <w:tcBorders>
                    <w:tl2br w:val="nil"/>
                    <w:tr2bl w:val="nil"/>
                  </w:tcBorders>
                  <w:noWrap w:val="0"/>
                  <w:vAlign w:val="center"/>
                </w:tcPr>
                <w:p>
                  <w:pPr>
                    <w:pStyle w:val="9"/>
                    <w:snapToGrid w:val="0"/>
                    <w:jc w:val="center"/>
                    <w:rPr>
                      <w:rFonts w:ascii="Times New Roman" w:hAnsi="Times New Roman"/>
                      <w:color w:val="auto"/>
                      <w:sz w:val="18"/>
                      <w:szCs w:val="18"/>
                    </w:rPr>
                  </w:pPr>
                  <w:r>
                    <w:rPr>
                      <w:rFonts w:ascii="Times New Roman" w:hAnsi="Times New Roman"/>
                      <w:color w:val="auto"/>
                      <w:sz w:val="18"/>
                      <w:szCs w:val="18"/>
                    </w:rPr>
                    <w:t>名称</w:t>
                  </w:r>
                </w:p>
              </w:tc>
              <w:tc>
                <w:tcPr>
                  <w:tcW w:w="3928" w:type="dxa"/>
                  <w:tcBorders>
                    <w:tl2br w:val="nil"/>
                    <w:tr2bl w:val="nil"/>
                  </w:tcBorders>
                  <w:noWrap w:val="0"/>
                  <w:vAlign w:val="center"/>
                </w:tcPr>
                <w:p>
                  <w:pPr>
                    <w:pStyle w:val="9"/>
                    <w:snapToGrid w:val="0"/>
                    <w:jc w:val="center"/>
                    <w:rPr>
                      <w:rFonts w:ascii="Times New Roman" w:hAnsi="Times New Roman"/>
                      <w:color w:val="auto"/>
                      <w:sz w:val="18"/>
                      <w:szCs w:val="18"/>
                    </w:rPr>
                  </w:pPr>
                  <w:r>
                    <w:rPr>
                      <w:rFonts w:ascii="Times New Roman" w:hAnsi="Times New Roman"/>
                      <w:color w:val="auto"/>
                      <w:sz w:val="18"/>
                      <w:szCs w:val="18"/>
                    </w:rPr>
                    <w:t>理化性质</w:t>
                  </w:r>
                </w:p>
              </w:tc>
              <w:tc>
                <w:tcPr>
                  <w:tcW w:w="1482" w:type="dxa"/>
                  <w:tcBorders>
                    <w:tl2br w:val="nil"/>
                    <w:tr2bl w:val="nil"/>
                  </w:tcBorders>
                  <w:noWrap w:val="0"/>
                  <w:vAlign w:val="center"/>
                </w:tcPr>
                <w:p>
                  <w:pPr>
                    <w:pStyle w:val="9"/>
                    <w:snapToGrid w:val="0"/>
                    <w:jc w:val="center"/>
                    <w:rPr>
                      <w:rFonts w:ascii="Times New Roman" w:hAnsi="Times New Roman"/>
                      <w:color w:val="auto"/>
                      <w:sz w:val="18"/>
                      <w:szCs w:val="18"/>
                    </w:rPr>
                  </w:pPr>
                  <w:r>
                    <w:rPr>
                      <w:rFonts w:hint="eastAsia" w:ascii="Times New Roman" w:hAnsi="Times New Roman"/>
                      <w:color w:val="auto"/>
                      <w:sz w:val="18"/>
                      <w:szCs w:val="18"/>
                    </w:rPr>
                    <w:t>燃烧爆炸性</w:t>
                  </w:r>
                </w:p>
              </w:tc>
              <w:tc>
                <w:tcPr>
                  <w:tcW w:w="1644" w:type="dxa"/>
                  <w:tcBorders>
                    <w:tl2br w:val="nil"/>
                    <w:tr2bl w:val="nil"/>
                  </w:tcBorders>
                  <w:noWrap w:val="0"/>
                  <w:vAlign w:val="center"/>
                </w:tcPr>
                <w:p>
                  <w:pPr>
                    <w:pStyle w:val="9"/>
                    <w:snapToGrid w:val="0"/>
                    <w:jc w:val="center"/>
                    <w:rPr>
                      <w:rFonts w:ascii="Times New Roman" w:hAnsi="Times New Roman"/>
                      <w:color w:val="auto"/>
                      <w:sz w:val="18"/>
                      <w:szCs w:val="18"/>
                    </w:rPr>
                  </w:pPr>
                  <w:r>
                    <w:rPr>
                      <w:rFonts w:hint="eastAsia" w:ascii="Times New Roman" w:hAnsi="Times New Roman"/>
                      <w:color w:val="auto"/>
                      <w:sz w:val="18"/>
                      <w:szCs w:val="18"/>
                    </w:rPr>
                    <w:t>毒性毒理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127" w:hRule="atLeast"/>
                <w:jc w:val="center"/>
              </w:trPr>
              <w:tc>
                <w:tcPr>
                  <w:tcW w:w="824" w:type="dxa"/>
                  <w:tcBorders>
                    <w:tl2br w:val="nil"/>
                    <w:tr2bl w:val="nil"/>
                  </w:tcBorders>
                  <w:noWrap w:val="0"/>
                  <w:vAlign w:val="center"/>
                </w:tcPr>
                <w:p>
                  <w:pPr>
                    <w:pStyle w:val="9"/>
                    <w:snapToGrid w:val="0"/>
                    <w:jc w:val="center"/>
                    <w:rPr>
                      <w:rFonts w:ascii="Times New Roman" w:hAnsi="Times New Roman"/>
                      <w:color w:val="auto"/>
                      <w:sz w:val="18"/>
                      <w:szCs w:val="18"/>
                    </w:rPr>
                  </w:pPr>
                  <w:r>
                    <w:rPr>
                      <w:rFonts w:hint="eastAsia" w:ascii="Times New Roman" w:hAnsi="Times New Roman"/>
                      <w:color w:val="auto"/>
                      <w:sz w:val="18"/>
                      <w:szCs w:val="18"/>
                    </w:rPr>
                    <w:t>天然气</w:t>
                  </w:r>
                </w:p>
              </w:tc>
              <w:tc>
                <w:tcPr>
                  <w:tcW w:w="3928" w:type="dxa"/>
                  <w:tcBorders>
                    <w:tl2br w:val="nil"/>
                    <w:tr2bl w:val="nil"/>
                  </w:tcBorders>
                  <w:noWrap w:val="0"/>
                  <w:vAlign w:val="center"/>
                </w:tcPr>
                <w:p>
                  <w:pPr>
                    <w:widowControl/>
                    <w:adjustRightInd w:val="0"/>
                    <w:snapToGrid w:val="0"/>
                    <w:jc w:val="center"/>
                    <w:rPr>
                      <w:color w:val="auto"/>
                      <w:kern w:val="0"/>
                      <w:sz w:val="18"/>
                      <w:szCs w:val="18"/>
                    </w:rPr>
                  </w:pPr>
                  <w:r>
                    <w:rPr>
                      <w:rFonts w:hint="eastAsia"/>
                      <w:color w:val="auto"/>
                      <w:kern w:val="0"/>
                      <w:sz w:val="18"/>
                      <w:szCs w:val="18"/>
                    </w:rPr>
                    <w:t>无色、无臭、无味气体。熔点/凝固点（℃）：-182.5，沸点（℃）：-161.4，相对密度（水＝1）：0.42(-164℃)，相对蒸气密度（空气＝1）：0.6，闪点（℃）：-218，自燃温度（℃）：537。溶解性： 微溶于水，溶于乙醇、乙醚、苯、甲苯等有机溶剂。</w:t>
                  </w:r>
                </w:p>
              </w:tc>
              <w:tc>
                <w:tcPr>
                  <w:tcW w:w="1482" w:type="dxa"/>
                  <w:tcBorders>
                    <w:tl2br w:val="nil"/>
                    <w:tr2bl w:val="nil"/>
                  </w:tcBorders>
                  <w:noWrap w:val="0"/>
                  <w:vAlign w:val="center"/>
                </w:tcPr>
                <w:p>
                  <w:pPr>
                    <w:pStyle w:val="9"/>
                    <w:snapToGrid w:val="0"/>
                    <w:jc w:val="center"/>
                    <w:rPr>
                      <w:rFonts w:ascii="Times New Roman" w:hAnsi="Times New Roman"/>
                      <w:color w:val="auto"/>
                      <w:sz w:val="18"/>
                      <w:szCs w:val="18"/>
                    </w:rPr>
                  </w:pPr>
                  <w:r>
                    <w:rPr>
                      <w:rFonts w:hint="eastAsia"/>
                      <w:color w:val="auto"/>
                      <w:sz w:val="18"/>
                      <w:szCs w:val="18"/>
                    </w:rPr>
                    <w:t>易燃</w:t>
                  </w:r>
                </w:p>
              </w:tc>
              <w:tc>
                <w:tcPr>
                  <w:tcW w:w="1644" w:type="dxa"/>
                  <w:tcBorders>
                    <w:tl2br w:val="nil"/>
                    <w:tr2bl w:val="nil"/>
                  </w:tcBorders>
                  <w:noWrap w:val="0"/>
                  <w:vAlign w:val="center"/>
                </w:tcPr>
                <w:p>
                  <w:pPr>
                    <w:pStyle w:val="9"/>
                    <w:snapToGrid w:val="0"/>
                    <w:jc w:val="center"/>
                    <w:rPr>
                      <w:rFonts w:ascii="Times New Roman" w:hAnsi="Times New Roman"/>
                      <w:color w:val="auto"/>
                      <w:sz w:val="18"/>
                      <w:szCs w:val="18"/>
                    </w:rPr>
                  </w:pPr>
                  <w:r>
                    <w:rPr>
                      <w:rFonts w:ascii="Times New Roman" w:hAnsi="Times New Roman"/>
                      <w:color w:val="auto"/>
                      <w:sz w:val="18"/>
                      <w:szCs w:val="1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64" w:hRule="atLeast"/>
                <w:jc w:val="center"/>
              </w:trPr>
              <w:tc>
                <w:tcPr>
                  <w:tcW w:w="824" w:type="dxa"/>
                  <w:tcBorders>
                    <w:tl2br w:val="nil"/>
                    <w:tr2bl w:val="nil"/>
                  </w:tcBorders>
                  <w:noWrap w:val="0"/>
                  <w:vAlign w:val="center"/>
                </w:tcPr>
                <w:p>
                  <w:pPr>
                    <w:widowControl/>
                    <w:adjustRightInd w:val="0"/>
                    <w:snapToGrid w:val="0"/>
                    <w:jc w:val="center"/>
                    <w:rPr>
                      <w:rFonts w:hint="eastAsia" w:ascii="Times New Roman" w:hAnsi="Times New Roman" w:eastAsia="宋体" w:cs="Times New Roman"/>
                      <w:color w:val="auto"/>
                      <w:kern w:val="0"/>
                      <w:sz w:val="18"/>
                      <w:szCs w:val="18"/>
                    </w:rPr>
                  </w:pPr>
                  <w:r>
                    <w:rPr>
                      <w:rFonts w:hint="eastAsia" w:ascii="Times New Roman" w:hAnsi="Times New Roman" w:eastAsia="宋体" w:cs="Times New Roman"/>
                      <w:color w:val="auto"/>
                      <w:kern w:val="0"/>
                      <w:sz w:val="18"/>
                      <w:szCs w:val="18"/>
                      <w:lang w:eastAsia="zh-CN"/>
                    </w:rPr>
                    <w:t>丙烷</w:t>
                  </w:r>
                </w:p>
              </w:tc>
              <w:tc>
                <w:tcPr>
                  <w:tcW w:w="3928" w:type="dxa"/>
                  <w:tcBorders>
                    <w:tl2br w:val="nil"/>
                    <w:tr2bl w:val="nil"/>
                  </w:tcBorders>
                  <w:noWrap w:val="0"/>
                  <w:vAlign w:val="center"/>
                </w:tcPr>
                <w:p>
                  <w:pPr>
                    <w:widowControl/>
                    <w:adjustRightInd w:val="0"/>
                    <w:snapToGrid w:val="0"/>
                    <w:jc w:val="center"/>
                    <w:rPr>
                      <w:rFonts w:hint="eastAsia" w:ascii="Times New Roman" w:hAnsi="Times New Roman" w:eastAsia="宋体" w:cs="Times New Roman"/>
                      <w:color w:val="auto"/>
                      <w:kern w:val="0"/>
                      <w:sz w:val="18"/>
                      <w:szCs w:val="18"/>
                      <w:lang w:eastAsia="zh-CN"/>
                    </w:rPr>
                  </w:pPr>
                  <w:r>
                    <w:rPr>
                      <w:rFonts w:hint="eastAsia" w:ascii="Times New Roman" w:hAnsi="Times New Roman" w:eastAsia="宋体" w:cs="Times New Roman"/>
                      <w:color w:val="auto"/>
                      <w:kern w:val="0"/>
                      <w:sz w:val="18"/>
                      <w:szCs w:val="18"/>
                    </w:rPr>
                    <w:t>丙烷是天然气和石油的常见成分之一，主要通过天然气的液化分离或石油裂解获得。丙烷作为一种清洁的能源，其燃烧产物主要是二氧化碳和水</w:t>
                  </w:r>
                  <w:r>
                    <w:rPr>
                      <w:rFonts w:hint="eastAsia" w:ascii="Times New Roman" w:hAnsi="Times New Roman" w:eastAsia="宋体" w:cs="Times New Roman"/>
                      <w:color w:val="auto"/>
                      <w:kern w:val="0"/>
                      <w:sz w:val="18"/>
                      <w:szCs w:val="18"/>
                      <w:lang w:eastAsia="zh-CN"/>
                    </w:rPr>
                    <w:t>。</w:t>
                  </w:r>
                </w:p>
              </w:tc>
              <w:tc>
                <w:tcPr>
                  <w:tcW w:w="1482" w:type="dxa"/>
                  <w:tcBorders>
                    <w:tl2br w:val="nil"/>
                    <w:tr2bl w:val="nil"/>
                  </w:tcBorders>
                  <w:noWrap w:val="0"/>
                  <w:vAlign w:val="center"/>
                </w:tcPr>
                <w:p>
                  <w:pPr>
                    <w:pStyle w:val="9"/>
                    <w:snapToGrid w:val="0"/>
                    <w:jc w:val="center"/>
                    <w:rPr>
                      <w:rFonts w:hint="eastAsia"/>
                      <w:color w:val="auto"/>
                      <w:sz w:val="18"/>
                      <w:szCs w:val="18"/>
                    </w:rPr>
                  </w:pPr>
                  <w:r>
                    <w:rPr>
                      <w:rFonts w:hint="eastAsia"/>
                      <w:color w:val="auto"/>
                      <w:sz w:val="18"/>
                      <w:szCs w:val="18"/>
                    </w:rPr>
                    <w:t>易燃</w:t>
                  </w:r>
                </w:p>
              </w:tc>
              <w:tc>
                <w:tcPr>
                  <w:tcW w:w="1644" w:type="dxa"/>
                  <w:tcBorders>
                    <w:tl2br w:val="nil"/>
                    <w:tr2bl w:val="nil"/>
                  </w:tcBorders>
                  <w:noWrap w:val="0"/>
                  <w:vAlign w:val="center"/>
                </w:tcPr>
                <w:p>
                  <w:pPr>
                    <w:pStyle w:val="9"/>
                    <w:snapToGrid w:val="0"/>
                    <w:jc w:val="center"/>
                    <w:rPr>
                      <w:rFonts w:ascii="Times New Roman" w:hAnsi="Times New Roman"/>
                      <w:color w:val="auto"/>
                      <w:sz w:val="18"/>
                      <w:szCs w:val="18"/>
                    </w:rPr>
                  </w:pPr>
                  <w:r>
                    <w:rPr>
                      <w:rFonts w:ascii="Times New Roman" w:hAnsi="Times New Roman"/>
                      <w:color w:val="auto"/>
                      <w:sz w:val="18"/>
                      <w:szCs w:val="1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64" w:hRule="atLeast"/>
                <w:jc w:val="center"/>
              </w:trPr>
              <w:tc>
                <w:tcPr>
                  <w:tcW w:w="824" w:type="dxa"/>
                  <w:tcBorders>
                    <w:tl2br w:val="nil"/>
                    <w:tr2bl w:val="nil"/>
                  </w:tcBorders>
                  <w:noWrap w:val="0"/>
                  <w:vAlign w:val="center"/>
                </w:tcPr>
                <w:p>
                  <w:pPr>
                    <w:widowControl/>
                    <w:adjustRightInd w:val="0"/>
                    <w:snapToGrid w:val="0"/>
                    <w:jc w:val="center"/>
                    <w:rPr>
                      <w:rFonts w:hint="eastAsia" w:ascii="Times New Roman" w:hAnsi="Times New Roman" w:eastAsia="宋体" w:cs="Times New Roman"/>
                      <w:color w:val="auto"/>
                      <w:kern w:val="0"/>
                      <w:sz w:val="18"/>
                      <w:szCs w:val="18"/>
                      <w:lang w:eastAsia="zh-CN"/>
                    </w:rPr>
                  </w:pPr>
                  <w:r>
                    <w:rPr>
                      <w:rFonts w:hint="eastAsia" w:cs="Times New Roman"/>
                      <w:color w:val="auto"/>
                      <w:kern w:val="0"/>
                      <w:sz w:val="18"/>
                      <w:szCs w:val="18"/>
                      <w:lang w:eastAsia="zh-CN"/>
                    </w:rPr>
                    <w:t>氧气</w:t>
                  </w:r>
                </w:p>
              </w:tc>
              <w:tc>
                <w:tcPr>
                  <w:tcW w:w="3928" w:type="dxa"/>
                  <w:tcBorders>
                    <w:tl2br w:val="nil"/>
                    <w:tr2bl w:val="nil"/>
                  </w:tcBorders>
                  <w:noWrap w:val="0"/>
                  <w:vAlign w:val="center"/>
                </w:tcPr>
                <w:p>
                  <w:pPr>
                    <w:widowControl/>
                    <w:adjustRightInd w:val="0"/>
                    <w:snapToGrid w:val="0"/>
                    <w:jc w:val="center"/>
                    <w:rPr>
                      <w:rFonts w:hint="eastAsia" w:ascii="Times New Roman" w:hAnsi="Times New Roman" w:eastAsia="宋体" w:cs="Times New Roman"/>
                      <w:color w:val="auto"/>
                      <w:kern w:val="0"/>
                      <w:sz w:val="18"/>
                      <w:szCs w:val="18"/>
                      <w:lang w:eastAsia="zh-CN"/>
                    </w:rPr>
                  </w:pPr>
                  <w:r>
                    <w:rPr>
                      <w:rFonts w:hint="eastAsia" w:ascii="Times New Roman" w:hAnsi="Times New Roman" w:eastAsia="宋体" w:cs="Times New Roman"/>
                      <w:color w:val="auto"/>
                      <w:kern w:val="0"/>
                      <w:sz w:val="18"/>
                      <w:szCs w:val="18"/>
                    </w:rPr>
                    <w:t>氧气是一种</w:t>
                  </w:r>
                  <w:r>
                    <w:rPr>
                      <w:rFonts w:hint="default" w:ascii="Times New Roman" w:hAnsi="Times New Roman" w:eastAsia="宋体" w:cs="Times New Roman"/>
                      <w:color w:val="auto"/>
                      <w:kern w:val="0"/>
                      <w:sz w:val="18"/>
                      <w:szCs w:val="18"/>
                    </w:rPr>
                    <w:fldChar w:fldCharType="begin"/>
                  </w:r>
                  <w:r>
                    <w:rPr>
                      <w:rFonts w:hint="default" w:ascii="Times New Roman" w:hAnsi="Times New Roman" w:eastAsia="宋体" w:cs="Times New Roman"/>
                      <w:color w:val="auto"/>
                      <w:kern w:val="0"/>
                      <w:sz w:val="18"/>
                      <w:szCs w:val="18"/>
                    </w:rPr>
                    <w:instrText xml:space="preserve"> HYPERLINK "https://baike.baidu.com/item/%E5%BC%BA%E6%B0%A7%E5%8C%96%E5%89%82/1712635?fromModule=lemma_inlink" \t "https://baike.baidu.com/item/%E6%B0%A7%E6%B0%94/_blank" </w:instrText>
                  </w:r>
                  <w:r>
                    <w:rPr>
                      <w:rFonts w:hint="default" w:ascii="Times New Roman" w:hAnsi="Times New Roman" w:eastAsia="宋体" w:cs="Times New Roman"/>
                      <w:color w:val="auto"/>
                      <w:kern w:val="0"/>
                      <w:sz w:val="18"/>
                      <w:szCs w:val="18"/>
                    </w:rPr>
                    <w:fldChar w:fldCharType="separate"/>
                  </w:r>
                  <w:r>
                    <w:rPr>
                      <w:rFonts w:hint="default" w:ascii="Times New Roman" w:hAnsi="Times New Roman" w:eastAsia="宋体" w:cs="Times New Roman"/>
                      <w:color w:val="auto"/>
                      <w:kern w:val="0"/>
                      <w:sz w:val="18"/>
                      <w:szCs w:val="18"/>
                    </w:rPr>
                    <w:t>强氧化剂</w:t>
                  </w:r>
                  <w:r>
                    <w:rPr>
                      <w:rFonts w:hint="default" w:ascii="Times New Roman" w:hAnsi="Times New Roman" w:eastAsia="宋体" w:cs="Times New Roman"/>
                      <w:color w:val="auto"/>
                      <w:kern w:val="0"/>
                      <w:sz w:val="18"/>
                      <w:szCs w:val="18"/>
                    </w:rPr>
                    <w:fldChar w:fldCharType="end"/>
                  </w:r>
                  <w:r>
                    <w:rPr>
                      <w:rFonts w:hint="default" w:ascii="Times New Roman" w:hAnsi="Times New Roman" w:eastAsia="宋体" w:cs="Times New Roman"/>
                      <w:color w:val="auto"/>
                      <w:kern w:val="0"/>
                      <w:sz w:val="18"/>
                      <w:szCs w:val="18"/>
                    </w:rPr>
                    <w:t>，能够在反应中接受电子。这一特性使其在许多化学反应中发挥关键作用，包括燃烧反应、腐蚀过程和细胞呼吸等。</w:t>
                  </w:r>
                  <w:r>
                    <w:rPr>
                      <w:rFonts w:hint="eastAsia" w:ascii="Times New Roman" w:hAnsi="Times New Roman" w:eastAsia="宋体" w:cs="Times New Roman"/>
                      <w:color w:val="auto"/>
                      <w:kern w:val="0"/>
                      <w:sz w:val="18"/>
                      <w:szCs w:val="18"/>
                    </w:rPr>
                    <w:t>氧</w:t>
                  </w:r>
                  <w:r>
                    <w:rPr>
                      <w:rFonts w:hint="default" w:ascii="Times New Roman" w:hAnsi="Times New Roman" w:eastAsia="宋体" w:cs="Times New Roman"/>
                      <w:color w:val="auto"/>
                      <w:kern w:val="0"/>
                      <w:sz w:val="18"/>
                      <w:szCs w:val="18"/>
                    </w:rPr>
                    <w:t>气为非极性分子，不易溶于水</w:t>
                  </w:r>
                  <w:r>
                    <w:rPr>
                      <w:rFonts w:hint="eastAsia" w:ascii="Times New Roman" w:hAnsi="Times New Roman" w:eastAsia="宋体" w:cs="Times New Roman"/>
                      <w:color w:val="auto"/>
                      <w:kern w:val="0"/>
                      <w:sz w:val="18"/>
                      <w:szCs w:val="18"/>
                      <w:lang w:eastAsia="zh-CN"/>
                    </w:rPr>
                    <w:t>。</w:t>
                  </w:r>
                </w:p>
              </w:tc>
              <w:tc>
                <w:tcPr>
                  <w:tcW w:w="1482" w:type="dxa"/>
                  <w:tcBorders>
                    <w:tl2br w:val="nil"/>
                    <w:tr2bl w:val="nil"/>
                  </w:tcBorders>
                  <w:noWrap w:val="0"/>
                  <w:vAlign w:val="center"/>
                </w:tcPr>
                <w:p>
                  <w:pPr>
                    <w:widowControl/>
                    <w:adjustRightInd w:val="0"/>
                    <w:snapToGrid w:val="0"/>
                    <w:jc w:val="center"/>
                    <w:rPr>
                      <w:rFonts w:hint="eastAsia" w:ascii="Times New Roman" w:hAnsi="Times New Roman" w:eastAsia="宋体" w:cs="Times New Roman"/>
                      <w:color w:val="auto"/>
                      <w:kern w:val="0"/>
                      <w:sz w:val="18"/>
                      <w:szCs w:val="18"/>
                    </w:rPr>
                  </w:pPr>
                  <w:r>
                    <w:rPr>
                      <w:rFonts w:hint="eastAsia" w:ascii="Times New Roman" w:hAnsi="Times New Roman" w:eastAsia="宋体" w:cs="Times New Roman"/>
                      <w:color w:val="auto"/>
                      <w:kern w:val="0"/>
                      <w:sz w:val="18"/>
                      <w:szCs w:val="18"/>
                      <w:lang w:eastAsia="zh-CN"/>
                    </w:rPr>
                    <w:t>不燃</w:t>
                  </w:r>
                </w:p>
              </w:tc>
              <w:tc>
                <w:tcPr>
                  <w:tcW w:w="1644" w:type="dxa"/>
                  <w:tcBorders>
                    <w:tl2br w:val="nil"/>
                    <w:tr2bl w:val="nil"/>
                  </w:tcBorders>
                  <w:noWrap w:val="0"/>
                  <w:vAlign w:val="center"/>
                </w:tcPr>
                <w:p>
                  <w:pPr>
                    <w:widowControl/>
                    <w:adjustRightInd w:val="0"/>
                    <w:snapToGrid w:val="0"/>
                    <w:jc w:val="center"/>
                    <w:rPr>
                      <w:rFonts w:hint="eastAsia" w:ascii="Times New Roman" w:hAnsi="Times New Roman" w:eastAsia="宋体" w:cs="Times New Roman"/>
                      <w:color w:val="FF0000"/>
                      <w:kern w:val="0"/>
                      <w:sz w:val="18"/>
                      <w:szCs w:val="18"/>
                    </w:rPr>
                  </w:pPr>
                  <w:r>
                    <w:rPr>
                      <w:rFonts w:hint="eastAsia" w:ascii="Times New Roman" w:hAnsi="Times New Roman" w:eastAsia="宋体" w:cs="Times New Roman"/>
                      <w:color w:val="auto"/>
                      <w:kern w:val="0"/>
                      <w:sz w:val="18"/>
                      <w:szCs w:val="1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239" w:hRule="atLeast"/>
                <w:jc w:val="center"/>
              </w:trPr>
              <w:tc>
                <w:tcPr>
                  <w:tcW w:w="824" w:type="dxa"/>
                  <w:tcBorders>
                    <w:tl2br w:val="nil"/>
                    <w:tr2bl w:val="nil"/>
                  </w:tcBorders>
                  <w:noWrap w:val="0"/>
                  <w:vAlign w:val="center"/>
                </w:tcPr>
                <w:p>
                  <w:pPr>
                    <w:pStyle w:val="9"/>
                    <w:snapToGrid w:val="0"/>
                    <w:jc w:val="center"/>
                    <w:rPr>
                      <w:rFonts w:hint="eastAsia" w:cs="Times New Roman"/>
                      <w:color w:val="auto"/>
                      <w:sz w:val="18"/>
                      <w:szCs w:val="18"/>
                      <w:lang w:eastAsia="zh-CN"/>
                    </w:rPr>
                  </w:pPr>
                  <w:r>
                    <w:rPr>
                      <w:rFonts w:hint="eastAsia" w:cs="Times New Roman"/>
                      <w:color w:val="auto"/>
                      <w:sz w:val="18"/>
                      <w:szCs w:val="18"/>
                      <w:lang w:eastAsia="zh-CN"/>
                    </w:rPr>
                    <w:t>润滑油</w:t>
                  </w:r>
                </w:p>
              </w:tc>
              <w:tc>
                <w:tcPr>
                  <w:tcW w:w="3928" w:type="dxa"/>
                  <w:tcBorders>
                    <w:tl2br w:val="nil"/>
                    <w:tr2bl w:val="nil"/>
                  </w:tcBorders>
                  <w:noWrap w:val="0"/>
                  <w:vAlign w:val="center"/>
                </w:tcPr>
                <w:p>
                  <w:pPr>
                    <w:jc w:val="center"/>
                    <w:rPr>
                      <w:rFonts w:hint="eastAsia" w:ascii="宋体" w:hAnsi="Courier New" w:eastAsia="宋体" w:cs="Times New Roman"/>
                      <w:color w:val="auto"/>
                      <w:kern w:val="2"/>
                      <w:sz w:val="18"/>
                      <w:szCs w:val="18"/>
                      <w:lang w:val="en-US" w:eastAsia="zh-CN" w:bidi="ar-SA"/>
                    </w:rPr>
                  </w:pPr>
                  <w:r>
                    <w:rPr>
                      <w:rFonts w:hint="eastAsia" w:ascii="宋体" w:hAnsi="Courier New" w:eastAsia="宋体" w:cs="Times New Roman"/>
                      <w:color w:val="auto"/>
                      <w:kern w:val="2"/>
                      <w:sz w:val="18"/>
                      <w:szCs w:val="18"/>
                      <w:lang w:val="en-US" w:eastAsia="zh-CN" w:bidi="ar-SA"/>
                    </w:rPr>
                    <w:t>添加高分子抗极压聚合物、热敏反应聚合物、防锈因子合成而来，不含任何油脂成分和挥发性有毒物质，主要起润滑、冷却、防锈、清洁、密封和缓冲等作用。</w:t>
                  </w:r>
                </w:p>
              </w:tc>
              <w:tc>
                <w:tcPr>
                  <w:tcW w:w="1482" w:type="dxa"/>
                  <w:tcBorders>
                    <w:tl2br w:val="nil"/>
                    <w:tr2bl w:val="nil"/>
                  </w:tcBorders>
                  <w:noWrap w:val="0"/>
                  <w:vAlign w:val="center"/>
                </w:tcPr>
                <w:p>
                  <w:pPr>
                    <w:jc w:val="center"/>
                    <w:rPr>
                      <w:rFonts w:hint="eastAsia" w:ascii="宋体" w:hAnsi="Courier New" w:eastAsia="宋体" w:cs="Times New Roman"/>
                      <w:color w:val="auto"/>
                      <w:kern w:val="2"/>
                      <w:sz w:val="18"/>
                      <w:szCs w:val="18"/>
                      <w:lang w:val="en-US" w:eastAsia="zh-CN" w:bidi="ar-SA"/>
                    </w:rPr>
                  </w:pPr>
                  <w:r>
                    <w:rPr>
                      <w:rFonts w:hint="eastAsia" w:ascii="宋体" w:hAnsi="Courier New" w:eastAsia="宋体" w:cs="Times New Roman"/>
                      <w:color w:val="auto"/>
                      <w:kern w:val="2"/>
                      <w:sz w:val="18"/>
                      <w:szCs w:val="18"/>
                      <w:lang w:val="en-US" w:eastAsia="zh-CN" w:bidi="ar-SA"/>
                    </w:rPr>
                    <w:t>可燃</w:t>
                  </w:r>
                </w:p>
              </w:tc>
              <w:tc>
                <w:tcPr>
                  <w:tcW w:w="1644" w:type="dxa"/>
                  <w:tcBorders>
                    <w:tl2br w:val="nil"/>
                    <w:tr2bl w:val="nil"/>
                  </w:tcBorders>
                  <w:noWrap w:val="0"/>
                  <w:vAlign w:val="center"/>
                </w:tcPr>
                <w:p>
                  <w:pPr>
                    <w:jc w:val="center"/>
                    <w:rPr>
                      <w:rFonts w:ascii="Times New Roman" w:hAnsi="Times New Roman"/>
                      <w:color w:val="auto"/>
                      <w:sz w:val="18"/>
                      <w:szCs w:val="18"/>
                    </w:rPr>
                  </w:pPr>
                  <w:r>
                    <w:rPr>
                      <w:rFonts w:ascii="Times New Roman" w:hAnsi="Times New Roman"/>
                      <w:color w:val="auto"/>
                      <w:sz w:val="18"/>
                      <w:szCs w:val="1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069" w:hRule="atLeast"/>
                <w:jc w:val="center"/>
              </w:trPr>
              <w:tc>
                <w:tcPr>
                  <w:tcW w:w="824" w:type="dxa"/>
                  <w:tcBorders>
                    <w:tl2br w:val="nil"/>
                    <w:tr2bl w:val="nil"/>
                  </w:tcBorders>
                  <w:noWrap w:val="0"/>
                  <w:vAlign w:val="center"/>
                </w:tcPr>
                <w:p>
                  <w:pPr>
                    <w:pStyle w:val="9"/>
                    <w:snapToGrid w:val="0"/>
                    <w:jc w:val="center"/>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切削液</w:t>
                  </w:r>
                </w:p>
              </w:tc>
              <w:tc>
                <w:tcPr>
                  <w:tcW w:w="3928" w:type="dxa"/>
                  <w:tcBorders>
                    <w:tl2br w:val="nil"/>
                    <w:tr2bl w:val="nil"/>
                  </w:tcBorders>
                  <w:noWrap w:val="0"/>
                  <w:vAlign w:val="center"/>
                </w:tcPr>
                <w:p>
                  <w:pPr>
                    <w:pStyle w:val="9"/>
                    <w:snapToGrid w:val="0"/>
                    <w:jc w:val="center"/>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用在金属切削、磨加工过程中，用来冷却和润滑刀具和加工件的工业用液体，切削液由多种超强功能助剂经科学复合配合而成，同时具备良好的冷却性能、润滑性能、防锈性能、除油清洗功能、防腐功能、易稀释特点。</w:t>
                  </w:r>
                </w:p>
              </w:tc>
              <w:tc>
                <w:tcPr>
                  <w:tcW w:w="1482" w:type="dxa"/>
                  <w:tcBorders>
                    <w:tl2br w:val="nil"/>
                    <w:tr2bl w:val="nil"/>
                  </w:tcBorders>
                  <w:noWrap w:val="0"/>
                  <w:vAlign w:val="center"/>
                </w:tcPr>
                <w:p>
                  <w:pPr>
                    <w:pStyle w:val="9"/>
                    <w:snapToGrid w:val="0"/>
                    <w:jc w:val="center"/>
                    <w:rPr>
                      <w:rFonts w:hint="eastAsia" w:eastAsia="宋体"/>
                      <w:color w:val="auto"/>
                      <w:sz w:val="18"/>
                      <w:szCs w:val="18"/>
                      <w:lang w:eastAsia="zh-CN"/>
                    </w:rPr>
                  </w:pPr>
                  <w:r>
                    <w:rPr>
                      <w:rFonts w:hint="eastAsia"/>
                      <w:color w:val="auto"/>
                      <w:sz w:val="18"/>
                      <w:szCs w:val="18"/>
                      <w:lang w:eastAsia="zh-CN"/>
                    </w:rPr>
                    <w:t>不燃</w:t>
                  </w:r>
                </w:p>
              </w:tc>
              <w:tc>
                <w:tcPr>
                  <w:tcW w:w="1644" w:type="dxa"/>
                  <w:tcBorders>
                    <w:tl2br w:val="nil"/>
                    <w:tr2bl w:val="nil"/>
                  </w:tcBorders>
                  <w:noWrap w:val="0"/>
                  <w:vAlign w:val="center"/>
                </w:tcPr>
                <w:p>
                  <w:pPr>
                    <w:pStyle w:val="9"/>
                    <w:snapToGrid w:val="0"/>
                    <w:jc w:val="center"/>
                    <w:rPr>
                      <w:rFonts w:ascii="Times New Roman" w:hAnsi="Times New Roman"/>
                      <w:color w:val="auto"/>
                      <w:sz w:val="18"/>
                      <w:szCs w:val="18"/>
                    </w:rPr>
                  </w:pPr>
                  <w:r>
                    <w:rPr>
                      <w:rFonts w:ascii="Times New Roman" w:hAnsi="Times New Roman"/>
                      <w:color w:val="auto"/>
                      <w:sz w:val="18"/>
                      <w:szCs w:val="18"/>
                    </w:rPr>
                    <w:t>/</w:t>
                  </w:r>
                </w:p>
              </w:tc>
            </w:tr>
          </w:tbl>
          <w:p>
            <w:pPr>
              <w:spacing w:line="360" w:lineRule="auto"/>
              <w:ind w:firstLine="422" w:firstLineChars="200"/>
              <w:rPr>
                <w:rFonts w:eastAsia="宋体"/>
                <w:b/>
                <w:bCs/>
                <w:color w:val="auto"/>
              </w:rPr>
            </w:pPr>
            <w:r>
              <w:rPr>
                <w:rFonts w:hint="eastAsia"/>
                <w:b/>
                <w:bCs/>
                <w:color w:val="auto"/>
                <w:lang w:val="en-US" w:eastAsia="zh-CN"/>
              </w:rPr>
              <w:t>6</w:t>
            </w:r>
            <w:r>
              <w:rPr>
                <w:rFonts w:hint="eastAsia" w:eastAsia="宋体"/>
                <w:b/>
                <w:bCs/>
                <w:color w:val="auto"/>
                <w:lang w:val="en-US" w:eastAsia="zh-CN"/>
              </w:rPr>
              <w:t>、</w:t>
            </w:r>
            <w:r>
              <w:rPr>
                <w:rFonts w:eastAsia="宋体"/>
                <w:b/>
                <w:bCs/>
                <w:color w:val="auto"/>
              </w:rPr>
              <w:t>主要生产设备</w:t>
            </w:r>
          </w:p>
          <w:p>
            <w:pPr>
              <w:spacing w:line="500" w:lineRule="exact"/>
              <w:jc w:val="center"/>
              <w:rPr>
                <w:b/>
                <w:bCs/>
                <w:color w:val="auto"/>
              </w:rPr>
            </w:pPr>
          </w:p>
          <w:p>
            <w:pPr>
              <w:spacing w:line="500" w:lineRule="exact"/>
              <w:jc w:val="center"/>
              <w:rPr>
                <w:b/>
                <w:bCs/>
                <w:color w:val="auto"/>
              </w:rPr>
            </w:pPr>
          </w:p>
          <w:p>
            <w:pPr>
              <w:spacing w:line="500" w:lineRule="exact"/>
              <w:jc w:val="center"/>
              <w:rPr>
                <w:rFonts w:hint="eastAsia" w:eastAsia="宋体"/>
                <w:b/>
                <w:bCs/>
                <w:color w:val="auto"/>
                <w:lang w:eastAsia="zh-CN"/>
              </w:rPr>
            </w:pPr>
            <w:r>
              <w:rPr>
                <w:b/>
                <w:bCs/>
                <w:color w:val="auto"/>
              </w:rPr>
              <w:t>表2-</w:t>
            </w:r>
            <w:r>
              <w:rPr>
                <w:rFonts w:hint="eastAsia"/>
                <w:b/>
                <w:bCs/>
                <w:color w:val="auto"/>
                <w:lang w:val="en-US" w:eastAsia="zh-CN"/>
              </w:rPr>
              <w:t>8</w:t>
            </w:r>
            <w:r>
              <w:rPr>
                <w:b/>
                <w:bCs/>
                <w:color w:val="auto"/>
              </w:rPr>
              <w:t xml:space="preserve"> 主要生产设备一览表</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72"/>
              <w:gridCol w:w="1857"/>
              <w:gridCol w:w="1848"/>
              <w:gridCol w:w="990"/>
              <w:gridCol w:w="983"/>
              <w:gridCol w:w="758"/>
              <w:gridCol w:w="96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358" w:type="pct"/>
                  <w:vMerge w:val="restart"/>
                  <w:tcBorders>
                    <w:tl2br w:val="nil"/>
                    <w:tr2bl w:val="nil"/>
                  </w:tcBorders>
                  <w:noWrap w:val="0"/>
                  <w:vAlign w:val="center"/>
                </w:tcPr>
                <w:p>
                  <w:pPr>
                    <w:jc w:val="center"/>
                    <w:rPr>
                      <w:color w:val="auto"/>
                      <w:sz w:val="18"/>
                      <w:szCs w:val="18"/>
                    </w:rPr>
                  </w:pPr>
                  <w:r>
                    <w:rPr>
                      <w:color w:val="auto"/>
                      <w:sz w:val="18"/>
                      <w:szCs w:val="18"/>
                    </w:rPr>
                    <w:t>序号</w:t>
                  </w:r>
                </w:p>
              </w:tc>
              <w:tc>
                <w:tcPr>
                  <w:tcW w:w="1164" w:type="pct"/>
                  <w:vMerge w:val="restart"/>
                  <w:tcBorders>
                    <w:tl2br w:val="nil"/>
                    <w:tr2bl w:val="nil"/>
                  </w:tcBorders>
                  <w:noWrap w:val="0"/>
                  <w:vAlign w:val="center"/>
                </w:tcPr>
                <w:p>
                  <w:pPr>
                    <w:jc w:val="center"/>
                    <w:rPr>
                      <w:color w:val="auto"/>
                      <w:sz w:val="18"/>
                      <w:szCs w:val="18"/>
                    </w:rPr>
                  </w:pPr>
                  <w:r>
                    <w:rPr>
                      <w:color w:val="auto"/>
                      <w:sz w:val="18"/>
                      <w:szCs w:val="18"/>
                    </w:rPr>
                    <w:t>生产设施</w:t>
                  </w:r>
                </w:p>
              </w:tc>
              <w:tc>
                <w:tcPr>
                  <w:tcW w:w="1158" w:type="pct"/>
                  <w:vMerge w:val="restart"/>
                  <w:tcBorders>
                    <w:tl2br w:val="nil"/>
                    <w:tr2bl w:val="nil"/>
                  </w:tcBorders>
                  <w:noWrap w:val="0"/>
                  <w:vAlign w:val="center"/>
                </w:tcPr>
                <w:p>
                  <w:pPr>
                    <w:jc w:val="center"/>
                    <w:rPr>
                      <w:color w:val="auto"/>
                      <w:sz w:val="18"/>
                      <w:szCs w:val="18"/>
                    </w:rPr>
                  </w:pPr>
                  <w:r>
                    <w:rPr>
                      <w:color w:val="auto"/>
                      <w:sz w:val="18"/>
                      <w:szCs w:val="18"/>
                    </w:rPr>
                    <w:t>设施参数</w:t>
                  </w:r>
                </w:p>
              </w:tc>
              <w:tc>
                <w:tcPr>
                  <w:tcW w:w="1712" w:type="pct"/>
                  <w:gridSpan w:val="3"/>
                  <w:tcBorders>
                    <w:tl2br w:val="nil"/>
                    <w:tr2bl w:val="nil"/>
                  </w:tcBorders>
                  <w:noWrap w:val="0"/>
                  <w:vAlign w:val="center"/>
                </w:tcPr>
                <w:p>
                  <w:pPr>
                    <w:jc w:val="center"/>
                    <w:rPr>
                      <w:color w:val="auto"/>
                      <w:sz w:val="18"/>
                      <w:szCs w:val="18"/>
                    </w:rPr>
                  </w:pPr>
                  <w:r>
                    <w:rPr>
                      <w:color w:val="auto"/>
                      <w:sz w:val="18"/>
                      <w:szCs w:val="18"/>
                    </w:rPr>
                    <w:t>数量（台/套）</w:t>
                  </w:r>
                </w:p>
              </w:tc>
              <w:tc>
                <w:tcPr>
                  <w:tcW w:w="605" w:type="pct"/>
                  <w:vMerge w:val="restart"/>
                  <w:tcBorders>
                    <w:tl2br w:val="nil"/>
                    <w:tr2bl w:val="nil"/>
                  </w:tcBorders>
                  <w:noWrap w:val="0"/>
                  <w:vAlign w:val="center"/>
                </w:tcPr>
                <w:p>
                  <w:pPr>
                    <w:jc w:val="center"/>
                    <w:rPr>
                      <w:color w:val="auto"/>
                      <w:sz w:val="18"/>
                      <w:szCs w:val="18"/>
                    </w:rPr>
                  </w:pPr>
                  <w:r>
                    <w:rPr>
                      <w:color w:val="auto"/>
                      <w:sz w:val="18"/>
                      <w:szCs w:val="18"/>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358" w:type="pct"/>
                  <w:vMerge w:val="continue"/>
                  <w:tcBorders>
                    <w:tl2br w:val="nil"/>
                    <w:tr2bl w:val="nil"/>
                  </w:tcBorders>
                  <w:noWrap w:val="0"/>
                  <w:vAlign w:val="center"/>
                </w:tcPr>
                <w:p>
                  <w:pPr>
                    <w:jc w:val="center"/>
                    <w:rPr>
                      <w:color w:val="auto"/>
                      <w:sz w:val="18"/>
                      <w:szCs w:val="18"/>
                    </w:rPr>
                  </w:pPr>
                </w:p>
              </w:tc>
              <w:tc>
                <w:tcPr>
                  <w:tcW w:w="1164" w:type="pct"/>
                  <w:vMerge w:val="continue"/>
                  <w:tcBorders>
                    <w:tl2br w:val="nil"/>
                    <w:tr2bl w:val="nil"/>
                  </w:tcBorders>
                  <w:noWrap w:val="0"/>
                  <w:vAlign w:val="center"/>
                </w:tcPr>
                <w:p>
                  <w:pPr>
                    <w:jc w:val="center"/>
                    <w:rPr>
                      <w:color w:val="auto"/>
                      <w:sz w:val="18"/>
                      <w:szCs w:val="18"/>
                    </w:rPr>
                  </w:pPr>
                </w:p>
              </w:tc>
              <w:tc>
                <w:tcPr>
                  <w:tcW w:w="1158" w:type="pct"/>
                  <w:vMerge w:val="continue"/>
                  <w:tcBorders>
                    <w:tl2br w:val="nil"/>
                    <w:tr2bl w:val="nil"/>
                  </w:tcBorders>
                  <w:noWrap w:val="0"/>
                  <w:vAlign w:val="center"/>
                </w:tcPr>
                <w:p>
                  <w:pPr>
                    <w:jc w:val="center"/>
                    <w:rPr>
                      <w:color w:val="auto"/>
                      <w:sz w:val="18"/>
                      <w:szCs w:val="18"/>
                    </w:rPr>
                  </w:pPr>
                </w:p>
              </w:tc>
              <w:tc>
                <w:tcPr>
                  <w:tcW w:w="620" w:type="pct"/>
                  <w:tcBorders>
                    <w:tl2br w:val="nil"/>
                    <w:tr2bl w:val="nil"/>
                  </w:tcBorders>
                  <w:noWrap w:val="0"/>
                  <w:vAlign w:val="center"/>
                </w:tcPr>
                <w:p>
                  <w:pPr>
                    <w:jc w:val="center"/>
                    <w:rPr>
                      <w:color w:val="auto"/>
                      <w:sz w:val="18"/>
                      <w:szCs w:val="18"/>
                    </w:rPr>
                  </w:pPr>
                  <w:r>
                    <w:rPr>
                      <w:rFonts w:hint="eastAsia"/>
                      <w:color w:val="auto"/>
                      <w:sz w:val="18"/>
                      <w:szCs w:val="18"/>
                      <w:lang w:eastAsia="zh-CN"/>
                    </w:rPr>
                    <w:t>改扩建</w:t>
                  </w:r>
                  <w:r>
                    <w:rPr>
                      <w:color w:val="auto"/>
                      <w:sz w:val="18"/>
                      <w:szCs w:val="18"/>
                    </w:rPr>
                    <w:t>前</w:t>
                  </w:r>
                </w:p>
              </w:tc>
              <w:tc>
                <w:tcPr>
                  <w:tcW w:w="616" w:type="pct"/>
                  <w:tcBorders>
                    <w:tl2br w:val="nil"/>
                    <w:tr2bl w:val="nil"/>
                  </w:tcBorders>
                  <w:noWrap w:val="0"/>
                  <w:vAlign w:val="center"/>
                </w:tcPr>
                <w:p>
                  <w:pPr>
                    <w:rPr>
                      <w:color w:val="auto"/>
                    </w:rPr>
                  </w:pPr>
                  <w:r>
                    <w:rPr>
                      <w:rFonts w:hint="eastAsia"/>
                      <w:color w:val="auto"/>
                      <w:sz w:val="18"/>
                      <w:szCs w:val="18"/>
                      <w:lang w:eastAsia="zh-CN"/>
                    </w:rPr>
                    <w:t>改扩建</w:t>
                  </w:r>
                  <w:r>
                    <w:rPr>
                      <w:color w:val="auto"/>
                      <w:sz w:val="18"/>
                      <w:szCs w:val="18"/>
                    </w:rPr>
                    <w:t>后</w:t>
                  </w:r>
                </w:p>
              </w:tc>
              <w:tc>
                <w:tcPr>
                  <w:tcW w:w="475" w:type="pct"/>
                  <w:tcBorders>
                    <w:tl2br w:val="nil"/>
                    <w:tr2bl w:val="nil"/>
                  </w:tcBorders>
                  <w:noWrap w:val="0"/>
                  <w:vAlign w:val="center"/>
                </w:tcPr>
                <w:p>
                  <w:pPr>
                    <w:jc w:val="center"/>
                    <w:rPr>
                      <w:color w:val="auto"/>
                      <w:sz w:val="18"/>
                      <w:szCs w:val="18"/>
                    </w:rPr>
                  </w:pPr>
                  <w:r>
                    <w:rPr>
                      <w:rFonts w:hint="eastAsia"/>
                      <w:color w:val="auto"/>
                      <w:sz w:val="18"/>
                      <w:szCs w:val="18"/>
                      <w:lang w:eastAsia="zh-CN"/>
                    </w:rPr>
                    <w:t>增减量</w:t>
                  </w:r>
                </w:p>
              </w:tc>
              <w:tc>
                <w:tcPr>
                  <w:tcW w:w="605" w:type="pct"/>
                  <w:vMerge w:val="continue"/>
                  <w:tcBorders>
                    <w:tl2br w:val="nil"/>
                    <w:tr2bl w:val="nil"/>
                  </w:tcBorders>
                  <w:noWrap w:val="0"/>
                  <w:vAlign w:val="center"/>
                </w:tcPr>
                <w:p>
                  <w:pPr>
                    <w:jc w:val="center"/>
                    <w:rPr>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000" w:type="pct"/>
                  <w:gridSpan w:val="7"/>
                  <w:tcBorders>
                    <w:tl2br w:val="nil"/>
                    <w:tr2bl w:val="nil"/>
                  </w:tcBorders>
                  <w:noWrap w:val="0"/>
                  <w:vAlign w:val="center"/>
                </w:tcPr>
                <w:p>
                  <w:pPr>
                    <w:jc w:val="center"/>
                    <w:rPr>
                      <w:rFonts w:hint="eastAsia" w:eastAsia="宋体"/>
                      <w:color w:val="auto"/>
                      <w:sz w:val="18"/>
                      <w:szCs w:val="18"/>
                      <w:lang w:eastAsia="zh-CN"/>
                    </w:rPr>
                  </w:pPr>
                  <w:r>
                    <w:rPr>
                      <w:rFonts w:hint="eastAsia"/>
                      <w:color w:val="auto"/>
                      <w:sz w:val="18"/>
                      <w:szCs w:val="18"/>
                      <w:lang w:eastAsia="zh-CN"/>
                    </w:rPr>
                    <w:t>锻造车间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358" w:type="pct"/>
                  <w:tcBorders>
                    <w:tl2br w:val="nil"/>
                    <w:tr2bl w:val="nil"/>
                  </w:tcBorders>
                  <w:noWrap w:val="0"/>
                  <w:vAlign w:val="center"/>
                </w:tcPr>
                <w:p>
                  <w:pPr>
                    <w:jc w:val="center"/>
                    <w:rPr>
                      <w:rFonts w:hint="eastAsia" w:eastAsia="宋体"/>
                      <w:color w:val="auto"/>
                      <w:sz w:val="18"/>
                      <w:szCs w:val="18"/>
                      <w:lang w:val="en-US" w:eastAsia="zh-CN"/>
                    </w:rPr>
                  </w:pPr>
                  <w:r>
                    <w:rPr>
                      <w:rFonts w:hint="eastAsia"/>
                      <w:color w:val="auto"/>
                      <w:sz w:val="18"/>
                      <w:szCs w:val="18"/>
                      <w:lang w:val="en-US" w:eastAsia="zh-CN"/>
                    </w:rPr>
                    <w:t>1</w:t>
                  </w:r>
                </w:p>
              </w:tc>
              <w:tc>
                <w:tcPr>
                  <w:tcW w:w="1164" w:type="pct"/>
                  <w:tcBorders>
                    <w:tl2br w:val="nil"/>
                    <w:tr2bl w:val="nil"/>
                  </w:tcBorders>
                  <w:noWrap w:val="0"/>
                  <w:vAlign w:val="center"/>
                </w:tcPr>
                <w:p>
                  <w:pPr>
                    <w:jc w:val="center"/>
                    <w:rPr>
                      <w:rFonts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45-50MN快锻压机</w:t>
                  </w:r>
                </w:p>
              </w:tc>
              <w:tc>
                <w:tcPr>
                  <w:tcW w:w="1158" w:type="pct"/>
                  <w:tcBorders>
                    <w:tl2br w:val="nil"/>
                    <w:tr2bl w:val="nil"/>
                  </w:tcBorders>
                  <w:noWrap w:val="0"/>
                  <w:vAlign w:val="center"/>
                </w:tcPr>
                <w:p>
                  <w:pPr>
                    <w:jc w:val="center"/>
                    <w:rPr>
                      <w:rFonts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预应力双柱斜置上压式</w:t>
                  </w:r>
                </w:p>
              </w:tc>
              <w:tc>
                <w:tcPr>
                  <w:tcW w:w="620" w:type="pct"/>
                  <w:tcBorders>
                    <w:tl2br w:val="nil"/>
                    <w:tr2bl w:val="nil"/>
                  </w:tcBorders>
                  <w:noWrap w:val="0"/>
                  <w:vAlign w:val="center"/>
                </w:tcPr>
                <w:p>
                  <w:pPr>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1</w:t>
                  </w:r>
                </w:p>
              </w:tc>
              <w:tc>
                <w:tcPr>
                  <w:tcW w:w="616" w:type="pct"/>
                  <w:tcBorders>
                    <w:tl2br w:val="nil"/>
                    <w:tr2bl w:val="nil"/>
                  </w:tcBorders>
                  <w:noWrap w:val="0"/>
                  <w:vAlign w:val="center"/>
                </w:tcPr>
                <w:p>
                  <w:pPr>
                    <w:keepNext w:val="0"/>
                    <w:keepLines w:val="0"/>
                    <w:widowControl/>
                    <w:suppressLineNumbers w:val="0"/>
                    <w:jc w:val="center"/>
                    <w:textAlignment w:val="center"/>
                    <w:rPr>
                      <w:rFonts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1</w:t>
                  </w:r>
                </w:p>
              </w:tc>
              <w:tc>
                <w:tcPr>
                  <w:tcW w:w="475" w:type="pct"/>
                  <w:tcBorders>
                    <w:tl2br w:val="nil"/>
                    <w:tr2bl w:val="nil"/>
                  </w:tcBorders>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ascii="Times New Roman" w:hAnsi="Times New Roman" w:cs="Times New Roman"/>
                      <w:color w:val="auto"/>
                      <w:sz w:val="18"/>
                      <w:szCs w:val="18"/>
                    </w:rPr>
                    <w:t>0</w:t>
                  </w:r>
                </w:p>
              </w:tc>
              <w:tc>
                <w:tcPr>
                  <w:tcW w:w="605" w:type="pct"/>
                  <w:tcBorders>
                    <w:tl2br w:val="nil"/>
                    <w:tr2bl w:val="nil"/>
                  </w:tcBorders>
                  <w:noWrap w:val="0"/>
                  <w:vAlign w:val="center"/>
                </w:tcPr>
                <w:p>
                  <w:pPr>
                    <w:jc w:val="center"/>
                    <w:rPr>
                      <w:rFonts w:hint="eastAsia" w:eastAsia="宋体"/>
                      <w:color w:val="auto"/>
                      <w:sz w:val="18"/>
                      <w:szCs w:val="18"/>
                      <w:lang w:val="en-US" w:eastAsia="zh-CN"/>
                    </w:rPr>
                  </w:pPr>
                  <w:r>
                    <w:rPr>
                      <w:rFonts w:hint="eastAsia"/>
                      <w:color w:val="auto"/>
                      <w:sz w:val="18"/>
                      <w:szCs w:val="18"/>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358" w:type="pct"/>
                  <w:tcBorders>
                    <w:tl2br w:val="nil"/>
                    <w:tr2bl w:val="nil"/>
                  </w:tcBorders>
                  <w:noWrap w:val="0"/>
                  <w:vAlign w:val="center"/>
                </w:tcPr>
                <w:p>
                  <w:pPr>
                    <w:jc w:val="center"/>
                    <w:rPr>
                      <w:rFonts w:hint="eastAsia" w:eastAsia="宋体"/>
                      <w:color w:val="auto"/>
                      <w:sz w:val="18"/>
                      <w:szCs w:val="18"/>
                      <w:lang w:val="en-US" w:eastAsia="zh-CN"/>
                    </w:rPr>
                  </w:pPr>
                  <w:r>
                    <w:rPr>
                      <w:rFonts w:hint="eastAsia"/>
                      <w:color w:val="auto"/>
                      <w:sz w:val="18"/>
                      <w:szCs w:val="18"/>
                      <w:lang w:val="en-US" w:eastAsia="zh-CN"/>
                    </w:rPr>
                    <w:t>2</w:t>
                  </w:r>
                </w:p>
              </w:tc>
              <w:tc>
                <w:tcPr>
                  <w:tcW w:w="1164" w:type="pct"/>
                  <w:tcBorders>
                    <w:tl2br w:val="nil"/>
                    <w:tr2bl w:val="nil"/>
                  </w:tcBorders>
                  <w:noWrap w:val="0"/>
                  <w:vAlign w:val="center"/>
                </w:tcPr>
                <w:p>
                  <w:pPr>
                    <w:jc w:val="center"/>
                    <w:rPr>
                      <w:rFonts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60T液压操作机</w:t>
                  </w:r>
                </w:p>
              </w:tc>
              <w:tc>
                <w:tcPr>
                  <w:tcW w:w="1158" w:type="pct"/>
                  <w:tcBorders>
                    <w:tl2br w:val="nil"/>
                    <w:tr2bl w:val="nil"/>
                  </w:tcBorders>
                  <w:noWrap w:val="0"/>
                  <w:vAlign w:val="center"/>
                </w:tcPr>
                <w:p>
                  <w:pPr>
                    <w:jc w:val="center"/>
                    <w:rPr>
                      <w:rFonts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GSM-600-1500WP</w:t>
                  </w:r>
                </w:p>
              </w:tc>
              <w:tc>
                <w:tcPr>
                  <w:tcW w:w="620" w:type="pct"/>
                  <w:tcBorders>
                    <w:tl2br w:val="nil"/>
                    <w:tr2bl w:val="nil"/>
                  </w:tcBorders>
                  <w:noWrap w:val="0"/>
                  <w:vAlign w:val="center"/>
                </w:tcPr>
                <w:p>
                  <w:pPr>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1</w:t>
                  </w:r>
                </w:p>
              </w:tc>
              <w:tc>
                <w:tcPr>
                  <w:tcW w:w="616" w:type="pct"/>
                  <w:tcBorders>
                    <w:tl2br w:val="nil"/>
                    <w:tr2bl w:val="nil"/>
                  </w:tcBorders>
                  <w:noWrap w:val="0"/>
                  <w:vAlign w:val="center"/>
                </w:tcPr>
                <w:p>
                  <w:pPr>
                    <w:keepNext w:val="0"/>
                    <w:keepLines w:val="0"/>
                    <w:widowControl/>
                    <w:suppressLineNumbers w:val="0"/>
                    <w:jc w:val="center"/>
                    <w:textAlignment w:val="center"/>
                    <w:rPr>
                      <w:rFonts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1</w:t>
                  </w:r>
                </w:p>
              </w:tc>
              <w:tc>
                <w:tcPr>
                  <w:tcW w:w="475" w:type="pct"/>
                  <w:tcBorders>
                    <w:tl2br w:val="nil"/>
                    <w:tr2bl w:val="nil"/>
                  </w:tcBorders>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ascii="Times New Roman" w:hAnsi="Times New Roman" w:cs="Times New Roman"/>
                      <w:color w:val="auto"/>
                      <w:sz w:val="18"/>
                      <w:szCs w:val="18"/>
                    </w:rPr>
                    <w:t>0</w:t>
                  </w:r>
                </w:p>
              </w:tc>
              <w:tc>
                <w:tcPr>
                  <w:tcW w:w="605" w:type="pct"/>
                  <w:tcBorders>
                    <w:tl2br w:val="nil"/>
                    <w:tr2bl w:val="nil"/>
                  </w:tcBorders>
                  <w:noWrap w:val="0"/>
                  <w:vAlign w:val="center"/>
                </w:tcPr>
                <w:p>
                  <w:pPr>
                    <w:jc w:val="center"/>
                    <w:rPr>
                      <w:color w:val="auto"/>
                      <w:sz w:val="18"/>
                      <w:szCs w:val="18"/>
                    </w:rPr>
                  </w:pPr>
                  <w:r>
                    <w:rPr>
                      <w:rFonts w:hint="eastAsia"/>
                      <w:color w:val="auto"/>
                      <w:sz w:val="18"/>
                      <w:szCs w:val="18"/>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8" w:type="pct"/>
                  <w:tcBorders>
                    <w:tl2br w:val="nil"/>
                    <w:tr2bl w:val="nil"/>
                  </w:tcBorders>
                  <w:noWrap w:val="0"/>
                  <w:vAlign w:val="center"/>
                </w:tcPr>
                <w:p>
                  <w:pPr>
                    <w:jc w:val="center"/>
                    <w:rPr>
                      <w:rFonts w:hint="eastAsia" w:eastAsia="宋体"/>
                      <w:color w:val="auto"/>
                      <w:sz w:val="18"/>
                      <w:szCs w:val="18"/>
                      <w:lang w:val="en-US" w:eastAsia="zh-CN"/>
                    </w:rPr>
                  </w:pPr>
                  <w:r>
                    <w:rPr>
                      <w:rFonts w:hint="eastAsia"/>
                      <w:color w:val="auto"/>
                      <w:sz w:val="18"/>
                      <w:szCs w:val="18"/>
                      <w:lang w:val="en-US" w:eastAsia="zh-CN"/>
                    </w:rPr>
                    <w:t>3</w:t>
                  </w:r>
                </w:p>
              </w:tc>
              <w:tc>
                <w:tcPr>
                  <w:tcW w:w="1164" w:type="pct"/>
                  <w:tcBorders>
                    <w:tl2br w:val="nil"/>
                    <w:tr2bl w:val="nil"/>
                  </w:tcBorders>
                  <w:noWrap w:val="0"/>
                  <w:vAlign w:val="center"/>
                </w:tcPr>
                <w:p>
                  <w:pPr>
                    <w:jc w:val="center"/>
                    <w:rPr>
                      <w:rFonts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36MN压机</w:t>
                  </w:r>
                </w:p>
              </w:tc>
              <w:tc>
                <w:tcPr>
                  <w:tcW w:w="1158" w:type="pct"/>
                  <w:tcBorders>
                    <w:tl2br w:val="nil"/>
                    <w:tr2bl w:val="nil"/>
                  </w:tcBorders>
                  <w:noWrap w:val="0"/>
                  <w:vAlign w:val="center"/>
                </w:tcPr>
                <w:p>
                  <w:pPr>
                    <w:jc w:val="center"/>
                    <w:rPr>
                      <w:rFonts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三梁四柱、上传动</w:t>
                  </w:r>
                </w:p>
              </w:tc>
              <w:tc>
                <w:tcPr>
                  <w:tcW w:w="620" w:type="pct"/>
                  <w:tcBorders>
                    <w:tl2br w:val="nil"/>
                    <w:tr2bl w:val="nil"/>
                  </w:tcBorders>
                  <w:noWrap w:val="0"/>
                  <w:vAlign w:val="center"/>
                </w:tcPr>
                <w:p>
                  <w:pPr>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1</w:t>
                  </w:r>
                </w:p>
              </w:tc>
              <w:tc>
                <w:tcPr>
                  <w:tcW w:w="616" w:type="pct"/>
                  <w:tcBorders>
                    <w:tl2br w:val="nil"/>
                    <w:tr2bl w:val="nil"/>
                  </w:tcBorders>
                  <w:noWrap w:val="0"/>
                  <w:vAlign w:val="center"/>
                </w:tcPr>
                <w:p>
                  <w:pPr>
                    <w:keepNext w:val="0"/>
                    <w:keepLines w:val="0"/>
                    <w:widowControl/>
                    <w:suppressLineNumbers w:val="0"/>
                    <w:jc w:val="center"/>
                    <w:textAlignment w:val="center"/>
                    <w:rPr>
                      <w:rFonts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1</w:t>
                  </w:r>
                </w:p>
              </w:tc>
              <w:tc>
                <w:tcPr>
                  <w:tcW w:w="475" w:type="pct"/>
                  <w:tcBorders>
                    <w:tl2br w:val="nil"/>
                    <w:tr2bl w:val="nil"/>
                  </w:tcBorders>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ascii="Times New Roman" w:hAnsi="Times New Roman" w:cs="Times New Roman"/>
                      <w:color w:val="auto"/>
                      <w:sz w:val="18"/>
                      <w:szCs w:val="18"/>
                    </w:rPr>
                    <w:t>0</w:t>
                  </w:r>
                </w:p>
              </w:tc>
              <w:tc>
                <w:tcPr>
                  <w:tcW w:w="605" w:type="pct"/>
                  <w:tcBorders>
                    <w:tl2br w:val="nil"/>
                    <w:tr2bl w:val="nil"/>
                  </w:tcBorders>
                  <w:noWrap w:val="0"/>
                  <w:vAlign w:val="center"/>
                </w:tcPr>
                <w:p>
                  <w:pPr>
                    <w:jc w:val="center"/>
                    <w:rPr>
                      <w:color w:val="auto"/>
                      <w:sz w:val="18"/>
                      <w:szCs w:val="18"/>
                    </w:rPr>
                  </w:pPr>
                  <w:r>
                    <w:rPr>
                      <w:rFonts w:hint="eastAsia"/>
                      <w:color w:val="auto"/>
                      <w:sz w:val="18"/>
                      <w:szCs w:val="18"/>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358" w:type="pct"/>
                  <w:tcBorders>
                    <w:tl2br w:val="nil"/>
                    <w:tr2bl w:val="nil"/>
                  </w:tcBorders>
                  <w:noWrap w:val="0"/>
                  <w:vAlign w:val="center"/>
                </w:tcPr>
                <w:p>
                  <w:pPr>
                    <w:jc w:val="center"/>
                    <w:rPr>
                      <w:rFonts w:hint="eastAsia" w:eastAsia="宋体"/>
                      <w:color w:val="auto"/>
                      <w:sz w:val="18"/>
                      <w:szCs w:val="18"/>
                      <w:lang w:val="en-US" w:eastAsia="zh-CN"/>
                    </w:rPr>
                  </w:pPr>
                  <w:r>
                    <w:rPr>
                      <w:rFonts w:hint="eastAsia"/>
                      <w:color w:val="auto"/>
                      <w:sz w:val="18"/>
                      <w:szCs w:val="18"/>
                      <w:lang w:val="en-US" w:eastAsia="zh-CN"/>
                    </w:rPr>
                    <w:t>4</w:t>
                  </w:r>
                </w:p>
              </w:tc>
              <w:tc>
                <w:tcPr>
                  <w:tcW w:w="1164" w:type="pct"/>
                  <w:tcBorders>
                    <w:tl2br w:val="nil"/>
                    <w:tr2bl w:val="nil"/>
                  </w:tcBorders>
                  <w:noWrap w:val="0"/>
                  <w:vAlign w:val="center"/>
                </w:tcPr>
                <w:p>
                  <w:pPr>
                    <w:jc w:val="center"/>
                    <w:rPr>
                      <w:rFonts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50T液压操作机</w:t>
                  </w:r>
                </w:p>
              </w:tc>
              <w:tc>
                <w:tcPr>
                  <w:tcW w:w="1158" w:type="pct"/>
                  <w:tcBorders>
                    <w:tl2br w:val="nil"/>
                    <w:tr2bl w:val="nil"/>
                  </w:tcBorders>
                  <w:noWrap w:val="0"/>
                  <w:vAlign w:val="center"/>
                </w:tcPr>
                <w:p>
                  <w:pPr>
                    <w:jc w:val="center"/>
                    <w:rPr>
                      <w:rFonts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DCYY-0-50-125全液压</w:t>
                  </w:r>
                </w:p>
              </w:tc>
              <w:tc>
                <w:tcPr>
                  <w:tcW w:w="620" w:type="pct"/>
                  <w:tcBorders>
                    <w:tl2br w:val="nil"/>
                    <w:tr2bl w:val="nil"/>
                  </w:tcBorders>
                  <w:noWrap w:val="0"/>
                  <w:vAlign w:val="center"/>
                </w:tcPr>
                <w:p>
                  <w:pPr>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1</w:t>
                  </w:r>
                </w:p>
              </w:tc>
              <w:tc>
                <w:tcPr>
                  <w:tcW w:w="616" w:type="pct"/>
                  <w:tcBorders>
                    <w:tl2br w:val="nil"/>
                    <w:tr2bl w:val="nil"/>
                  </w:tcBorders>
                  <w:noWrap w:val="0"/>
                  <w:vAlign w:val="center"/>
                </w:tcPr>
                <w:p>
                  <w:pPr>
                    <w:keepNext w:val="0"/>
                    <w:keepLines w:val="0"/>
                    <w:widowControl/>
                    <w:suppressLineNumbers w:val="0"/>
                    <w:jc w:val="center"/>
                    <w:textAlignment w:val="center"/>
                    <w:rPr>
                      <w:rFonts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1</w:t>
                  </w:r>
                </w:p>
              </w:tc>
              <w:tc>
                <w:tcPr>
                  <w:tcW w:w="475" w:type="pct"/>
                  <w:tcBorders>
                    <w:tl2br w:val="nil"/>
                    <w:tr2bl w:val="nil"/>
                  </w:tcBorders>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ascii="Times New Roman" w:hAnsi="Times New Roman" w:cs="Times New Roman"/>
                      <w:color w:val="auto"/>
                      <w:sz w:val="18"/>
                      <w:szCs w:val="18"/>
                    </w:rPr>
                    <w:t>0</w:t>
                  </w:r>
                </w:p>
              </w:tc>
              <w:tc>
                <w:tcPr>
                  <w:tcW w:w="605" w:type="pct"/>
                  <w:tcBorders>
                    <w:tl2br w:val="nil"/>
                    <w:tr2bl w:val="nil"/>
                  </w:tcBorders>
                  <w:noWrap w:val="0"/>
                  <w:vAlign w:val="center"/>
                </w:tcPr>
                <w:p>
                  <w:pPr>
                    <w:jc w:val="center"/>
                    <w:rPr>
                      <w:color w:val="auto"/>
                      <w:sz w:val="18"/>
                      <w:szCs w:val="18"/>
                    </w:rPr>
                  </w:pPr>
                  <w:r>
                    <w:rPr>
                      <w:rFonts w:hint="eastAsia"/>
                      <w:color w:val="auto"/>
                      <w:sz w:val="18"/>
                      <w:szCs w:val="18"/>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358" w:type="pct"/>
                  <w:tcBorders>
                    <w:tl2br w:val="nil"/>
                    <w:tr2bl w:val="nil"/>
                  </w:tcBorders>
                  <w:noWrap w:val="0"/>
                  <w:vAlign w:val="center"/>
                </w:tcPr>
                <w:p>
                  <w:pPr>
                    <w:jc w:val="center"/>
                    <w:rPr>
                      <w:rFonts w:hint="eastAsia" w:eastAsia="宋体"/>
                      <w:color w:val="auto"/>
                      <w:sz w:val="18"/>
                      <w:szCs w:val="18"/>
                      <w:lang w:val="en-US" w:eastAsia="zh-CN"/>
                    </w:rPr>
                  </w:pPr>
                  <w:r>
                    <w:rPr>
                      <w:rFonts w:hint="eastAsia"/>
                      <w:color w:val="auto"/>
                      <w:sz w:val="18"/>
                      <w:szCs w:val="18"/>
                      <w:lang w:val="en-US" w:eastAsia="zh-CN"/>
                    </w:rPr>
                    <w:t>5</w:t>
                  </w:r>
                </w:p>
              </w:tc>
              <w:tc>
                <w:tcPr>
                  <w:tcW w:w="1164" w:type="pct"/>
                  <w:tcBorders>
                    <w:tl2br w:val="nil"/>
                    <w:tr2bl w:val="nil"/>
                  </w:tcBorders>
                  <w:noWrap w:val="0"/>
                  <w:vAlign w:val="center"/>
                </w:tcPr>
                <w:p>
                  <w:pPr>
                    <w:jc w:val="center"/>
                    <w:rPr>
                      <w:rFonts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锻造进出料机</w:t>
                  </w:r>
                </w:p>
              </w:tc>
              <w:tc>
                <w:tcPr>
                  <w:tcW w:w="1158" w:type="pct"/>
                  <w:tcBorders>
                    <w:tl2br w:val="nil"/>
                    <w:tr2bl w:val="nil"/>
                  </w:tcBorders>
                  <w:noWrap w:val="0"/>
                  <w:vAlign w:val="center"/>
                </w:tcPr>
                <w:p>
                  <w:pPr>
                    <w:jc w:val="center"/>
                    <w:rPr>
                      <w:rFonts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DCQC-30</w:t>
                  </w:r>
                  <w:r>
                    <w:rPr>
                      <w:rFonts w:hint="eastAsia" w:cs="Times New Roman"/>
                      <w:color w:val="auto"/>
                      <w:sz w:val="18"/>
                      <w:szCs w:val="18"/>
                      <w:lang w:val="en-US" w:eastAsia="zh-CN"/>
                    </w:rPr>
                    <w:t>、SHLJ-25、SQLP-50</w:t>
                  </w:r>
                </w:p>
              </w:tc>
              <w:tc>
                <w:tcPr>
                  <w:tcW w:w="620" w:type="pct"/>
                  <w:tcBorders>
                    <w:tl2br w:val="nil"/>
                    <w:tr2bl w:val="nil"/>
                  </w:tcBorders>
                  <w:noWrap w:val="0"/>
                  <w:vAlign w:val="center"/>
                </w:tcPr>
                <w:p>
                  <w:pPr>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3</w:t>
                  </w:r>
                </w:p>
              </w:tc>
              <w:tc>
                <w:tcPr>
                  <w:tcW w:w="616" w:type="pct"/>
                  <w:tcBorders>
                    <w:tl2br w:val="nil"/>
                    <w:tr2bl w:val="nil"/>
                  </w:tcBorders>
                  <w:noWrap w:val="0"/>
                  <w:vAlign w:val="center"/>
                </w:tcPr>
                <w:p>
                  <w:pPr>
                    <w:keepNext w:val="0"/>
                    <w:keepLines w:val="0"/>
                    <w:widowControl/>
                    <w:suppressLineNumbers w:val="0"/>
                    <w:jc w:val="center"/>
                    <w:textAlignment w:val="center"/>
                    <w:rPr>
                      <w:rFonts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3</w:t>
                  </w:r>
                </w:p>
              </w:tc>
              <w:tc>
                <w:tcPr>
                  <w:tcW w:w="475" w:type="pct"/>
                  <w:tcBorders>
                    <w:tl2br w:val="nil"/>
                    <w:tr2bl w:val="nil"/>
                  </w:tcBorders>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ascii="Times New Roman" w:hAnsi="Times New Roman" w:cs="Times New Roman"/>
                      <w:color w:val="auto"/>
                      <w:sz w:val="18"/>
                      <w:szCs w:val="18"/>
                    </w:rPr>
                    <w:t>0</w:t>
                  </w:r>
                </w:p>
              </w:tc>
              <w:tc>
                <w:tcPr>
                  <w:tcW w:w="605" w:type="pct"/>
                  <w:tcBorders>
                    <w:tl2br w:val="nil"/>
                    <w:tr2bl w:val="nil"/>
                  </w:tcBorders>
                  <w:noWrap w:val="0"/>
                  <w:vAlign w:val="center"/>
                </w:tcPr>
                <w:p>
                  <w:pPr>
                    <w:jc w:val="center"/>
                    <w:rPr>
                      <w:color w:val="auto"/>
                      <w:sz w:val="18"/>
                      <w:szCs w:val="18"/>
                    </w:rPr>
                  </w:pPr>
                  <w:r>
                    <w:rPr>
                      <w:rFonts w:hint="eastAsia"/>
                      <w:color w:val="auto"/>
                      <w:sz w:val="18"/>
                      <w:szCs w:val="18"/>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358" w:type="pct"/>
                  <w:tcBorders>
                    <w:tl2br w:val="nil"/>
                    <w:tr2bl w:val="nil"/>
                  </w:tcBorders>
                  <w:noWrap w:val="0"/>
                  <w:vAlign w:val="center"/>
                </w:tcPr>
                <w:p>
                  <w:pPr>
                    <w:jc w:val="center"/>
                    <w:rPr>
                      <w:rFonts w:hint="eastAsia" w:eastAsia="宋体"/>
                      <w:color w:val="auto"/>
                      <w:sz w:val="18"/>
                      <w:szCs w:val="18"/>
                      <w:lang w:val="en-US" w:eastAsia="zh-CN"/>
                    </w:rPr>
                  </w:pPr>
                  <w:r>
                    <w:rPr>
                      <w:rFonts w:hint="eastAsia"/>
                      <w:color w:val="auto"/>
                      <w:sz w:val="18"/>
                      <w:szCs w:val="18"/>
                      <w:lang w:val="en-US" w:eastAsia="zh-CN"/>
                    </w:rPr>
                    <w:t>6</w:t>
                  </w:r>
                </w:p>
              </w:tc>
              <w:tc>
                <w:tcPr>
                  <w:tcW w:w="1164" w:type="pct"/>
                  <w:tcBorders>
                    <w:tl2br w:val="nil"/>
                    <w:tr2bl w:val="nil"/>
                  </w:tcBorders>
                  <w:noWrap w:val="0"/>
                  <w:vAlign w:val="center"/>
                </w:tcPr>
                <w:p>
                  <w:pPr>
                    <w:jc w:val="center"/>
                    <w:rPr>
                      <w:rFonts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台车式加热炉</w:t>
                  </w:r>
                </w:p>
              </w:tc>
              <w:tc>
                <w:tcPr>
                  <w:tcW w:w="1158" w:type="pct"/>
                  <w:tcBorders>
                    <w:tl2br w:val="nil"/>
                    <w:tr2bl w:val="nil"/>
                  </w:tcBorders>
                  <w:noWrap w:val="0"/>
                  <w:vAlign w:val="center"/>
                </w:tcPr>
                <w:p>
                  <w:pPr>
                    <w:jc w:val="center"/>
                    <w:rPr>
                      <w:rFonts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620" w:type="pct"/>
                  <w:tcBorders>
                    <w:tl2br w:val="nil"/>
                    <w:tr2bl w:val="nil"/>
                  </w:tcBorders>
                  <w:noWrap w:val="0"/>
                  <w:vAlign w:val="center"/>
                </w:tcPr>
                <w:p>
                  <w:pPr>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3</w:t>
                  </w:r>
                </w:p>
              </w:tc>
              <w:tc>
                <w:tcPr>
                  <w:tcW w:w="61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4</w:t>
                  </w:r>
                </w:p>
              </w:tc>
              <w:tc>
                <w:tcPr>
                  <w:tcW w:w="475" w:type="pct"/>
                  <w:tcBorders>
                    <w:tl2br w:val="nil"/>
                    <w:tr2bl w:val="nil"/>
                  </w:tcBorders>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w:t>
                  </w:r>
                  <w:r>
                    <w:rPr>
                      <w:rFonts w:hint="eastAsia" w:cs="Times New Roman"/>
                      <w:color w:val="auto"/>
                      <w:sz w:val="18"/>
                      <w:szCs w:val="18"/>
                      <w:lang w:val="en-US" w:eastAsia="zh-CN"/>
                    </w:rPr>
                    <w:t>1</w:t>
                  </w:r>
                </w:p>
              </w:tc>
              <w:tc>
                <w:tcPr>
                  <w:tcW w:w="605" w:type="pct"/>
                  <w:tcBorders>
                    <w:tl2br w:val="nil"/>
                    <w:tr2bl w:val="nil"/>
                  </w:tcBorders>
                  <w:noWrap w:val="0"/>
                  <w:vAlign w:val="center"/>
                </w:tcPr>
                <w:p>
                  <w:pPr>
                    <w:jc w:val="center"/>
                    <w:rPr>
                      <w:rFonts w:hint="eastAsia" w:eastAsia="宋体"/>
                      <w:color w:val="auto"/>
                      <w:sz w:val="18"/>
                      <w:szCs w:val="18"/>
                      <w:lang w:val="en-US" w:eastAsia="zh-CN"/>
                    </w:rPr>
                  </w:pPr>
                  <w:r>
                    <w:rPr>
                      <w:rFonts w:hint="eastAsia"/>
                      <w:color w:val="auto"/>
                      <w:sz w:val="18"/>
                      <w:szCs w:val="18"/>
                      <w:lang w:val="en-US" w:eastAsia="zh-CN"/>
                    </w:rPr>
                    <w:t>用天然气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358" w:type="pct"/>
                  <w:tcBorders>
                    <w:tl2br w:val="nil"/>
                    <w:tr2bl w:val="nil"/>
                  </w:tcBorders>
                  <w:noWrap w:val="0"/>
                  <w:vAlign w:val="center"/>
                </w:tcPr>
                <w:p>
                  <w:pPr>
                    <w:jc w:val="center"/>
                    <w:rPr>
                      <w:rFonts w:hint="eastAsia" w:eastAsia="宋体"/>
                      <w:color w:val="auto"/>
                      <w:kern w:val="2"/>
                      <w:sz w:val="18"/>
                      <w:szCs w:val="18"/>
                      <w:lang w:val="en-US" w:eastAsia="zh-CN" w:bidi="ar-SA"/>
                    </w:rPr>
                  </w:pPr>
                  <w:r>
                    <w:rPr>
                      <w:rFonts w:hint="eastAsia"/>
                      <w:color w:val="auto"/>
                      <w:sz w:val="18"/>
                      <w:szCs w:val="18"/>
                      <w:lang w:val="en-US" w:eastAsia="zh-CN"/>
                    </w:rPr>
                    <w:t>7</w:t>
                  </w:r>
                </w:p>
              </w:tc>
              <w:tc>
                <w:tcPr>
                  <w:tcW w:w="1164" w:type="pct"/>
                  <w:tcBorders>
                    <w:tl2br w:val="nil"/>
                    <w:tr2bl w:val="nil"/>
                  </w:tcBorders>
                  <w:noWrap w:val="0"/>
                  <w:vAlign w:val="center"/>
                </w:tcPr>
                <w:p>
                  <w:pPr>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室式加热炉</w:t>
                  </w:r>
                </w:p>
              </w:tc>
              <w:tc>
                <w:tcPr>
                  <w:tcW w:w="1158" w:type="pct"/>
                  <w:tcBorders>
                    <w:tl2br w:val="nil"/>
                    <w:tr2bl w:val="nil"/>
                  </w:tcBorders>
                  <w:noWrap w:val="0"/>
                  <w:vAlign w:val="center"/>
                </w:tcPr>
                <w:p>
                  <w:pPr>
                    <w:jc w:val="center"/>
                    <w:rPr>
                      <w:rFonts w:hint="eastAsia"/>
                      <w:color w:val="auto"/>
                      <w:sz w:val="18"/>
                      <w:szCs w:val="18"/>
                      <w:lang w:val="en-US" w:eastAsia="zh-CN"/>
                    </w:rPr>
                  </w:pPr>
                  <w:r>
                    <w:rPr>
                      <w:rFonts w:hint="eastAsia"/>
                      <w:color w:val="auto"/>
                      <w:sz w:val="18"/>
                      <w:szCs w:val="18"/>
                      <w:lang w:val="en-US" w:eastAsia="zh-CN"/>
                    </w:rPr>
                    <w:t>4台5x5x3.6m、</w:t>
                  </w:r>
                </w:p>
                <w:p>
                  <w:pPr>
                    <w:jc w:val="center"/>
                    <w:rPr>
                      <w:rFonts w:hint="default" w:ascii="Times New Roman" w:hAnsi="Times New Roman" w:cs="Times New Roman"/>
                      <w:color w:val="auto"/>
                      <w:sz w:val="18"/>
                      <w:szCs w:val="18"/>
                      <w:lang w:val="en-US" w:eastAsia="zh-CN"/>
                    </w:rPr>
                  </w:pPr>
                  <w:r>
                    <w:rPr>
                      <w:rFonts w:hint="eastAsia"/>
                      <w:color w:val="auto"/>
                      <w:sz w:val="18"/>
                      <w:szCs w:val="18"/>
                      <w:lang w:val="en-US" w:eastAsia="zh-CN"/>
                    </w:rPr>
                    <w:t>1台4x4x1.6m</w:t>
                  </w:r>
                </w:p>
              </w:tc>
              <w:tc>
                <w:tcPr>
                  <w:tcW w:w="620" w:type="pct"/>
                  <w:tcBorders>
                    <w:tl2br w:val="nil"/>
                    <w:tr2bl w:val="nil"/>
                  </w:tcBorders>
                  <w:noWrap w:val="0"/>
                  <w:vAlign w:val="center"/>
                </w:tcPr>
                <w:p>
                  <w:pPr>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3</w:t>
                  </w:r>
                </w:p>
              </w:tc>
              <w:tc>
                <w:tcPr>
                  <w:tcW w:w="61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5</w:t>
                  </w:r>
                </w:p>
              </w:tc>
              <w:tc>
                <w:tcPr>
                  <w:tcW w:w="475" w:type="pct"/>
                  <w:tcBorders>
                    <w:tl2br w:val="nil"/>
                    <w:tr2bl w:val="nil"/>
                  </w:tcBorders>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+2</w:t>
                  </w:r>
                </w:p>
              </w:tc>
              <w:tc>
                <w:tcPr>
                  <w:tcW w:w="605" w:type="pct"/>
                  <w:tcBorders>
                    <w:tl2br w:val="nil"/>
                    <w:tr2bl w:val="nil"/>
                  </w:tcBorders>
                  <w:noWrap w:val="0"/>
                  <w:vAlign w:val="center"/>
                </w:tcPr>
                <w:p>
                  <w:pPr>
                    <w:jc w:val="center"/>
                    <w:rPr>
                      <w:rFonts w:hint="default"/>
                      <w:color w:val="auto"/>
                      <w:kern w:val="2"/>
                      <w:sz w:val="18"/>
                      <w:szCs w:val="18"/>
                      <w:lang w:val="en-US" w:eastAsia="zh-CN" w:bidi="ar-SA"/>
                    </w:rPr>
                  </w:pPr>
                  <w:r>
                    <w:rPr>
                      <w:rFonts w:hint="eastAsia"/>
                      <w:color w:val="auto"/>
                      <w:sz w:val="18"/>
                      <w:szCs w:val="18"/>
                      <w:lang w:val="en-US" w:eastAsia="zh-CN"/>
                    </w:rPr>
                    <w:t>用天然气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358" w:type="pct"/>
                  <w:tcBorders>
                    <w:tl2br w:val="nil"/>
                    <w:tr2bl w:val="nil"/>
                  </w:tcBorders>
                  <w:noWrap w:val="0"/>
                  <w:vAlign w:val="center"/>
                </w:tcPr>
                <w:p>
                  <w:pPr>
                    <w:jc w:val="center"/>
                    <w:rPr>
                      <w:rFonts w:hint="eastAsia" w:eastAsia="宋体"/>
                      <w:color w:val="auto"/>
                      <w:kern w:val="2"/>
                      <w:sz w:val="18"/>
                      <w:szCs w:val="18"/>
                      <w:lang w:val="en-US" w:eastAsia="zh-CN" w:bidi="ar-SA"/>
                    </w:rPr>
                  </w:pPr>
                  <w:r>
                    <w:rPr>
                      <w:rFonts w:hint="eastAsia"/>
                      <w:color w:val="auto"/>
                      <w:sz w:val="18"/>
                      <w:szCs w:val="18"/>
                      <w:lang w:val="en-US" w:eastAsia="zh-CN"/>
                    </w:rPr>
                    <w:t>8</w:t>
                  </w:r>
                </w:p>
              </w:tc>
              <w:tc>
                <w:tcPr>
                  <w:tcW w:w="1164" w:type="pct"/>
                  <w:tcBorders>
                    <w:tl2br w:val="nil"/>
                    <w:tr2bl w:val="nil"/>
                  </w:tcBorders>
                  <w:noWrap w:val="0"/>
                  <w:vAlign w:val="center"/>
                </w:tcPr>
                <w:p>
                  <w:pPr>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蓄热室式加热炉</w:t>
                  </w:r>
                </w:p>
              </w:tc>
              <w:tc>
                <w:tcPr>
                  <w:tcW w:w="1158" w:type="pct"/>
                  <w:tcBorders>
                    <w:tl2br w:val="nil"/>
                    <w:tr2bl w:val="nil"/>
                  </w:tcBorders>
                  <w:noWrap w:val="0"/>
                  <w:vAlign w:val="center"/>
                </w:tcPr>
                <w:p>
                  <w:pPr>
                    <w:jc w:val="center"/>
                    <w:rPr>
                      <w:rFonts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620" w:type="pct"/>
                  <w:tcBorders>
                    <w:tl2br w:val="nil"/>
                    <w:tr2bl w:val="nil"/>
                  </w:tcBorders>
                  <w:noWrap w:val="0"/>
                  <w:vAlign w:val="center"/>
                </w:tcPr>
                <w:p>
                  <w:pPr>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6</w:t>
                  </w:r>
                </w:p>
              </w:tc>
              <w:tc>
                <w:tcPr>
                  <w:tcW w:w="61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6</w:t>
                  </w:r>
                </w:p>
              </w:tc>
              <w:tc>
                <w:tcPr>
                  <w:tcW w:w="475" w:type="pct"/>
                  <w:tcBorders>
                    <w:tl2br w:val="nil"/>
                    <w:tr2bl w:val="nil"/>
                  </w:tcBorders>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ascii="Times New Roman" w:hAnsi="Times New Roman" w:cs="Times New Roman"/>
                      <w:color w:val="auto"/>
                      <w:sz w:val="18"/>
                      <w:szCs w:val="18"/>
                    </w:rPr>
                    <w:t>0</w:t>
                  </w:r>
                </w:p>
              </w:tc>
              <w:tc>
                <w:tcPr>
                  <w:tcW w:w="605" w:type="pct"/>
                  <w:tcBorders>
                    <w:tl2br w:val="nil"/>
                    <w:tr2bl w:val="nil"/>
                  </w:tcBorders>
                  <w:noWrap w:val="0"/>
                  <w:vAlign w:val="center"/>
                </w:tcPr>
                <w:p>
                  <w:pPr>
                    <w:jc w:val="center"/>
                    <w:rPr>
                      <w:rFonts w:hint="eastAsia"/>
                      <w:color w:val="auto"/>
                      <w:kern w:val="2"/>
                      <w:sz w:val="18"/>
                      <w:szCs w:val="18"/>
                      <w:lang w:val="en-US" w:eastAsia="zh-CN" w:bidi="ar-SA"/>
                    </w:rPr>
                  </w:pPr>
                  <w:r>
                    <w:rPr>
                      <w:rFonts w:hint="eastAsia"/>
                      <w:color w:val="auto"/>
                      <w:sz w:val="18"/>
                      <w:szCs w:val="18"/>
                      <w:lang w:val="en-US" w:eastAsia="zh-CN"/>
                    </w:rPr>
                    <w:t>用天然气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358" w:type="pct"/>
                  <w:tcBorders>
                    <w:tl2br w:val="nil"/>
                    <w:tr2bl w:val="nil"/>
                  </w:tcBorders>
                  <w:noWrap w:val="0"/>
                  <w:vAlign w:val="center"/>
                </w:tcPr>
                <w:p>
                  <w:pPr>
                    <w:jc w:val="center"/>
                    <w:rPr>
                      <w:rFonts w:hint="default" w:eastAsia="宋体"/>
                      <w:color w:val="auto"/>
                      <w:kern w:val="2"/>
                      <w:sz w:val="18"/>
                      <w:szCs w:val="18"/>
                      <w:lang w:val="en-US" w:eastAsia="zh-CN" w:bidi="ar-SA"/>
                    </w:rPr>
                  </w:pPr>
                  <w:r>
                    <w:rPr>
                      <w:rFonts w:hint="eastAsia"/>
                      <w:color w:val="auto"/>
                      <w:sz w:val="18"/>
                      <w:szCs w:val="18"/>
                      <w:lang w:val="en-US" w:eastAsia="zh-CN"/>
                    </w:rPr>
                    <w:t>9</w:t>
                  </w:r>
                </w:p>
              </w:tc>
              <w:tc>
                <w:tcPr>
                  <w:tcW w:w="1164" w:type="pct"/>
                  <w:tcBorders>
                    <w:tl2br w:val="nil"/>
                    <w:tr2bl w:val="nil"/>
                  </w:tcBorders>
                  <w:noWrap w:val="0"/>
                  <w:vAlign w:val="center"/>
                </w:tcPr>
                <w:p>
                  <w:pPr>
                    <w:jc w:val="center"/>
                    <w:rPr>
                      <w:rFonts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双梁桥式起重机</w:t>
                  </w:r>
                </w:p>
              </w:tc>
              <w:tc>
                <w:tcPr>
                  <w:tcW w:w="1158" w:type="pct"/>
                  <w:tcBorders>
                    <w:tl2br w:val="nil"/>
                    <w:tr2bl w:val="nil"/>
                  </w:tcBorders>
                  <w:noWrap w:val="0"/>
                  <w:vAlign w:val="center"/>
                </w:tcPr>
                <w:p>
                  <w:pPr>
                    <w:jc w:val="center"/>
                    <w:rPr>
                      <w:rFonts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QD60-20T</w:t>
                  </w:r>
                  <w:r>
                    <w:rPr>
                      <w:rFonts w:hint="eastAsia" w:cs="Times New Roman"/>
                      <w:color w:val="auto"/>
                      <w:sz w:val="18"/>
                      <w:szCs w:val="18"/>
                      <w:lang w:val="en-US" w:eastAsia="zh-CN"/>
                    </w:rPr>
                    <w:t>、QD75-20T、QD32-5T、QD50T</w:t>
                  </w:r>
                </w:p>
              </w:tc>
              <w:tc>
                <w:tcPr>
                  <w:tcW w:w="620" w:type="pct"/>
                  <w:tcBorders>
                    <w:tl2br w:val="nil"/>
                    <w:tr2bl w:val="nil"/>
                  </w:tcBorders>
                  <w:noWrap w:val="0"/>
                  <w:vAlign w:val="center"/>
                </w:tcPr>
                <w:p>
                  <w:pPr>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4</w:t>
                  </w:r>
                </w:p>
              </w:tc>
              <w:tc>
                <w:tcPr>
                  <w:tcW w:w="61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7</w:t>
                  </w:r>
                </w:p>
              </w:tc>
              <w:tc>
                <w:tcPr>
                  <w:tcW w:w="475" w:type="pct"/>
                  <w:tcBorders>
                    <w:tl2br w:val="nil"/>
                    <w:tr2bl w:val="nil"/>
                  </w:tcBorders>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w:t>
                  </w:r>
                  <w:r>
                    <w:rPr>
                      <w:rFonts w:hint="eastAsia" w:cs="Times New Roman"/>
                      <w:color w:val="auto"/>
                      <w:sz w:val="18"/>
                      <w:szCs w:val="18"/>
                      <w:lang w:val="en-US" w:eastAsia="zh-CN"/>
                    </w:rPr>
                    <w:t>3</w:t>
                  </w:r>
                </w:p>
              </w:tc>
              <w:tc>
                <w:tcPr>
                  <w:tcW w:w="605" w:type="pct"/>
                  <w:tcBorders>
                    <w:tl2br w:val="nil"/>
                    <w:tr2bl w:val="nil"/>
                  </w:tcBorders>
                  <w:noWrap w:val="0"/>
                  <w:vAlign w:val="center"/>
                </w:tcPr>
                <w:p>
                  <w:pPr>
                    <w:jc w:val="center"/>
                    <w:rPr>
                      <w:color w:val="auto"/>
                      <w:kern w:val="2"/>
                      <w:sz w:val="18"/>
                      <w:szCs w:val="18"/>
                      <w:lang w:val="en-US" w:eastAsia="zh-CN" w:bidi="ar-SA"/>
                    </w:rPr>
                  </w:pPr>
                  <w:r>
                    <w:rPr>
                      <w:rFonts w:hint="eastAsia"/>
                      <w:color w:val="auto"/>
                      <w:sz w:val="18"/>
                      <w:szCs w:val="18"/>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358" w:type="pct"/>
                  <w:noWrap w:val="0"/>
                  <w:vAlign w:val="center"/>
                </w:tcPr>
                <w:p>
                  <w:pPr>
                    <w:jc w:val="center"/>
                    <w:rPr>
                      <w:rFonts w:hint="eastAsia" w:eastAsia="宋体"/>
                      <w:color w:val="auto"/>
                      <w:kern w:val="2"/>
                      <w:sz w:val="18"/>
                      <w:szCs w:val="18"/>
                      <w:lang w:val="en-US" w:eastAsia="zh-CN" w:bidi="ar-SA"/>
                    </w:rPr>
                  </w:pPr>
                  <w:r>
                    <w:rPr>
                      <w:rFonts w:hint="eastAsia"/>
                      <w:color w:val="auto"/>
                      <w:sz w:val="18"/>
                      <w:szCs w:val="18"/>
                      <w:lang w:val="en-US" w:eastAsia="zh-CN"/>
                    </w:rPr>
                    <w:t>10</w:t>
                  </w:r>
                </w:p>
              </w:tc>
              <w:tc>
                <w:tcPr>
                  <w:tcW w:w="1164" w:type="pct"/>
                  <w:noWrap w:val="0"/>
                  <w:vAlign w:val="center"/>
                </w:tcPr>
                <w:p>
                  <w:pPr>
                    <w:jc w:val="center"/>
                    <w:rPr>
                      <w:rFonts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电动单梁桥式起重机</w:t>
                  </w:r>
                </w:p>
              </w:tc>
              <w:tc>
                <w:tcPr>
                  <w:tcW w:w="1158" w:type="pct"/>
                  <w:noWrap w:val="0"/>
                  <w:vAlign w:val="center"/>
                </w:tcPr>
                <w:p>
                  <w:pPr>
                    <w:jc w:val="center"/>
                    <w:rPr>
                      <w:rFonts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LD16T</w:t>
                  </w:r>
                  <w:r>
                    <w:rPr>
                      <w:rFonts w:hint="eastAsia" w:cs="Times New Roman"/>
                      <w:color w:val="auto"/>
                      <w:sz w:val="18"/>
                      <w:szCs w:val="18"/>
                      <w:lang w:val="en-US" w:eastAsia="zh-CN"/>
                    </w:rPr>
                    <w:t>、LD20T、LD10T</w:t>
                  </w:r>
                </w:p>
              </w:tc>
              <w:tc>
                <w:tcPr>
                  <w:tcW w:w="620" w:type="pct"/>
                  <w:noWrap w:val="0"/>
                  <w:vAlign w:val="center"/>
                </w:tcPr>
                <w:p>
                  <w:pPr>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3</w:t>
                  </w:r>
                </w:p>
              </w:tc>
              <w:tc>
                <w:tcPr>
                  <w:tcW w:w="616" w:type="pct"/>
                  <w:noWrap w:val="0"/>
                  <w:vAlign w:val="center"/>
                </w:tcPr>
                <w:p>
                  <w:pPr>
                    <w:keepNext w:val="0"/>
                    <w:keepLines w:val="0"/>
                    <w:widowControl/>
                    <w:suppressLineNumbers w:val="0"/>
                    <w:jc w:val="center"/>
                    <w:textAlignment w:val="center"/>
                    <w:rPr>
                      <w:rFonts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3</w:t>
                  </w:r>
                </w:p>
              </w:tc>
              <w:tc>
                <w:tcPr>
                  <w:tcW w:w="475" w:type="pct"/>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ascii="Times New Roman" w:hAnsi="Times New Roman" w:cs="Times New Roman"/>
                      <w:color w:val="auto"/>
                      <w:sz w:val="18"/>
                      <w:szCs w:val="18"/>
                    </w:rPr>
                    <w:t>0</w:t>
                  </w:r>
                </w:p>
              </w:tc>
              <w:tc>
                <w:tcPr>
                  <w:tcW w:w="605" w:type="pct"/>
                  <w:noWrap w:val="0"/>
                  <w:vAlign w:val="center"/>
                </w:tcPr>
                <w:p>
                  <w:pPr>
                    <w:jc w:val="center"/>
                    <w:rPr>
                      <w:color w:val="auto"/>
                      <w:kern w:val="2"/>
                      <w:sz w:val="18"/>
                      <w:szCs w:val="18"/>
                      <w:lang w:val="en-US" w:eastAsia="zh-CN" w:bidi="ar-SA"/>
                    </w:rPr>
                  </w:pPr>
                  <w:r>
                    <w:rPr>
                      <w:rFonts w:hint="eastAsia"/>
                      <w:color w:val="auto"/>
                      <w:sz w:val="18"/>
                      <w:szCs w:val="18"/>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358" w:type="pct"/>
                  <w:noWrap w:val="0"/>
                  <w:vAlign w:val="center"/>
                </w:tcPr>
                <w:p>
                  <w:pPr>
                    <w:jc w:val="center"/>
                    <w:rPr>
                      <w:rFonts w:hint="default"/>
                      <w:color w:val="auto"/>
                      <w:sz w:val="18"/>
                      <w:szCs w:val="18"/>
                      <w:lang w:val="en-US" w:eastAsia="zh-CN"/>
                    </w:rPr>
                  </w:pPr>
                  <w:r>
                    <w:rPr>
                      <w:rFonts w:hint="eastAsia"/>
                      <w:color w:val="auto"/>
                      <w:sz w:val="18"/>
                      <w:szCs w:val="18"/>
                      <w:lang w:val="en-US" w:eastAsia="zh-CN"/>
                    </w:rPr>
                    <w:t>11</w:t>
                  </w:r>
                </w:p>
              </w:tc>
              <w:tc>
                <w:tcPr>
                  <w:tcW w:w="1164"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4500T</w:t>
                  </w:r>
                  <w:r>
                    <w:rPr>
                      <w:rFonts w:hint="eastAsia" w:ascii="Times New Roman" w:hAnsi="Times New Roman" w:eastAsia="宋体" w:cs="Times New Roman"/>
                      <w:color w:val="auto"/>
                      <w:sz w:val="18"/>
                      <w:szCs w:val="18"/>
                      <w:lang w:val="en-US" w:eastAsia="zh-CN"/>
                    </w:rPr>
                    <w:t>压机</w:t>
                  </w:r>
                </w:p>
              </w:tc>
              <w:tc>
                <w:tcPr>
                  <w:tcW w:w="1158" w:type="pct"/>
                  <w:shd w:val="clear" w:color="auto" w:fill="auto"/>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YPD96-450</w:t>
                  </w:r>
                  <w:r>
                    <w:rPr>
                      <w:rFonts w:hint="eastAsia" w:cs="Times New Roman"/>
                      <w:color w:val="auto"/>
                      <w:sz w:val="18"/>
                      <w:szCs w:val="18"/>
                      <w:lang w:val="en-US" w:eastAsia="zh-CN"/>
                    </w:rPr>
                    <w:t>0</w:t>
                  </w:r>
                </w:p>
              </w:tc>
              <w:tc>
                <w:tcPr>
                  <w:tcW w:w="620"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ascii="Times New Roman" w:hAnsi="Times New Roman" w:cs="Times New Roman"/>
                      <w:color w:val="auto"/>
                      <w:sz w:val="18"/>
                      <w:szCs w:val="18"/>
                    </w:rPr>
                    <w:t>0</w:t>
                  </w:r>
                </w:p>
              </w:tc>
              <w:tc>
                <w:tcPr>
                  <w:tcW w:w="61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1</w:t>
                  </w:r>
                </w:p>
              </w:tc>
              <w:tc>
                <w:tcPr>
                  <w:tcW w:w="475"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w:t>
                  </w:r>
                  <w:r>
                    <w:rPr>
                      <w:rFonts w:hint="eastAsia" w:cs="Times New Roman"/>
                      <w:color w:val="auto"/>
                      <w:sz w:val="18"/>
                      <w:szCs w:val="18"/>
                      <w:lang w:val="en-US" w:eastAsia="zh-CN"/>
                    </w:rPr>
                    <w:t>1</w:t>
                  </w:r>
                </w:p>
              </w:tc>
              <w:tc>
                <w:tcPr>
                  <w:tcW w:w="605" w:type="pct"/>
                  <w:noWrap w:val="0"/>
                  <w:vAlign w:val="center"/>
                </w:tcPr>
                <w:p>
                  <w:pPr>
                    <w:jc w:val="center"/>
                    <w:rPr>
                      <w:rFonts w:hint="eastAsia"/>
                      <w:color w:val="auto"/>
                      <w:sz w:val="18"/>
                      <w:szCs w:val="18"/>
                      <w:lang w:val="en-US" w:eastAsia="zh-CN"/>
                    </w:rPr>
                  </w:pPr>
                  <w:r>
                    <w:rPr>
                      <w:rFonts w:hint="eastAsia"/>
                      <w:color w:val="auto"/>
                      <w:sz w:val="18"/>
                      <w:szCs w:val="18"/>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358" w:type="pct"/>
                  <w:noWrap w:val="0"/>
                  <w:vAlign w:val="center"/>
                </w:tcPr>
                <w:p>
                  <w:pPr>
                    <w:jc w:val="center"/>
                    <w:rPr>
                      <w:rFonts w:hint="default"/>
                      <w:color w:val="auto"/>
                      <w:sz w:val="18"/>
                      <w:szCs w:val="18"/>
                      <w:lang w:val="en-US" w:eastAsia="zh-CN"/>
                    </w:rPr>
                  </w:pPr>
                  <w:r>
                    <w:rPr>
                      <w:rFonts w:hint="eastAsia"/>
                      <w:color w:val="auto"/>
                      <w:sz w:val="18"/>
                      <w:szCs w:val="18"/>
                      <w:lang w:val="en-US" w:eastAsia="zh-CN"/>
                    </w:rPr>
                    <w:t>12</w:t>
                  </w:r>
                </w:p>
              </w:tc>
              <w:tc>
                <w:tcPr>
                  <w:tcW w:w="1164"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8000T</w:t>
                  </w:r>
                  <w:r>
                    <w:rPr>
                      <w:rFonts w:hint="eastAsia" w:ascii="Times New Roman" w:hAnsi="Times New Roman" w:eastAsia="宋体" w:cs="Times New Roman"/>
                      <w:color w:val="auto"/>
                      <w:sz w:val="18"/>
                      <w:szCs w:val="18"/>
                      <w:lang w:val="en-US" w:eastAsia="zh-CN"/>
                    </w:rPr>
                    <w:t>压机</w:t>
                  </w:r>
                </w:p>
              </w:tc>
              <w:tc>
                <w:tcPr>
                  <w:tcW w:w="1158"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75/80MN</w:t>
                  </w:r>
                </w:p>
              </w:tc>
              <w:tc>
                <w:tcPr>
                  <w:tcW w:w="620"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ascii="Times New Roman" w:hAnsi="Times New Roman" w:cs="Times New Roman"/>
                      <w:color w:val="auto"/>
                      <w:sz w:val="18"/>
                      <w:szCs w:val="18"/>
                    </w:rPr>
                    <w:t>0</w:t>
                  </w:r>
                </w:p>
              </w:tc>
              <w:tc>
                <w:tcPr>
                  <w:tcW w:w="61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1</w:t>
                  </w:r>
                </w:p>
              </w:tc>
              <w:tc>
                <w:tcPr>
                  <w:tcW w:w="475"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+1</w:t>
                  </w:r>
                </w:p>
              </w:tc>
              <w:tc>
                <w:tcPr>
                  <w:tcW w:w="605" w:type="pct"/>
                  <w:noWrap w:val="0"/>
                  <w:vAlign w:val="center"/>
                </w:tcPr>
                <w:p>
                  <w:pPr>
                    <w:jc w:val="center"/>
                    <w:rPr>
                      <w:rFonts w:hint="eastAsia"/>
                      <w:color w:val="auto"/>
                      <w:sz w:val="18"/>
                      <w:szCs w:val="18"/>
                      <w:lang w:val="en-US" w:eastAsia="zh-CN"/>
                    </w:rPr>
                  </w:pPr>
                  <w:r>
                    <w:rPr>
                      <w:rFonts w:hint="eastAsia"/>
                      <w:color w:val="auto"/>
                      <w:sz w:val="18"/>
                      <w:szCs w:val="18"/>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358" w:type="pct"/>
                  <w:noWrap w:val="0"/>
                  <w:vAlign w:val="center"/>
                </w:tcPr>
                <w:p>
                  <w:pPr>
                    <w:jc w:val="center"/>
                    <w:rPr>
                      <w:rFonts w:hint="default"/>
                      <w:color w:val="auto"/>
                      <w:sz w:val="18"/>
                      <w:szCs w:val="18"/>
                      <w:lang w:val="en-US" w:eastAsia="zh-CN"/>
                    </w:rPr>
                  </w:pPr>
                  <w:r>
                    <w:rPr>
                      <w:rFonts w:hint="eastAsia"/>
                      <w:color w:val="auto"/>
                      <w:sz w:val="18"/>
                      <w:szCs w:val="18"/>
                      <w:lang w:val="en-US" w:eastAsia="zh-CN"/>
                    </w:rPr>
                    <w:t>13</w:t>
                  </w:r>
                </w:p>
              </w:tc>
              <w:tc>
                <w:tcPr>
                  <w:tcW w:w="1164"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80T</w:t>
                  </w:r>
                  <w:r>
                    <w:rPr>
                      <w:rFonts w:hint="eastAsia" w:ascii="Times New Roman" w:hAnsi="Times New Roman" w:eastAsia="宋体" w:cs="Times New Roman"/>
                      <w:color w:val="auto"/>
                      <w:sz w:val="18"/>
                      <w:szCs w:val="18"/>
                      <w:lang w:val="en-US" w:eastAsia="zh-CN"/>
                    </w:rPr>
                    <w:t>锻造操作机</w:t>
                  </w:r>
                </w:p>
              </w:tc>
              <w:tc>
                <w:tcPr>
                  <w:tcW w:w="1158"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CZJ-7-80/240</w:t>
                  </w:r>
                </w:p>
              </w:tc>
              <w:tc>
                <w:tcPr>
                  <w:tcW w:w="620"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ascii="Times New Roman" w:hAnsi="Times New Roman" w:cs="Times New Roman"/>
                      <w:color w:val="auto"/>
                      <w:sz w:val="18"/>
                      <w:szCs w:val="18"/>
                    </w:rPr>
                    <w:t>0</w:t>
                  </w:r>
                </w:p>
              </w:tc>
              <w:tc>
                <w:tcPr>
                  <w:tcW w:w="61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1</w:t>
                  </w:r>
                </w:p>
              </w:tc>
              <w:tc>
                <w:tcPr>
                  <w:tcW w:w="475"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+1</w:t>
                  </w:r>
                </w:p>
              </w:tc>
              <w:tc>
                <w:tcPr>
                  <w:tcW w:w="605" w:type="pct"/>
                  <w:noWrap w:val="0"/>
                  <w:vAlign w:val="center"/>
                </w:tcPr>
                <w:p>
                  <w:pPr>
                    <w:jc w:val="center"/>
                    <w:rPr>
                      <w:rFonts w:hint="eastAsia"/>
                      <w:color w:val="auto"/>
                      <w:sz w:val="18"/>
                      <w:szCs w:val="18"/>
                      <w:lang w:val="en-US" w:eastAsia="zh-CN"/>
                    </w:rPr>
                  </w:pPr>
                  <w:r>
                    <w:rPr>
                      <w:rFonts w:hint="eastAsia"/>
                      <w:color w:val="auto"/>
                      <w:sz w:val="18"/>
                      <w:szCs w:val="18"/>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358" w:type="pct"/>
                  <w:noWrap w:val="0"/>
                  <w:vAlign w:val="center"/>
                </w:tcPr>
                <w:p>
                  <w:pPr>
                    <w:jc w:val="center"/>
                    <w:rPr>
                      <w:rFonts w:hint="default"/>
                      <w:color w:val="auto"/>
                      <w:sz w:val="18"/>
                      <w:szCs w:val="18"/>
                      <w:lang w:val="en-US" w:eastAsia="zh-CN"/>
                    </w:rPr>
                  </w:pPr>
                  <w:r>
                    <w:rPr>
                      <w:rFonts w:hint="eastAsia"/>
                      <w:color w:val="auto"/>
                      <w:sz w:val="18"/>
                      <w:szCs w:val="18"/>
                      <w:lang w:val="en-US" w:eastAsia="zh-CN"/>
                    </w:rPr>
                    <w:t>14</w:t>
                  </w:r>
                </w:p>
              </w:tc>
              <w:tc>
                <w:tcPr>
                  <w:tcW w:w="1164"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50T</w:t>
                  </w:r>
                  <w:r>
                    <w:rPr>
                      <w:rFonts w:hint="eastAsia" w:ascii="Times New Roman" w:hAnsi="Times New Roman" w:eastAsia="宋体" w:cs="Times New Roman"/>
                      <w:color w:val="auto"/>
                      <w:sz w:val="18"/>
                      <w:szCs w:val="18"/>
                      <w:lang w:val="en-US" w:eastAsia="zh-CN"/>
                    </w:rPr>
                    <w:t>锻造装取料机</w:t>
                  </w:r>
                </w:p>
              </w:tc>
              <w:tc>
                <w:tcPr>
                  <w:tcW w:w="1158"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ZQLP-50</w:t>
                  </w:r>
                </w:p>
              </w:tc>
              <w:tc>
                <w:tcPr>
                  <w:tcW w:w="620"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ascii="Times New Roman" w:hAnsi="Times New Roman" w:cs="Times New Roman"/>
                      <w:color w:val="auto"/>
                      <w:sz w:val="18"/>
                      <w:szCs w:val="18"/>
                    </w:rPr>
                    <w:t>0</w:t>
                  </w:r>
                </w:p>
              </w:tc>
              <w:tc>
                <w:tcPr>
                  <w:tcW w:w="61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1</w:t>
                  </w:r>
                </w:p>
              </w:tc>
              <w:tc>
                <w:tcPr>
                  <w:tcW w:w="475"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+1</w:t>
                  </w:r>
                </w:p>
              </w:tc>
              <w:tc>
                <w:tcPr>
                  <w:tcW w:w="605" w:type="pct"/>
                  <w:noWrap w:val="0"/>
                  <w:vAlign w:val="center"/>
                </w:tcPr>
                <w:p>
                  <w:pPr>
                    <w:jc w:val="center"/>
                    <w:rPr>
                      <w:rFonts w:hint="eastAsia"/>
                      <w:color w:val="auto"/>
                      <w:sz w:val="18"/>
                      <w:szCs w:val="18"/>
                      <w:lang w:val="en-US" w:eastAsia="zh-CN"/>
                    </w:rPr>
                  </w:pPr>
                  <w:r>
                    <w:rPr>
                      <w:rFonts w:hint="eastAsia"/>
                      <w:color w:val="auto"/>
                      <w:sz w:val="18"/>
                      <w:szCs w:val="18"/>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358" w:type="pct"/>
                  <w:noWrap w:val="0"/>
                  <w:vAlign w:val="center"/>
                </w:tcPr>
                <w:p>
                  <w:pPr>
                    <w:jc w:val="center"/>
                    <w:rPr>
                      <w:rFonts w:hint="default"/>
                      <w:color w:val="auto"/>
                      <w:sz w:val="18"/>
                      <w:szCs w:val="18"/>
                      <w:lang w:val="en-US" w:eastAsia="zh-CN"/>
                    </w:rPr>
                  </w:pPr>
                  <w:r>
                    <w:rPr>
                      <w:rFonts w:hint="eastAsia"/>
                      <w:color w:val="auto"/>
                      <w:sz w:val="18"/>
                      <w:szCs w:val="18"/>
                      <w:lang w:val="en-US" w:eastAsia="zh-CN"/>
                    </w:rPr>
                    <w:t>15</w:t>
                  </w:r>
                </w:p>
              </w:tc>
              <w:tc>
                <w:tcPr>
                  <w:tcW w:w="1164"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天然气室式炉</w:t>
                  </w:r>
                </w:p>
              </w:tc>
              <w:tc>
                <w:tcPr>
                  <w:tcW w:w="1158"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5</w:t>
                  </w:r>
                  <w:r>
                    <w:rPr>
                      <w:rFonts w:hint="eastAsia" w:cs="Times New Roman"/>
                      <w:color w:val="auto"/>
                      <w:sz w:val="18"/>
                      <w:szCs w:val="18"/>
                      <w:lang w:val="en-US" w:eastAsia="zh-CN"/>
                    </w:rPr>
                    <w:t>.3</w:t>
                  </w:r>
                  <w:r>
                    <w:rPr>
                      <w:rFonts w:hint="eastAsia" w:ascii="Times New Roman" w:hAnsi="Times New Roman" w:eastAsia="宋体" w:cs="Times New Roman"/>
                      <w:color w:val="auto"/>
                      <w:sz w:val="18"/>
                      <w:szCs w:val="18"/>
                      <w:lang w:val="en-US" w:eastAsia="zh-CN"/>
                    </w:rPr>
                    <w:t>*5</w:t>
                  </w:r>
                  <w:r>
                    <w:rPr>
                      <w:rFonts w:hint="eastAsia" w:cs="Times New Roman"/>
                      <w:color w:val="auto"/>
                      <w:sz w:val="18"/>
                      <w:szCs w:val="18"/>
                      <w:lang w:val="en-US" w:eastAsia="zh-CN"/>
                    </w:rPr>
                    <w:t>.3</w:t>
                  </w:r>
                  <w:r>
                    <w:rPr>
                      <w:rFonts w:hint="eastAsia" w:ascii="Times New Roman" w:hAnsi="Times New Roman" w:eastAsia="宋体" w:cs="Times New Roman"/>
                      <w:color w:val="auto"/>
                      <w:sz w:val="18"/>
                      <w:szCs w:val="18"/>
                      <w:lang w:val="en-US" w:eastAsia="zh-CN"/>
                    </w:rPr>
                    <w:t>*3</w:t>
                  </w:r>
                  <w:r>
                    <w:rPr>
                      <w:rFonts w:hint="eastAsia" w:cs="Times New Roman"/>
                      <w:color w:val="auto"/>
                      <w:sz w:val="18"/>
                      <w:szCs w:val="18"/>
                      <w:lang w:val="en-US" w:eastAsia="zh-CN"/>
                    </w:rPr>
                    <w:t>.8</w:t>
                  </w:r>
                  <w:r>
                    <w:rPr>
                      <w:rFonts w:hint="eastAsia" w:ascii="Times New Roman" w:hAnsi="Times New Roman" w:eastAsia="宋体" w:cs="Times New Roman"/>
                      <w:color w:val="auto"/>
                      <w:sz w:val="18"/>
                      <w:szCs w:val="18"/>
                      <w:lang w:val="en-US" w:eastAsia="zh-CN"/>
                    </w:rPr>
                    <w:t>m</w:t>
                  </w:r>
                </w:p>
              </w:tc>
              <w:tc>
                <w:tcPr>
                  <w:tcW w:w="620" w:type="pct"/>
                  <w:shd w:val="clear" w:color="auto" w:fill="auto"/>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ascii="Times New Roman" w:hAnsi="Times New Roman" w:cs="Times New Roman"/>
                      <w:color w:val="auto"/>
                      <w:sz w:val="18"/>
                      <w:szCs w:val="18"/>
                    </w:rPr>
                    <w:t>0</w:t>
                  </w:r>
                </w:p>
              </w:tc>
              <w:tc>
                <w:tcPr>
                  <w:tcW w:w="61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1</w:t>
                  </w:r>
                </w:p>
              </w:tc>
              <w:tc>
                <w:tcPr>
                  <w:tcW w:w="475" w:type="pct"/>
                  <w:shd w:val="clear" w:color="auto" w:fill="auto"/>
                  <w:noWrap w:val="0"/>
                  <w:vAlign w:val="center"/>
                </w:tcPr>
                <w:p>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w:t>
                  </w:r>
                </w:p>
              </w:tc>
              <w:tc>
                <w:tcPr>
                  <w:tcW w:w="605" w:type="pct"/>
                  <w:noWrap w:val="0"/>
                  <w:vAlign w:val="center"/>
                </w:tcPr>
                <w:p>
                  <w:pPr>
                    <w:jc w:val="center"/>
                    <w:rPr>
                      <w:rFonts w:hint="eastAsia"/>
                      <w:color w:val="auto"/>
                      <w:sz w:val="18"/>
                      <w:szCs w:val="18"/>
                      <w:lang w:val="en-US" w:eastAsia="zh-CN"/>
                    </w:rPr>
                  </w:pPr>
                  <w:r>
                    <w:rPr>
                      <w:rFonts w:hint="eastAsia"/>
                      <w:color w:val="auto"/>
                      <w:sz w:val="18"/>
                      <w:szCs w:val="18"/>
                      <w:lang w:val="en-US" w:eastAsia="zh-CN"/>
                    </w:rPr>
                    <w:t>用天然气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358" w:type="pct"/>
                  <w:noWrap w:val="0"/>
                  <w:vAlign w:val="center"/>
                </w:tcPr>
                <w:p>
                  <w:pPr>
                    <w:jc w:val="center"/>
                    <w:rPr>
                      <w:rFonts w:hint="default"/>
                      <w:color w:val="auto"/>
                      <w:sz w:val="18"/>
                      <w:szCs w:val="18"/>
                      <w:lang w:val="en-US" w:eastAsia="zh-CN"/>
                    </w:rPr>
                  </w:pPr>
                  <w:r>
                    <w:rPr>
                      <w:rFonts w:hint="eastAsia"/>
                      <w:color w:val="auto"/>
                      <w:sz w:val="18"/>
                      <w:szCs w:val="18"/>
                      <w:lang w:val="en-US" w:eastAsia="zh-CN"/>
                    </w:rPr>
                    <w:t>16</w:t>
                  </w:r>
                </w:p>
              </w:tc>
              <w:tc>
                <w:tcPr>
                  <w:tcW w:w="1164"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通用桥式起重机</w:t>
                  </w:r>
                </w:p>
              </w:tc>
              <w:tc>
                <w:tcPr>
                  <w:tcW w:w="1158"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QD75/20-25.5 A6</w:t>
                  </w:r>
                </w:p>
              </w:tc>
              <w:tc>
                <w:tcPr>
                  <w:tcW w:w="620" w:type="pct"/>
                  <w:shd w:val="clear" w:color="auto" w:fill="auto"/>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ascii="Times New Roman" w:hAnsi="Times New Roman" w:cs="Times New Roman"/>
                      <w:color w:val="auto"/>
                      <w:sz w:val="18"/>
                      <w:szCs w:val="18"/>
                    </w:rPr>
                    <w:t>0</w:t>
                  </w:r>
                </w:p>
              </w:tc>
              <w:tc>
                <w:tcPr>
                  <w:tcW w:w="61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1</w:t>
                  </w:r>
                </w:p>
              </w:tc>
              <w:tc>
                <w:tcPr>
                  <w:tcW w:w="475" w:type="pct"/>
                  <w:shd w:val="clear" w:color="auto" w:fill="auto"/>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18"/>
                      <w:szCs w:val="18"/>
                      <w:lang w:val="en-US" w:eastAsia="zh-CN"/>
                    </w:rPr>
                    <w:t>+1</w:t>
                  </w:r>
                </w:p>
              </w:tc>
              <w:tc>
                <w:tcPr>
                  <w:tcW w:w="605" w:type="pct"/>
                  <w:noWrap w:val="0"/>
                  <w:vAlign w:val="center"/>
                </w:tcPr>
                <w:p>
                  <w:pPr>
                    <w:jc w:val="center"/>
                    <w:rPr>
                      <w:rFonts w:hint="eastAsia"/>
                      <w:color w:val="auto"/>
                      <w:sz w:val="18"/>
                      <w:szCs w:val="18"/>
                      <w:lang w:val="en-US" w:eastAsia="zh-CN"/>
                    </w:rPr>
                  </w:pPr>
                  <w:r>
                    <w:rPr>
                      <w:rFonts w:hint="eastAsia"/>
                      <w:color w:val="auto"/>
                      <w:sz w:val="18"/>
                      <w:szCs w:val="18"/>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8" w:type="pct"/>
                  <w:noWrap w:val="0"/>
                  <w:vAlign w:val="center"/>
                </w:tcPr>
                <w:p>
                  <w:pPr>
                    <w:jc w:val="center"/>
                    <w:rPr>
                      <w:rFonts w:hint="default"/>
                      <w:color w:val="auto"/>
                      <w:sz w:val="18"/>
                      <w:szCs w:val="18"/>
                      <w:lang w:val="en-US" w:eastAsia="zh-CN"/>
                    </w:rPr>
                  </w:pPr>
                  <w:r>
                    <w:rPr>
                      <w:rFonts w:hint="eastAsia"/>
                      <w:color w:val="auto"/>
                      <w:sz w:val="18"/>
                      <w:szCs w:val="18"/>
                      <w:lang w:val="en-US" w:eastAsia="zh-CN"/>
                    </w:rPr>
                    <w:t>17</w:t>
                  </w:r>
                </w:p>
              </w:tc>
              <w:tc>
                <w:tcPr>
                  <w:tcW w:w="1164" w:type="pct"/>
                  <w:shd w:val="clear" w:color="auto" w:fill="auto"/>
                  <w:noWrap w:val="0"/>
                  <w:vAlign w:val="center"/>
                </w:tcPr>
                <w:p>
                  <w:pPr>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冷却塔</w:t>
                  </w:r>
                </w:p>
              </w:tc>
              <w:tc>
                <w:tcPr>
                  <w:tcW w:w="1158" w:type="pct"/>
                  <w:shd w:val="clear" w:color="auto" w:fill="auto"/>
                  <w:noWrap w:val="0"/>
                  <w:vAlign w:val="center"/>
                </w:tcPr>
                <w:p>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620" w:type="pct"/>
                  <w:shd w:val="clear" w:color="auto" w:fill="auto"/>
                  <w:noWrap w:val="0"/>
                  <w:vAlign w:val="center"/>
                </w:tcPr>
                <w:p>
                  <w:pPr>
                    <w:jc w:val="center"/>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0</w:t>
                  </w:r>
                </w:p>
              </w:tc>
              <w:tc>
                <w:tcPr>
                  <w:tcW w:w="616" w:type="pct"/>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1</w:t>
                  </w:r>
                </w:p>
              </w:tc>
              <w:tc>
                <w:tcPr>
                  <w:tcW w:w="475" w:type="pct"/>
                  <w:shd w:val="clear" w:color="auto" w:fill="auto"/>
                  <w:noWrap w:val="0"/>
                  <w:vAlign w:val="center"/>
                </w:tcPr>
                <w:p>
                  <w:pPr>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w:t>
                  </w:r>
                </w:p>
              </w:tc>
              <w:tc>
                <w:tcPr>
                  <w:tcW w:w="605" w:type="pct"/>
                  <w:noWrap w:val="0"/>
                  <w:vAlign w:val="center"/>
                </w:tcPr>
                <w:p>
                  <w:pPr>
                    <w:jc w:val="center"/>
                    <w:rPr>
                      <w:rFonts w:hint="eastAsia"/>
                      <w:color w:val="auto"/>
                      <w:sz w:val="18"/>
                      <w:szCs w:val="18"/>
                      <w:lang w:val="en-US" w:eastAsia="zh-CN"/>
                    </w:rPr>
                  </w:pPr>
                  <w:r>
                    <w:rPr>
                      <w:rFonts w:hint="eastAsia"/>
                      <w:color w:val="auto"/>
                      <w:sz w:val="18"/>
                      <w:szCs w:val="18"/>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358" w:type="pct"/>
                  <w:tcBorders>
                    <w:bottom w:val="single" w:color="auto" w:sz="12" w:space="0"/>
                  </w:tcBorders>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18</w:t>
                  </w:r>
                </w:p>
              </w:tc>
              <w:tc>
                <w:tcPr>
                  <w:tcW w:w="1164" w:type="pct"/>
                  <w:tcBorders>
                    <w:bottom w:val="single" w:color="auto" w:sz="12" w:space="0"/>
                  </w:tcBorders>
                  <w:shd w:val="clear" w:color="auto" w:fill="auto"/>
                  <w:noWrap w:val="0"/>
                  <w:vAlign w:val="center"/>
                </w:tcPr>
                <w:p>
                  <w:pPr>
                    <w:jc w:val="center"/>
                    <w:rPr>
                      <w:rFonts w:hint="eastAsia" w:cs="Times New Roman"/>
                      <w:color w:val="auto"/>
                      <w:sz w:val="18"/>
                      <w:szCs w:val="18"/>
                      <w:lang w:val="en-US" w:eastAsia="zh-CN"/>
                    </w:rPr>
                  </w:pPr>
                  <w:r>
                    <w:rPr>
                      <w:rFonts w:hint="eastAsia" w:cs="Times New Roman"/>
                      <w:color w:val="auto"/>
                      <w:sz w:val="18"/>
                      <w:szCs w:val="18"/>
                      <w:lang w:val="en-US" w:eastAsia="zh-CN"/>
                    </w:rPr>
                    <w:t>变压器</w:t>
                  </w:r>
                </w:p>
              </w:tc>
              <w:tc>
                <w:tcPr>
                  <w:tcW w:w="1158" w:type="pct"/>
                  <w:tcBorders>
                    <w:bottom w:val="single" w:color="auto" w:sz="12" w:space="0"/>
                  </w:tcBorders>
                  <w:shd w:val="clear" w:color="auto" w:fill="auto"/>
                  <w:noWrap w:val="0"/>
                  <w:vAlign w:val="center"/>
                </w:tcPr>
                <w:p>
                  <w:pPr>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3150KVA</w:t>
                  </w:r>
                </w:p>
              </w:tc>
              <w:tc>
                <w:tcPr>
                  <w:tcW w:w="620" w:type="pct"/>
                  <w:tcBorders>
                    <w:bottom w:val="single" w:color="auto" w:sz="12" w:space="0"/>
                  </w:tcBorders>
                  <w:shd w:val="clear" w:color="auto" w:fill="auto"/>
                  <w:noWrap w:val="0"/>
                  <w:vAlign w:val="center"/>
                </w:tcPr>
                <w:p>
                  <w:pPr>
                    <w:jc w:val="center"/>
                    <w:rPr>
                      <w:rFonts w:hint="default" w:cs="Times New Roman"/>
                      <w:color w:val="auto"/>
                      <w:sz w:val="18"/>
                      <w:szCs w:val="18"/>
                      <w:lang w:val="en-US" w:eastAsia="zh-CN"/>
                    </w:rPr>
                  </w:pPr>
                  <w:r>
                    <w:rPr>
                      <w:rFonts w:hint="eastAsia" w:cs="Times New Roman"/>
                      <w:color w:val="auto"/>
                      <w:sz w:val="18"/>
                      <w:szCs w:val="18"/>
                      <w:lang w:val="en-US" w:eastAsia="zh-CN"/>
                    </w:rPr>
                    <w:t>5</w:t>
                  </w:r>
                </w:p>
              </w:tc>
              <w:tc>
                <w:tcPr>
                  <w:tcW w:w="616" w:type="pct"/>
                  <w:tcBorders>
                    <w:bottom w:val="single" w:color="auto" w:sz="12" w:space="0"/>
                  </w:tcBorders>
                  <w:noWrap w:val="0"/>
                  <w:vAlign w:val="center"/>
                </w:tcPr>
                <w:p>
                  <w:pPr>
                    <w:keepNext w:val="0"/>
                    <w:keepLines w:val="0"/>
                    <w:widowControl/>
                    <w:suppressLineNumbers w:val="0"/>
                    <w:jc w:val="center"/>
                    <w:textAlignment w:val="center"/>
                    <w:rPr>
                      <w:rFonts w:hint="default"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12</w:t>
                  </w:r>
                </w:p>
              </w:tc>
              <w:tc>
                <w:tcPr>
                  <w:tcW w:w="475" w:type="pct"/>
                  <w:tcBorders>
                    <w:bottom w:val="single" w:color="auto" w:sz="12" w:space="0"/>
                  </w:tcBorders>
                  <w:shd w:val="clear" w:color="auto" w:fill="auto"/>
                  <w:noWrap w:val="0"/>
                  <w:vAlign w:val="center"/>
                </w:tcPr>
                <w:p>
                  <w:pPr>
                    <w:jc w:val="center"/>
                    <w:rPr>
                      <w:rFonts w:hint="default" w:cs="Times New Roman"/>
                      <w:color w:val="auto"/>
                      <w:sz w:val="18"/>
                      <w:szCs w:val="18"/>
                      <w:lang w:val="en-US" w:eastAsia="zh-CN"/>
                    </w:rPr>
                  </w:pPr>
                  <w:r>
                    <w:rPr>
                      <w:rFonts w:hint="eastAsia" w:cs="Times New Roman"/>
                      <w:color w:val="auto"/>
                      <w:sz w:val="18"/>
                      <w:szCs w:val="18"/>
                      <w:lang w:val="en-US" w:eastAsia="zh-CN"/>
                    </w:rPr>
                    <w:t>+7</w:t>
                  </w:r>
                </w:p>
              </w:tc>
              <w:tc>
                <w:tcPr>
                  <w:tcW w:w="605" w:type="pct"/>
                  <w:tcBorders>
                    <w:bottom w:val="single" w:color="auto" w:sz="12" w:space="0"/>
                  </w:tcBorders>
                  <w:noWrap w:val="0"/>
                  <w:vAlign w:val="center"/>
                </w:tcPr>
                <w:p>
                  <w:pPr>
                    <w:jc w:val="center"/>
                    <w:rPr>
                      <w:rFonts w:hint="eastAsia"/>
                      <w:color w:val="auto"/>
                      <w:sz w:val="18"/>
                      <w:szCs w:val="18"/>
                      <w:lang w:val="en-US" w:eastAsia="zh-CN"/>
                    </w:rPr>
                  </w:pPr>
                  <w:r>
                    <w:rPr>
                      <w:rFonts w:hint="eastAsia"/>
                      <w:color w:val="auto"/>
                      <w:sz w:val="18"/>
                      <w:szCs w:val="18"/>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000" w:type="pct"/>
                  <w:gridSpan w:val="7"/>
                  <w:tcBorders>
                    <w:top w:val="single" w:color="auto" w:sz="12" w:space="0"/>
                  </w:tcBorders>
                  <w:noWrap w:val="0"/>
                  <w:vAlign w:val="center"/>
                </w:tcPr>
                <w:p>
                  <w:pPr>
                    <w:jc w:val="center"/>
                    <w:rPr>
                      <w:color w:val="auto"/>
                      <w:sz w:val="18"/>
                      <w:szCs w:val="18"/>
                    </w:rPr>
                  </w:pPr>
                  <w:r>
                    <w:rPr>
                      <w:rFonts w:hint="eastAsia"/>
                      <w:color w:val="auto"/>
                      <w:sz w:val="18"/>
                      <w:szCs w:val="18"/>
                      <w:lang w:eastAsia="zh-CN"/>
                    </w:rPr>
                    <w:t>热处理车间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358" w:type="pct"/>
                  <w:shd w:val="clear" w:color="auto" w:fill="auto"/>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19</w:t>
                  </w:r>
                </w:p>
              </w:tc>
              <w:tc>
                <w:tcPr>
                  <w:tcW w:w="1164" w:type="pct"/>
                  <w:noWrap w:val="0"/>
                  <w:vAlign w:val="center"/>
                </w:tcPr>
                <w:p>
                  <w:pPr>
                    <w:keepNext w:val="0"/>
                    <w:keepLines w:val="0"/>
                    <w:widowControl/>
                    <w:suppressLineNumbers w:val="0"/>
                    <w:jc w:val="center"/>
                    <w:textAlignment w:val="center"/>
                    <w:rPr>
                      <w:rFonts w:ascii="Times New Roman" w:hAnsi="Times New Roman" w:eastAsia="宋体" w:cs="Times New Roman"/>
                      <w:color w:val="auto"/>
                      <w:kern w:val="2"/>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双梁桥式起重机</w:t>
                  </w:r>
                </w:p>
              </w:tc>
              <w:tc>
                <w:tcPr>
                  <w:tcW w:w="1158" w:type="pct"/>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rPr>
                    <w:t>QD32-5T</w:t>
                  </w:r>
                  <w:r>
                    <w:rPr>
                      <w:rFonts w:hint="eastAsia"/>
                      <w:color w:val="auto"/>
                      <w:sz w:val="18"/>
                      <w:szCs w:val="18"/>
                      <w:lang w:eastAsia="zh-CN"/>
                    </w:rPr>
                    <w:t>、QD50T、QD25-10T、QD32-5T、QD50-16T</w:t>
                  </w:r>
                </w:p>
              </w:tc>
              <w:tc>
                <w:tcPr>
                  <w:tcW w:w="620" w:type="pct"/>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6</w:t>
                  </w:r>
                </w:p>
              </w:tc>
              <w:tc>
                <w:tcPr>
                  <w:tcW w:w="61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8</w:t>
                  </w:r>
                </w:p>
              </w:tc>
              <w:tc>
                <w:tcPr>
                  <w:tcW w:w="475" w:type="pct"/>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+2</w:t>
                  </w:r>
                </w:p>
              </w:tc>
              <w:tc>
                <w:tcPr>
                  <w:tcW w:w="605" w:type="pct"/>
                  <w:noWrap w:val="0"/>
                  <w:vAlign w:val="center"/>
                </w:tcPr>
                <w:p>
                  <w:pPr>
                    <w:jc w:val="center"/>
                    <w:rPr>
                      <w:color w:val="auto"/>
                      <w:sz w:val="18"/>
                      <w:szCs w:val="18"/>
                    </w:rPr>
                  </w:pPr>
                  <w:r>
                    <w:rPr>
                      <w:rFonts w:hint="eastAsia"/>
                      <w:color w:val="auto"/>
                      <w:sz w:val="18"/>
                      <w:szCs w:val="18"/>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358" w:type="pct"/>
                  <w:shd w:val="clear" w:color="auto" w:fill="auto"/>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20</w:t>
                  </w:r>
                </w:p>
              </w:tc>
              <w:tc>
                <w:tcPr>
                  <w:tcW w:w="1164" w:type="pct"/>
                  <w:shd w:val="clear" w:color="auto" w:fill="auto"/>
                  <w:noWrap w:val="0"/>
                  <w:vAlign w:val="center"/>
                </w:tcPr>
                <w:p>
                  <w:pPr>
                    <w:keepNext w:val="0"/>
                    <w:keepLines w:val="0"/>
                    <w:widowControl/>
                    <w:suppressLineNumbers w:val="0"/>
                    <w:jc w:val="center"/>
                    <w:textAlignment w:val="center"/>
                    <w:rPr>
                      <w:rFonts w:ascii="Times New Roman" w:hAnsi="Times New Roman" w:eastAsia="宋体" w:cs="Times New Roman"/>
                      <w:color w:val="auto"/>
                      <w:kern w:val="2"/>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电动单梁桥式起重机</w:t>
                  </w:r>
                </w:p>
              </w:tc>
              <w:tc>
                <w:tcPr>
                  <w:tcW w:w="1158" w:type="pct"/>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LH20T-16.5-10m</w:t>
                  </w:r>
                </w:p>
              </w:tc>
              <w:tc>
                <w:tcPr>
                  <w:tcW w:w="620" w:type="pct"/>
                  <w:noWrap w:val="0"/>
                  <w:vAlign w:val="center"/>
                </w:tcPr>
                <w:p>
                  <w:pPr>
                    <w:jc w:val="center"/>
                    <w:rPr>
                      <w:rFonts w:hint="eastAsia" w:ascii="Times New Roman" w:hAnsi="Times New Roman" w:eastAsia="宋体" w:cs="Times New Roman"/>
                      <w:color w:val="auto"/>
                      <w:kern w:val="2"/>
                      <w:sz w:val="18"/>
                      <w:szCs w:val="18"/>
                      <w:lang w:val="en-US" w:eastAsia="zh-CN" w:bidi="ar-SA"/>
                    </w:rPr>
                  </w:pPr>
                  <w:r>
                    <w:rPr>
                      <w:color w:val="auto"/>
                      <w:sz w:val="18"/>
                      <w:szCs w:val="18"/>
                    </w:rPr>
                    <w:t>1</w:t>
                  </w:r>
                </w:p>
              </w:tc>
              <w:tc>
                <w:tcPr>
                  <w:tcW w:w="616" w:type="pct"/>
                  <w:noWrap w:val="0"/>
                  <w:vAlign w:val="center"/>
                </w:tcPr>
                <w:p>
                  <w:pPr>
                    <w:keepNext w:val="0"/>
                    <w:keepLines w:val="0"/>
                    <w:widowControl/>
                    <w:suppressLineNumbers w:val="0"/>
                    <w:jc w:val="center"/>
                    <w:textAlignment w:val="center"/>
                    <w:rPr>
                      <w:rFonts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w:t>
                  </w:r>
                </w:p>
              </w:tc>
              <w:tc>
                <w:tcPr>
                  <w:tcW w:w="475" w:type="pct"/>
                  <w:noWrap w:val="0"/>
                  <w:vAlign w:val="center"/>
                </w:tcPr>
                <w:p>
                  <w:pPr>
                    <w:jc w:val="center"/>
                    <w:rPr>
                      <w:rFonts w:hint="default" w:ascii="Times New Roman" w:hAnsi="Times New Roman" w:eastAsia="宋体" w:cs="Times New Roman"/>
                      <w:color w:val="auto"/>
                      <w:kern w:val="2"/>
                      <w:sz w:val="18"/>
                      <w:szCs w:val="18"/>
                      <w:lang w:val="en-US" w:eastAsia="zh-CN" w:bidi="ar-SA"/>
                    </w:rPr>
                  </w:pPr>
                  <w:r>
                    <w:rPr>
                      <w:color w:val="auto"/>
                      <w:sz w:val="18"/>
                      <w:szCs w:val="18"/>
                    </w:rPr>
                    <w:t>0</w:t>
                  </w:r>
                </w:p>
              </w:tc>
              <w:tc>
                <w:tcPr>
                  <w:tcW w:w="605" w:type="pct"/>
                  <w:noWrap w:val="0"/>
                  <w:vAlign w:val="center"/>
                </w:tcPr>
                <w:p>
                  <w:pPr>
                    <w:jc w:val="center"/>
                    <w:rPr>
                      <w:color w:val="auto"/>
                      <w:sz w:val="18"/>
                      <w:szCs w:val="18"/>
                    </w:rPr>
                  </w:pPr>
                  <w:r>
                    <w:rPr>
                      <w:rFonts w:hint="eastAsia"/>
                      <w:color w:val="auto"/>
                      <w:sz w:val="18"/>
                      <w:szCs w:val="18"/>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358" w:type="pct"/>
                  <w:shd w:val="clear" w:color="auto" w:fill="auto"/>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21</w:t>
                  </w:r>
                </w:p>
              </w:tc>
              <w:tc>
                <w:tcPr>
                  <w:tcW w:w="1164" w:type="pct"/>
                  <w:shd w:val="clear" w:color="auto" w:fill="auto"/>
                  <w:noWrap w:val="0"/>
                  <w:vAlign w:val="center"/>
                </w:tcPr>
                <w:p>
                  <w:pPr>
                    <w:keepNext w:val="0"/>
                    <w:keepLines w:val="0"/>
                    <w:widowControl/>
                    <w:suppressLineNumbers w:val="0"/>
                    <w:jc w:val="center"/>
                    <w:textAlignment w:val="center"/>
                    <w:rPr>
                      <w:rFonts w:ascii="Times New Roman" w:hAnsi="Times New Roman" w:eastAsia="宋体" w:cs="Times New Roman"/>
                      <w:color w:val="auto"/>
                      <w:kern w:val="2"/>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台车式退火炉</w:t>
                  </w:r>
                </w:p>
              </w:tc>
              <w:tc>
                <w:tcPr>
                  <w:tcW w:w="1158" w:type="pct"/>
                  <w:shd w:val="clear" w:color="auto" w:fill="auto"/>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w:t>
                  </w:r>
                </w:p>
              </w:tc>
              <w:tc>
                <w:tcPr>
                  <w:tcW w:w="620" w:type="pct"/>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7</w:t>
                  </w:r>
                </w:p>
              </w:tc>
              <w:tc>
                <w:tcPr>
                  <w:tcW w:w="61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6</w:t>
                  </w:r>
                </w:p>
              </w:tc>
              <w:tc>
                <w:tcPr>
                  <w:tcW w:w="475" w:type="pct"/>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-1</w:t>
                  </w:r>
                </w:p>
              </w:tc>
              <w:tc>
                <w:tcPr>
                  <w:tcW w:w="605" w:type="pct"/>
                  <w:noWrap w:val="0"/>
                  <w:vAlign w:val="center"/>
                </w:tcPr>
                <w:p>
                  <w:pPr>
                    <w:jc w:val="center"/>
                    <w:rPr>
                      <w:color w:val="auto"/>
                      <w:sz w:val="18"/>
                      <w:szCs w:val="18"/>
                    </w:rPr>
                  </w:pPr>
                  <w:r>
                    <w:rPr>
                      <w:rFonts w:hint="eastAsia" w:eastAsia="宋体"/>
                      <w:color w:val="auto"/>
                      <w:sz w:val="18"/>
                      <w:szCs w:val="18"/>
                      <w:lang w:val="en-US" w:eastAsia="zh-CN"/>
                    </w:rPr>
                    <w:t>用天然气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8" w:type="pct"/>
                  <w:shd w:val="clear" w:color="auto" w:fill="auto"/>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color w:val="auto"/>
                      <w:kern w:val="2"/>
                      <w:sz w:val="18"/>
                      <w:szCs w:val="18"/>
                      <w:lang w:val="en-US" w:eastAsia="zh-CN" w:bidi="ar-SA"/>
                    </w:rPr>
                    <w:t>22</w:t>
                  </w:r>
                </w:p>
              </w:tc>
              <w:tc>
                <w:tcPr>
                  <w:tcW w:w="1164" w:type="pct"/>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电热处理炉</w:t>
                  </w:r>
                </w:p>
              </w:tc>
              <w:tc>
                <w:tcPr>
                  <w:tcW w:w="1158" w:type="pct"/>
                  <w:shd w:val="clear" w:color="auto" w:fill="auto"/>
                  <w:noWrap w:val="0"/>
                  <w:vAlign w:val="center"/>
                </w:tcPr>
                <w:p>
                  <w:pPr>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620" w:type="pct"/>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25</w:t>
                  </w:r>
                </w:p>
              </w:tc>
              <w:tc>
                <w:tcPr>
                  <w:tcW w:w="61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19</w:t>
                  </w:r>
                </w:p>
              </w:tc>
              <w:tc>
                <w:tcPr>
                  <w:tcW w:w="475" w:type="pct"/>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-6</w:t>
                  </w:r>
                </w:p>
              </w:tc>
              <w:tc>
                <w:tcPr>
                  <w:tcW w:w="605" w:type="pct"/>
                  <w:noWrap w:val="0"/>
                  <w:vAlign w:val="center"/>
                </w:tcPr>
                <w:p>
                  <w:pPr>
                    <w:jc w:val="center"/>
                    <w:rPr>
                      <w:color w:val="auto"/>
                      <w:sz w:val="18"/>
                      <w:szCs w:val="18"/>
                    </w:rPr>
                  </w:pPr>
                  <w:r>
                    <w:rPr>
                      <w:rFonts w:hint="eastAsia"/>
                      <w:color w:val="auto"/>
                      <w:sz w:val="18"/>
                      <w:szCs w:val="18"/>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358" w:type="pct"/>
                  <w:shd w:val="clear" w:color="auto" w:fill="auto"/>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23</w:t>
                  </w:r>
                </w:p>
              </w:tc>
              <w:tc>
                <w:tcPr>
                  <w:tcW w:w="1164"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冷却系统</w:t>
                  </w:r>
                </w:p>
              </w:tc>
              <w:tc>
                <w:tcPr>
                  <w:tcW w:w="1158" w:type="pct"/>
                  <w:shd w:val="clear" w:color="auto" w:fill="auto"/>
                  <w:noWrap w:val="0"/>
                  <w:vAlign w:val="center"/>
                </w:tcPr>
                <w:p>
                  <w:pPr>
                    <w:jc w:val="center"/>
                    <w:rPr>
                      <w:rFonts w:ascii="Times New Roman" w:hAnsi="Times New Roman" w:eastAsia="宋体" w:cs="Times New Roman"/>
                      <w:color w:val="auto"/>
                      <w:kern w:val="2"/>
                      <w:sz w:val="18"/>
                      <w:szCs w:val="18"/>
                      <w:lang w:val="en-US" w:eastAsia="zh-CN" w:bidi="ar-SA"/>
                    </w:rPr>
                  </w:pPr>
                  <w:r>
                    <w:rPr>
                      <w:rFonts w:hint="eastAsia"/>
                      <w:color w:val="auto"/>
                      <w:sz w:val="18"/>
                      <w:szCs w:val="18"/>
                    </w:rPr>
                    <w:t>HM-SB-FJ-01</w:t>
                  </w:r>
                </w:p>
              </w:tc>
              <w:tc>
                <w:tcPr>
                  <w:tcW w:w="620" w:type="pct"/>
                  <w:noWrap w:val="0"/>
                  <w:vAlign w:val="center"/>
                </w:tcPr>
                <w:p>
                  <w:pPr>
                    <w:jc w:val="center"/>
                    <w:rPr>
                      <w:rFonts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4</w:t>
                  </w:r>
                </w:p>
              </w:tc>
              <w:tc>
                <w:tcPr>
                  <w:tcW w:w="61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5</w:t>
                  </w:r>
                </w:p>
              </w:tc>
              <w:tc>
                <w:tcPr>
                  <w:tcW w:w="475" w:type="pct"/>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w:t>
                  </w:r>
                </w:p>
              </w:tc>
              <w:tc>
                <w:tcPr>
                  <w:tcW w:w="605" w:type="pct"/>
                  <w:noWrap w:val="0"/>
                  <w:vAlign w:val="center"/>
                </w:tcPr>
                <w:p>
                  <w:pPr>
                    <w:jc w:val="center"/>
                    <w:rPr>
                      <w:color w:val="auto"/>
                      <w:sz w:val="18"/>
                      <w:szCs w:val="18"/>
                    </w:rPr>
                  </w:pPr>
                  <w:r>
                    <w:rPr>
                      <w:rFonts w:hint="eastAsia"/>
                      <w:color w:val="auto"/>
                      <w:sz w:val="18"/>
                      <w:szCs w:val="18"/>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8" w:type="pct"/>
                  <w:shd w:val="clear" w:color="auto" w:fill="auto"/>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24</w:t>
                  </w:r>
                </w:p>
              </w:tc>
              <w:tc>
                <w:tcPr>
                  <w:tcW w:w="1164"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台车式回火炉</w:t>
                  </w:r>
                </w:p>
              </w:tc>
              <w:tc>
                <w:tcPr>
                  <w:tcW w:w="1158"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5.3x5.3x3.8m</w:t>
                  </w:r>
                </w:p>
              </w:tc>
              <w:tc>
                <w:tcPr>
                  <w:tcW w:w="620" w:type="pct"/>
                  <w:shd w:val="clear" w:color="auto" w:fill="auto"/>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0</w:t>
                  </w:r>
                </w:p>
              </w:tc>
              <w:tc>
                <w:tcPr>
                  <w:tcW w:w="61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7</w:t>
                  </w:r>
                </w:p>
              </w:tc>
              <w:tc>
                <w:tcPr>
                  <w:tcW w:w="475" w:type="pct"/>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w:t>
                  </w:r>
                  <w:r>
                    <w:rPr>
                      <w:rFonts w:hint="eastAsia" w:cs="Times New Roman"/>
                      <w:color w:val="auto"/>
                      <w:kern w:val="2"/>
                      <w:sz w:val="18"/>
                      <w:szCs w:val="18"/>
                      <w:lang w:val="en-US" w:eastAsia="zh-CN" w:bidi="ar-SA"/>
                    </w:rPr>
                    <w:t>7</w:t>
                  </w:r>
                </w:p>
              </w:tc>
              <w:tc>
                <w:tcPr>
                  <w:tcW w:w="605" w:type="pct"/>
                  <w:noWrap w:val="0"/>
                  <w:vAlign w:val="center"/>
                </w:tcPr>
                <w:p>
                  <w:pPr>
                    <w:jc w:val="center"/>
                    <w:rPr>
                      <w:rFonts w:hint="eastAsia"/>
                      <w:color w:val="auto"/>
                      <w:sz w:val="18"/>
                      <w:szCs w:val="18"/>
                      <w:lang w:val="en-US" w:eastAsia="zh-CN"/>
                    </w:rPr>
                  </w:pPr>
                  <w:r>
                    <w:rPr>
                      <w:rFonts w:hint="eastAsia"/>
                      <w:color w:val="auto"/>
                      <w:sz w:val="18"/>
                      <w:szCs w:val="18"/>
                      <w:lang w:val="en-US" w:eastAsia="zh-CN"/>
                    </w:rPr>
                    <w:t>用电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358" w:type="pct"/>
                  <w:shd w:val="clear" w:color="auto" w:fill="auto"/>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25</w:t>
                  </w:r>
                </w:p>
              </w:tc>
              <w:tc>
                <w:tcPr>
                  <w:tcW w:w="1164"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台车式淬火炉</w:t>
                  </w:r>
                </w:p>
              </w:tc>
              <w:tc>
                <w:tcPr>
                  <w:tcW w:w="1158"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color w:val="auto"/>
                      <w:sz w:val="18"/>
                      <w:szCs w:val="18"/>
                    </w:rPr>
                    <w:t>-</w:t>
                  </w:r>
                </w:p>
              </w:tc>
              <w:tc>
                <w:tcPr>
                  <w:tcW w:w="620" w:type="pct"/>
                  <w:shd w:val="clear" w:color="auto" w:fill="auto"/>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0</w:t>
                  </w:r>
                </w:p>
              </w:tc>
              <w:tc>
                <w:tcPr>
                  <w:tcW w:w="61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7</w:t>
                  </w:r>
                </w:p>
              </w:tc>
              <w:tc>
                <w:tcPr>
                  <w:tcW w:w="475" w:type="pct"/>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w:t>
                  </w:r>
                  <w:r>
                    <w:rPr>
                      <w:rFonts w:hint="eastAsia" w:cs="Times New Roman"/>
                      <w:color w:val="auto"/>
                      <w:kern w:val="2"/>
                      <w:sz w:val="18"/>
                      <w:szCs w:val="18"/>
                      <w:lang w:val="en-US" w:eastAsia="zh-CN" w:bidi="ar-SA"/>
                    </w:rPr>
                    <w:t>7</w:t>
                  </w:r>
                </w:p>
              </w:tc>
              <w:tc>
                <w:tcPr>
                  <w:tcW w:w="605" w:type="pct"/>
                  <w:noWrap w:val="0"/>
                  <w:vAlign w:val="center"/>
                </w:tcPr>
                <w:p>
                  <w:pPr>
                    <w:jc w:val="center"/>
                    <w:rPr>
                      <w:rFonts w:hint="eastAsia"/>
                      <w:color w:val="auto"/>
                      <w:sz w:val="18"/>
                      <w:szCs w:val="18"/>
                      <w:lang w:val="en-US" w:eastAsia="zh-CN"/>
                    </w:rPr>
                  </w:pPr>
                  <w:r>
                    <w:rPr>
                      <w:rFonts w:hint="eastAsia"/>
                      <w:color w:val="auto"/>
                      <w:sz w:val="18"/>
                      <w:szCs w:val="18"/>
                      <w:lang w:val="en-US" w:eastAsia="zh-CN"/>
                    </w:rPr>
                    <w:t>用电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358" w:type="pct"/>
                  <w:noWrap w:val="0"/>
                  <w:vAlign w:val="center"/>
                </w:tcPr>
                <w:p>
                  <w:pPr>
                    <w:jc w:val="center"/>
                    <w:rPr>
                      <w:rFonts w:hint="default"/>
                      <w:color w:val="auto"/>
                      <w:sz w:val="18"/>
                      <w:szCs w:val="18"/>
                      <w:lang w:val="en-US" w:eastAsia="zh-CN"/>
                    </w:rPr>
                  </w:pPr>
                  <w:r>
                    <w:rPr>
                      <w:rFonts w:hint="eastAsia"/>
                      <w:color w:val="auto"/>
                      <w:sz w:val="18"/>
                      <w:szCs w:val="18"/>
                      <w:lang w:val="en-US" w:eastAsia="zh-CN"/>
                    </w:rPr>
                    <w:t>26</w:t>
                  </w:r>
                </w:p>
              </w:tc>
              <w:tc>
                <w:tcPr>
                  <w:tcW w:w="1164" w:type="pct"/>
                  <w:shd w:val="clear" w:color="auto" w:fill="auto"/>
                  <w:noWrap w:val="0"/>
                  <w:vAlign w:val="center"/>
                </w:tcPr>
                <w:p>
                  <w:pPr>
                    <w:jc w:val="center"/>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冷却塔</w:t>
                  </w:r>
                </w:p>
              </w:tc>
              <w:tc>
                <w:tcPr>
                  <w:tcW w:w="1158" w:type="pct"/>
                  <w:shd w:val="clear" w:color="auto" w:fill="auto"/>
                  <w:noWrap w:val="0"/>
                  <w:vAlign w:val="center"/>
                </w:tcPr>
                <w:p>
                  <w:pPr>
                    <w:jc w:val="center"/>
                    <w:rPr>
                      <w:rFonts w:hint="eastAsia" w:eastAsia="宋体"/>
                      <w:color w:val="auto"/>
                      <w:sz w:val="18"/>
                      <w:szCs w:val="18"/>
                      <w:lang w:eastAsia="zh-CN"/>
                    </w:rPr>
                  </w:pPr>
                  <w:r>
                    <w:rPr>
                      <w:rFonts w:hint="eastAsia"/>
                      <w:color w:val="auto"/>
                      <w:sz w:val="18"/>
                      <w:szCs w:val="18"/>
                    </w:rPr>
                    <w:t>KBL-27S</w:t>
                  </w:r>
                  <w:r>
                    <w:rPr>
                      <w:rFonts w:hint="eastAsia"/>
                      <w:color w:val="auto"/>
                      <w:sz w:val="18"/>
                      <w:szCs w:val="18"/>
                      <w:lang w:eastAsia="zh-CN"/>
                    </w:rPr>
                    <w:t>、KBL-30S</w:t>
                  </w:r>
                </w:p>
              </w:tc>
              <w:tc>
                <w:tcPr>
                  <w:tcW w:w="620" w:type="pct"/>
                  <w:shd w:val="clear" w:color="auto" w:fill="auto"/>
                  <w:noWrap w:val="0"/>
                  <w:vAlign w:val="center"/>
                </w:tcPr>
                <w:p>
                  <w:pPr>
                    <w:jc w:val="center"/>
                    <w:rPr>
                      <w:rFonts w:hint="default" w:ascii="Times New Roman" w:hAnsi="Times New Roman" w:cs="Times New Roman"/>
                      <w:color w:val="auto"/>
                      <w:kern w:val="2"/>
                      <w:sz w:val="18"/>
                      <w:szCs w:val="18"/>
                      <w:lang w:val="en-US" w:eastAsia="zh-CN" w:bidi="ar-SA"/>
                    </w:rPr>
                  </w:pPr>
                  <w:r>
                    <w:rPr>
                      <w:rFonts w:hint="eastAsia" w:cs="Times New Roman"/>
                      <w:color w:val="auto"/>
                      <w:kern w:val="2"/>
                      <w:sz w:val="18"/>
                      <w:szCs w:val="18"/>
                      <w:lang w:val="en-US" w:eastAsia="zh-CN" w:bidi="ar-SA"/>
                    </w:rPr>
                    <w:t>2</w:t>
                  </w:r>
                </w:p>
              </w:tc>
              <w:tc>
                <w:tcPr>
                  <w:tcW w:w="616" w:type="pct"/>
                  <w:noWrap w:val="0"/>
                  <w:vAlign w:val="center"/>
                </w:tcPr>
                <w:p>
                  <w:pPr>
                    <w:keepNext w:val="0"/>
                    <w:keepLines w:val="0"/>
                    <w:widowControl/>
                    <w:suppressLineNumbers w:val="0"/>
                    <w:jc w:val="center"/>
                    <w:textAlignment w:val="center"/>
                    <w:rPr>
                      <w:rFonts w:hint="default" w:ascii="Times New Roman" w:hAnsi="Times New Roman"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4</w:t>
                  </w:r>
                </w:p>
              </w:tc>
              <w:tc>
                <w:tcPr>
                  <w:tcW w:w="475" w:type="pct"/>
                  <w:noWrap w:val="0"/>
                  <w:vAlign w:val="center"/>
                </w:tcPr>
                <w:p>
                  <w:pPr>
                    <w:jc w:val="center"/>
                    <w:rPr>
                      <w:rFonts w:hint="default" w:ascii="Times New Roman" w:hAnsi="Times New Roman" w:cs="Times New Roman"/>
                      <w:color w:val="auto"/>
                      <w:sz w:val="18"/>
                      <w:szCs w:val="18"/>
                      <w:lang w:val="en-US" w:eastAsia="zh-CN"/>
                    </w:rPr>
                  </w:pPr>
                  <w:r>
                    <w:rPr>
                      <w:rFonts w:hint="eastAsia" w:cs="Times New Roman"/>
                      <w:color w:val="auto"/>
                      <w:kern w:val="2"/>
                      <w:sz w:val="18"/>
                      <w:szCs w:val="18"/>
                      <w:lang w:val="en-US" w:eastAsia="zh-CN" w:bidi="ar-SA"/>
                    </w:rPr>
                    <w:t>+2</w:t>
                  </w:r>
                </w:p>
              </w:tc>
              <w:tc>
                <w:tcPr>
                  <w:tcW w:w="605" w:type="pct"/>
                  <w:noWrap w:val="0"/>
                  <w:vAlign w:val="center"/>
                </w:tcPr>
                <w:p>
                  <w:pPr>
                    <w:jc w:val="center"/>
                    <w:rPr>
                      <w:rFonts w:hint="eastAsia"/>
                      <w:color w:val="auto"/>
                      <w:sz w:val="18"/>
                      <w:szCs w:val="18"/>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000" w:type="pct"/>
                  <w:gridSpan w:val="7"/>
                  <w:shd w:val="clear" w:color="auto" w:fill="auto"/>
                  <w:noWrap w:val="0"/>
                  <w:vAlign w:val="center"/>
                </w:tcPr>
                <w:p>
                  <w:pPr>
                    <w:jc w:val="center"/>
                    <w:rPr>
                      <w:color w:val="auto"/>
                      <w:sz w:val="18"/>
                      <w:szCs w:val="18"/>
                    </w:rPr>
                  </w:pPr>
                  <w:r>
                    <w:rPr>
                      <w:rFonts w:hint="eastAsia"/>
                      <w:color w:val="auto"/>
                      <w:sz w:val="18"/>
                      <w:szCs w:val="18"/>
                      <w:lang w:eastAsia="zh-CN"/>
                    </w:rPr>
                    <w:t>机加工车间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358" w:type="pct"/>
                  <w:shd w:val="clear" w:color="auto" w:fill="auto"/>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color w:val="auto"/>
                      <w:kern w:val="2"/>
                      <w:sz w:val="18"/>
                      <w:szCs w:val="18"/>
                      <w:lang w:val="en-US" w:eastAsia="zh-CN" w:bidi="ar-SA"/>
                    </w:rPr>
                    <w:t>27</w:t>
                  </w:r>
                </w:p>
              </w:tc>
              <w:tc>
                <w:tcPr>
                  <w:tcW w:w="1164" w:type="pct"/>
                  <w:shd w:val="clear" w:color="auto" w:fill="auto"/>
                  <w:noWrap w:val="0"/>
                  <w:vAlign w:val="center"/>
                </w:tcPr>
                <w:p>
                  <w:pPr>
                    <w:jc w:val="center"/>
                    <w:rPr>
                      <w:rFonts w:hint="eastAsia" w:ascii="Times New Roman" w:hAnsi="Times New Roman"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卧式金属带锯床</w:t>
                  </w:r>
                </w:p>
              </w:tc>
              <w:tc>
                <w:tcPr>
                  <w:tcW w:w="1158" w:type="pct"/>
                  <w:shd w:val="clear" w:color="auto" w:fill="auto"/>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GB42160X200</w:t>
                  </w:r>
                  <w:r>
                    <w:rPr>
                      <w:rFonts w:hint="eastAsia" w:cs="Times New Roman"/>
                      <w:color w:val="auto"/>
                      <w:kern w:val="2"/>
                      <w:sz w:val="18"/>
                      <w:szCs w:val="18"/>
                      <w:lang w:val="en-US" w:eastAsia="zh-CN" w:bidi="ar-SA"/>
                    </w:rPr>
                    <w:t>、GB42180、GB42150、GB42130、GB42120、GB42100、GB4280、NST200150K、</w:t>
                  </w:r>
                  <w:r>
                    <w:rPr>
                      <w:rFonts w:hint="eastAsia" w:ascii="Times New Roman" w:hAnsi="Times New Roman" w:cs="Times New Roman"/>
                      <w:color w:val="auto"/>
                      <w:kern w:val="2"/>
                      <w:sz w:val="18"/>
                      <w:szCs w:val="18"/>
                      <w:lang w:val="en-US" w:eastAsia="zh-CN" w:bidi="ar-SA"/>
                    </w:rPr>
                    <w:t>G-2016E</w:t>
                  </w:r>
                </w:p>
              </w:tc>
              <w:tc>
                <w:tcPr>
                  <w:tcW w:w="620" w:type="pct"/>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12</w:t>
                  </w:r>
                </w:p>
              </w:tc>
              <w:tc>
                <w:tcPr>
                  <w:tcW w:w="61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15</w:t>
                  </w:r>
                </w:p>
              </w:tc>
              <w:tc>
                <w:tcPr>
                  <w:tcW w:w="475" w:type="pct"/>
                  <w:shd w:val="clear" w:color="auto" w:fill="auto"/>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+3</w:t>
                  </w:r>
                </w:p>
              </w:tc>
              <w:tc>
                <w:tcPr>
                  <w:tcW w:w="605" w:type="pct"/>
                  <w:noWrap w:val="0"/>
                  <w:vAlign w:val="center"/>
                </w:tcPr>
                <w:p>
                  <w:pPr>
                    <w:jc w:val="center"/>
                    <w:rPr>
                      <w:color w:val="auto"/>
                      <w:sz w:val="18"/>
                      <w:szCs w:val="18"/>
                    </w:rPr>
                  </w:pPr>
                  <w:r>
                    <w:rPr>
                      <w:rFonts w:hint="eastAsia"/>
                      <w:color w:val="auto"/>
                      <w:sz w:val="18"/>
                      <w:szCs w:val="18"/>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358" w:type="pct"/>
                  <w:shd w:val="clear" w:color="auto" w:fill="auto"/>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color w:val="auto"/>
                      <w:kern w:val="2"/>
                      <w:sz w:val="18"/>
                      <w:szCs w:val="18"/>
                      <w:lang w:val="en-US" w:eastAsia="zh-CN" w:bidi="ar-SA"/>
                    </w:rPr>
                    <w:t>28</w:t>
                  </w:r>
                </w:p>
              </w:tc>
              <w:tc>
                <w:tcPr>
                  <w:tcW w:w="1164" w:type="pct"/>
                  <w:shd w:val="clear" w:color="auto" w:fill="auto"/>
                  <w:noWrap w:val="0"/>
                  <w:vAlign w:val="center"/>
                </w:tcPr>
                <w:p>
                  <w:pPr>
                    <w:jc w:val="center"/>
                    <w:rPr>
                      <w:rFonts w:hint="eastAsia" w:ascii="Times New Roman" w:hAnsi="Times New Roman"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立式金属带锯床</w:t>
                  </w:r>
                </w:p>
              </w:tc>
              <w:tc>
                <w:tcPr>
                  <w:tcW w:w="1158" w:type="pct"/>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LS-1500</w:t>
                  </w:r>
                  <w:r>
                    <w:rPr>
                      <w:rFonts w:hint="eastAsia" w:cs="Times New Roman"/>
                      <w:color w:val="auto"/>
                      <w:kern w:val="2"/>
                      <w:sz w:val="18"/>
                      <w:szCs w:val="18"/>
                      <w:lang w:val="en-US" w:eastAsia="zh-CN" w:bidi="ar-SA"/>
                    </w:rPr>
                    <w:t>x</w:t>
                  </w:r>
                  <w:r>
                    <w:rPr>
                      <w:rFonts w:hint="eastAsia" w:ascii="Times New Roman" w:hAnsi="Times New Roman" w:cs="Times New Roman"/>
                      <w:color w:val="auto"/>
                      <w:kern w:val="2"/>
                      <w:sz w:val="18"/>
                      <w:szCs w:val="18"/>
                      <w:lang w:val="en-US" w:eastAsia="zh-CN" w:bidi="ar-SA"/>
                    </w:rPr>
                    <w:t>1500</w:t>
                  </w:r>
                  <w:r>
                    <w:rPr>
                      <w:rFonts w:hint="eastAsia" w:cs="Times New Roman"/>
                      <w:color w:val="auto"/>
                      <w:kern w:val="2"/>
                      <w:sz w:val="18"/>
                      <w:szCs w:val="18"/>
                      <w:lang w:val="en-US" w:eastAsia="zh-CN" w:bidi="ar-SA"/>
                    </w:rPr>
                    <w:t>x</w:t>
                  </w:r>
                  <w:r>
                    <w:rPr>
                      <w:rFonts w:hint="eastAsia" w:ascii="Times New Roman" w:hAnsi="Times New Roman" w:cs="Times New Roman"/>
                      <w:color w:val="auto"/>
                      <w:kern w:val="2"/>
                      <w:sz w:val="18"/>
                      <w:szCs w:val="18"/>
                      <w:lang w:val="en-US" w:eastAsia="zh-CN" w:bidi="ar-SA"/>
                    </w:rPr>
                    <w:t>2500</w:t>
                  </w:r>
                  <w:r>
                    <w:rPr>
                      <w:rFonts w:hint="eastAsia" w:cs="Times New Roman"/>
                      <w:color w:val="auto"/>
                      <w:kern w:val="2"/>
                      <w:sz w:val="18"/>
                      <w:szCs w:val="18"/>
                      <w:lang w:val="en-US" w:eastAsia="zh-CN" w:bidi="ar-SA"/>
                    </w:rPr>
                    <w:t>、LS-</w:t>
                  </w:r>
                  <w:r>
                    <w:rPr>
                      <w:rFonts w:hint="eastAsia" w:ascii="Times New Roman" w:hAnsi="Times New Roman" w:cs="Times New Roman"/>
                      <w:color w:val="auto"/>
                      <w:kern w:val="2"/>
                      <w:sz w:val="18"/>
                      <w:szCs w:val="18"/>
                      <w:lang w:val="en-US" w:eastAsia="zh-CN" w:bidi="ar-SA"/>
                    </w:rPr>
                    <w:t>1000</w:t>
                  </w:r>
                  <w:r>
                    <w:rPr>
                      <w:rFonts w:hint="eastAsia" w:cs="Times New Roman"/>
                      <w:color w:val="auto"/>
                      <w:kern w:val="2"/>
                      <w:sz w:val="18"/>
                      <w:szCs w:val="18"/>
                      <w:lang w:val="en-US" w:eastAsia="zh-CN" w:bidi="ar-SA"/>
                    </w:rPr>
                    <w:t>x</w:t>
                  </w:r>
                  <w:r>
                    <w:rPr>
                      <w:rFonts w:hint="eastAsia" w:ascii="Times New Roman" w:hAnsi="Times New Roman" w:cs="Times New Roman"/>
                      <w:color w:val="auto"/>
                      <w:kern w:val="2"/>
                      <w:sz w:val="18"/>
                      <w:szCs w:val="18"/>
                      <w:lang w:val="en-US" w:eastAsia="zh-CN" w:bidi="ar-SA"/>
                    </w:rPr>
                    <w:t>1500</w:t>
                  </w:r>
                  <w:r>
                    <w:rPr>
                      <w:rFonts w:hint="eastAsia" w:cs="Times New Roman"/>
                      <w:color w:val="auto"/>
                      <w:kern w:val="2"/>
                      <w:sz w:val="18"/>
                      <w:szCs w:val="18"/>
                      <w:lang w:val="en-US" w:eastAsia="zh-CN" w:bidi="ar-SA"/>
                    </w:rPr>
                    <w:t>x</w:t>
                  </w:r>
                  <w:r>
                    <w:rPr>
                      <w:rFonts w:hint="eastAsia" w:ascii="Times New Roman" w:hAnsi="Times New Roman" w:cs="Times New Roman"/>
                      <w:color w:val="auto"/>
                      <w:kern w:val="2"/>
                      <w:sz w:val="18"/>
                      <w:szCs w:val="18"/>
                      <w:lang w:val="en-US" w:eastAsia="zh-CN" w:bidi="ar-SA"/>
                    </w:rPr>
                    <w:t>2500、NST54160-160-300</w:t>
                  </w:r>
                </w:p>
              </w:tc>
              <w:tc>
                <w:tcPr>
                  <w:tcW w:w="620" w:type="pct"/>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4</w:t>
                  </w:r>
                </w:p>
              </w:tc>
              <w:tc>
                <w:tcPr>
                  <w:tcW w:w="61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5</w:t>
                  </w:r>
                </w:p>
              </w:tc>
              <w:tc>
                <w:tcPr>
                  <w:tcW w:w="475" w:type="pct"/>
                  <w:shd w:val="clear" w:color="auto" w:fill="auto"/>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+1</w:t>
                  </w:r>
                </w:p>
              </w:tc>
              <w:tc>
                <w:tcPr>
                  <w:tcW w:w="605" w:type="pct"/>
                  <w:noWrap w:val="0"/>
                  <w:vAlign w:val="center"/>
                </w:tcPr>
                <w:p>
                  <w:pPr>
                    <w:jc w:val="center"/>
                    <w:rPr>
                      <w:color w:val="auto"/>
                      <w:sz w:val="18"/>
                      <w:szCs w:val="18"/>
                    </w:rPr>
                  </w:pPr>
                  <w:r>
                    <w:rPr>
                      <w:rFonts w:hint="eastAsia"/>
                      <w:color w:val="auto"/>
                      <w:sz w:val="18"/>
                      <w:szCs w:val="18"/>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358" w:type="pct"/>
                  <w:shd w:val="clear" w:color="auto" w:fill="auto"/>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color w:val="auto"/>
                      <w:kern w:val="2"/>
                      <w:sz w:val="18"/>
                      <w:szCs w:val="18"/>
                      <w:lang w:val="en-US" w:eastAsia="zh-CN" w:bidi="ar-SA"/>
                    </w:rPr>
                    <w:t>29</w:t>
                  </w:r>
                </w:p>
              </w:tc>
              <w:tc>
                <w:tcPr>
                  <w:tcW w:w="1164" w:type="pct"/>
                  <w:shd w:val="clear" w:color="auto" w:fill="auto"/>
                  <w:noWrap w:val="0"/>
                  <w:vAlign w:val="center"/>
                </w:tcPr>
                <w:p>
                  <w:pPr>
                    <w:jc w:val="center"/>
                    <w:rPr>
                      <w:rFonts w:hint="eastAsia" w:ascii="Times New Roman" w:hAnsi="Times New Roman"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龙门卧式带锯床</w:t>
                  </w:r>
                </w:p>
              </w:tc>
              <w:tc>
                <w:tcPr>
                  <w:tcW w:w="1158" w:type="pct"/>
                  <w:noWrap w:val="0"/>
                  <w:vAlign w:val="center"/>
                </w:tcPr>
                <w:p>
                  <w:pPr>
                    <w:jc w:val="center"/>
                    <w:rPr>
                      <w:rFonts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GB42150-200</w:t>
                  </w:r>
                </w:p>
              </w:tc>
              <w:tc>
                <w:tcPr>
                  <w:tcW w:w="620" w:type="pct"/>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1</w:t>
                  </w:r>
                </w:p>
              </w:tc>
              <w:tc>
                <w:tcPr>
                  <w:tcW w:w="616" w:type="pct"/>
                  <w:noWrap w:val="0"/>
                  <w:vAlign w:val="center"/>
                </w:tcPr>
                <w:p>
                  <w:pPr>
                    <w:keepNext w:val="0"/>
                    <w:keepLines w:val="0"/>
                    <w:widowControl/>
                    <w:suppressLineNumbers w:val="0"/>
                    <w:jc w:val="center"/>
                    <w:textAlignment w:val="center"/>
                    <w:rPr>
                      <w:rFonts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w:t>
                  </w:r>
                </w:p>
              </w:tc>
              <w:tc>
                <w:tcPr>
                  <w:tcW w:w="475" w:type="pct"/>
                  <w:shd w:val="clear" w:color="auto" w:fill="auto"/>
                  <w:noWrap w:val="0"/>
                  <w:vAlign w:val="center"/>
                </w:tcPr>
                <w:p>
                  <w:pPr>
                    <w:jc w:val="center"/>
                    <w:rPr>
                      <w:rFonts w:hint="default" w:ascii="Times New Roman" w:hAnsi="Times New Roman" w:eastAsia="宋体" w:cs="Times New Roman"/>
                      <w:color w:val="auto"/>
                      <w:kern w:val="2"/>
                      <w:sz w:val="18"/>
                      <w:szCs w:val="18"/>
                      <w:lang w:val="en-US" w:eastAsia="zh-CN" w:bidi="ar-SA"/>
                    </w:rPr>
                  </w:pPr>
                  <w:r>
                    <w:rPr>
                      <w:color w:val="auto"/>
                      <w:sz w:val="18"/>
                      <w:szCs w:val="18"/>
                    </w:rPr>
                    <w:t>0</w:t>
                  </w:r>
                </w:p>
              </w:tc>
              <w:tc>
                <w:tcPr>
                  <w:tcW w:w="605" w:type="pct"/>
                  <w:noWrap w:val="0"/>
                  <w:vAlign w:val="center"/>
                </w:tcPr>
                <w:p>
                  <w:pPr>
                    <w:jc w:val="center"/>
                    <w:rPr>
                      <w:color w:val="auto"/>
                      <w:sz w:val="18"/>
                      <w:szCs w:val="18"/>
                    </w:rPr>
                  </w:pPr>
                  <w:r>
                    <w:rPr>
                      <w:rFonts w:hint="eastAsia"/>
                      <w:color w:val="auto"/>
                      <w:sz w:val="18"/>
                      <w:szCs w:val="18"/>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358" w:type="pct"/>
                  <w:shd w:val="clear" w:color="auto" w:fill="auto"/>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color w:val="auto"/>
                      <w:kern w:val="2"/>
                      <w:sz w:val="18"/>
                      <w:szCs w:val="18"/>
                      <w:lang w:val="en-US" w:eastAsia="zh-CN" w:bidi="ar-SA"/>
                    </w:rPr>
                    <w:t>30</w:t>
                  </w:r>
                </w:p>
              </w:tc>
              <w:tc>
                <w:tcPr>
                  <w:tcW w:w="1164" w:type="pct"/>
                  <w:shd w:val="clear" w:color="auto" w:fill="auto"/>
                  <w:noWrap w:val="0"/>
                  <w:vAlign w:val="center"/>
                </w:tcPr>
                <w:p>
                  <w:pPr>
                    <w:jc w:val="center"/>
                    <w:rPr>
                      <w:rFonts w:hint="eastAsia" w:ascii="Times New Roman" w:hAnsi="Times New Roman"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卧式车床</w:t>
                  </w:r>
                </w:p>
              </w:tc>
              <w:tc>
                <w:tcPr>
                  <w:tcW w:w="1158" w:type="pct"/>
                  <w:noWrap w:val="0"/>
                  <w:vAlign w:val="center"/>
                </w:tcPr>
                <w:p>
                  <w:pPr>
                    <w:jc w:val="center"/>
                    <w:rPr>
                      <w:rFonts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C61250x8m</w:t>
                  </w:r>
                  <w:r>
                    <w:rPr>
                      <w:rFonts w:hint="eastAsia" w:cs="Times New Roman"/>
                      <w:color w:val="auto"/>
                      <w:kern w:val="2"/>
                      <w:sz w:val="18"/>
                      <w:szCs w:val="18"/>
                      <w:lang w:val="en-US" w:eastAsia="zh-CN" w:bidi="ar-SA"/>
                    </w:rPr>
                    <w:t>、C61220x12m、C61200x15m、C61200x18m、JC-CK61315-5</w:t>
                  </w:r>
                </w:p>
              </w:tc>
              <w:tc>
                <w:tcPr>
                  <w:tcW w:w="620" w:type="pct"/>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7</w:t>
                  </w:r>
                </w:p>
              </w:tc>
              <w:tc>
                <w:tcPr>
                  <w:tcW w:w="61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19</w:t>
                  </w:r>
                </w:p>
              </w:tc>
              <w:tc>
                <w:tcPr>
                  <w:tcW w:w="475" w:type="pct"/>
                  <w:shd w:val="clear" w:color="auto" w:fill="auto"/>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+12</w:t>
                  </w:r>
                </w:p>
              </w:tc>
              <w:tc>
                <w:tcPr>
                  <w:tcW w:w="605" w:type="pct"/>
                  <w:noWrap w:val="0"/>
                  <w:vAlign w:val="center"/>
                </w:tcPr>
                <w:p>
                  <w:pPr>
                    <w:jc w:val="center"/>
                    <w:rPr>
                      <w:color w:val="auto"/>
                      <w:sz w:val="18"/>
                      <w:szCs w:val="18"/>
                    </w:rPr>
                  </w:pPr>
                  <w:r>
                    <w:rPr>
                      <w:rFonts w:hint="eastAsia"/>
                      <w:color w:val="auto"/>
                      <w:sz w:val="18"/>
                      <w:szCs w:val="18"/>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358" w:type="pct"/>
                  <w:shd w:val="clear" w:color="auto" w:fill="auto"/>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color w:val="auto"/>
                      <w:kern w:val="2"/>
                      <w:sz w:val="18"/>
                      <w:szCs w:val="18"/>
                      <w:lang w:val="en-US" w:eastAsia="zh-CN" w:bidi="ar-SA"/>
                    </w:rPr>
                    <w:t>31</w:t>
                  </w:r>
                </w:p>
              </w:tc>
              <w:tc>
                <w:tcPr>
                  <w:tcW w:w="1164" w:type="pct"/>
                  <w:noWrap w:val="0"/>
                  <w:vAlign w:val="center"/>
                </w:tcPr>
                <w:p>
                  <w:pPr>
                    <w:jc w:val="center"/>
                    <w:rPr>
                      <w:rFonts w:hint="eastAsia" w:ascii="Times New Roman" w:hAnsi="Times New Roman"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镗铣床</w:t>
                  </w:r>
                </w:p>
              </w:tc>
              <w:tc>
                <w:tcPr>
                  <w:tcW w:w="1158" w:type="pct"/>
                  <w:noWrap w:val="0"/>
                  <w:vAlign w:val="center"/>
                </w:tcPr>
                <w:p>
                  <w:pPr>
                    <w:jc w:val="center"/>
                    <w:rPr>
                      <w:rFonts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T21120X9M-32T</w:t>
                  </w:r>
                  <w:r>
                    <w:rPr>
                      <w:rFonts w:hint="eastAsia" w:cs="Times New Roman"/>
                      <w:color w:val="auto"/>
                      <w:kern w:val="2"/>
                      <w:sz w:val="18"/>
                      <w:szCs w:val="18"/>
                      <w:lang w:val="en-US" w:eastAsia="zh-CN" w:bidi="ar-SA"/>
                    </w:rPr>
                    <w:t>、X2020-6000、XT8018、XT800、XT120X4600、TS2280</w:t>
                  </w:r>
                </w:p>
              </w:tc>
              <w:tc>
                <w:tcPr>
                  <w:tcW w:w="620" w:type="pct"/>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7</w:t>
                  </w:r>
                </w:p>
              </w:tc>
              <w:tc>
                <w:tcPr>
                  <w:tcW w:w="616" w:type="pct"/>
                  <w:noWrap w:val="0"/>
                  <w:vAlign w:val="center"/>
                </w:tcPr>
                <w:p>
                  <w:pPr>
                    <w:keepNext w:val="0"/>
                    <w:keepLines w:val="0"/>
                    <w:widowControl/>
                    <w:suppressLineNumbers w:val="0"/>
                    <w:jc w:val="center"/>
                    <w:textAlignment w:val="center"/>
                    <w:rPr>
                      <w:rFonts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7</w:t>
                  </w:r>
                </w:p>
              </w:tc>
              <w:tc>
                <w:tcPr>
                  <w:tcW w:w="475" w:type="pct"/>
                  <w:shd w:val="clear" w:color="auto" w:fill="auto"/>
                  <w:noWrap w:val="0"/>
                  <w:vAlign w:val="center"/>
                </w:tcPr>
                <w:p>
                  <w:pPr>
                    <w:jc w:val="center"/>
                    <w:rPr>
                      <w:rFonts w:hint="default" w:ascii="Times New Roman" w:hAnsi="Times New Roman" w:eastAsia="宋体" w:cs="Times New Roman"/>
                      <w:color w:val="auto"/>
                      <w:kern w:val="2"/>
                      <w:sz w:val="18"/>
                      <w:szCs w:val="18"/>
                      <w:lang w:val="en-US" w:eastAsia="zh-CN" w:bidi="ar-SA"/>
                    </w:rPr>
                  </w:pPr>
                  <w:r>
                    <w:rPr>
                      <w:color w:val="auto"/>
                      <w:sz w:val="18"/>
                      <w:szCs w:val="18"/>
                    </w:rPr>
                    <w:t>0</w:t>
                  </w:r>
                </w:p>
              </w:tc>
              <w:tc>
                <w:tcPr>
                  <w:tcW w:w="605" w:type="pct"/>
                  <w:noWrap w:val="0"/>
                  <w:vAlign w:val="center"/>
                </w:tcPr>
                <w:p>
                  <w:pPr>
                    <w:jc w:val="center"/>
                    <w:rPr>
                      <w:color w:val="auto"/>
                      <w:sz w:val="18"/>
                      <w:szCs w:val="18"/>
                    </w:rPr>
                  </w:pPr>
                  <w:r>
                    <w:rPr>
                      <w:rFonts w:hint="eastAsia"/>
                      <w:color w:val="auto"/>
                      <w:sz w:val="18"/>
                      <w:szCs w:val="18"/>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358" w:type="pct"/>
                  <w:shd w:val="clear" w:color="auto" w:fill="auto"/>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color w:val="auto"/>
                      <w:kern w:val="2"/>
                      <w:sz w:val="18"/>
                      <w:szCs w:val="18"/>
                      <w:lang w:val="en-US" w:eastAsia="zh-CN" w:bidi="ar-SA"/>
                    </w:rPr>
                    <w:t>32</w:t>
                  </w:r>
                </w:p>
              </w:tc>
              <w:tc>
                <w:tcPr>
                  <w:tcW w:w="1164" w:type="pct"/>
                  <w:noWrap w:val="0"/>
                  <w:vAlign w:val="center"/>
                </w:tcPr>
                <w:p>
                  <w:pPr>
                    <w:jc w:val="center"/>
                    <w:rPr>
                      <w:rFonts w:hint="eastAsia" w:ascii="Times New Roman" w:hAnsi="Times New Roman"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深孔镗床</w:t>
                  </w:r>
                </w:p>
              </w:tc>
              <w:tc>
                <w:tcPr>
                  <w:tcW w:w="1158" w:type="pct"/>
                  <w:noWrap w:val="0"/>
                  <w:vAlign w:val="center"/>
                </w:tcPr>
                <w:p>
                  <w:pPr>
                    <w:jc w:val="center"/>
                    <w:rPr>
                      <w:rFonts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TS2280</w:t>
                  </w:r>
                </w:p>
              </w:tc>
              <w:tc>
                <w:tcPr>
                  <w:tcW w:w="620" w:type="pct"/>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1</w:t>
                  </w:r>
                </w:p>
              </w:tc>
              <w:tc>
                <w:tcPr>
                  <w:tcW w:w="61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w:t>
                  </w:r>
                </w:p>
              </w:tc>
              <w:tc>
                <w:tcPr>
                  <w:tcW w:w="475" w:type="pct"/>
                  <w:shd w:val="clear" w:color="auto" w:fill="auto"/>
                  <w:noWrap w:val="0"/>
                  <w:vAlign w:val="center"/>
                </w:tcPr>
                <w:p>
                  <w:pPr>
                    <w:jc w:val="center"/>
                    <w:rPr>
                      <w:rFonts w:hint="default" w:ascii="Times New Roman" w:hAnsi="Times New Roman" w:eastAsia="宋体" w:cs="Times New Roman"/>
                      <w:color w:val="auto"/>
                      <w:kern w:val="2"/>
                      <w:sz w:val="18"/>
                      <w:szCs w:val="18"/>
                      <w:lang w:val="en-US" w:eastAsia="zh-CN" w:bidi="ar-SA"/>
                    </w:rPr>
                  </w:pPr>
                  <w:r>
                    <w:rPr>
                      <w:color w:val="auto"/>
                      <w:sz w:val="18"/>
                      <w:szCs w:val="18"/>
                    </w:rPr>
                    <w:t>0</w:t>
                  </w:r>
                </w:p>
              </w:tc>
              <w:tc>
                <w:tcPr>
                  <w:tcW w:w="605" w:type="pct"/>
                  <w:noWrap w:val="0"/>
                  <w:vAlign w:val="center"/>
                </w:tcPr>
                <w:p>
                  <w:pPr>
                    <w:jc w:val="center"/>
                    <w:rPr>
                      <w:color w:val="auto"/>
                      <w:sz w:val="18"/>
                      <w:szCs w:val="18"/>
                    </w:rPr>
                  </w:pPr>
                  <w:r>
                    <w:rPr>
                      <w:rFonts w:hint="eastAsia"/>
                      <w:color w:val="auto"/>
                      <w:sz w:val="18"/>
                      <w:szCs w:val="18"/>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358" w:type="pct"/>
                  <w:shd w:val="clear" w:color="auto" w:fill="auto"/>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color w:val="auto"/>
                      <w:kern w:val="2"/>
                      <w:sz w:val="18"/>
                      <w:szCs w:val="18"/>
                      <w:lang w:val="en-US" w:eastAsia="zh-CN" w:bidi="ar-SA"/>
                    </w:rPr>
                    <w:t>33</w:t>
                  </w:r>
                </w:p>
              </w:tc>
              <w:tc>
                <w:tcPr>
                  <w:tcW w:w="1164" w:type="pct"/>
                  <w:noWrap w:val="0"/>
                  <w:vAlign w:val="center"/>
                </w:tcPr>
                <w:p>
                  <w:pPr>
                    <w:jc w:val="center"/>
                    <w:rPr>
                      <w:rFonts w:hint="eastAsia" w:ascii="Times New Roman" w:hAnsi="Times New Roman"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立式车床</w:t>
                  </w:r>
                </w:p>
              </w:tc>
              <w:tc>
                <w:tcPr>
                  <w:tcW w:w="1158" w:type="pct"/>
                  <w:noWrap w:val="0"/>
                  <w:vAlign w:val="center"/>
                </w:tcPr>
                <w:p>
                  <w:pPr>
                    <w:jc w:val="center"/>
                    <w:rPr>
                      <w:rFonts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C5225Ex16-10</w:t>
                  </w:r>
                  <w:r>
                    <w:rPr>
                      <w:rFonts w:hint="eastAsia" w:cs="Times New Roman"/>
                      <w:color w:val="auto"/>
                      <w:kern w:val="2"/>
                      <w:sz w:val="18"/>
                      <w:szCs w:val="18"/>
                      <w:lang w:val="en-US" w:eastAsia="zh-CN" w:bidi="ar-SA"/>
                    </w:rPr>
                    <w:t>、DVT400x25-40、DVT630x31-40</w:t>
                  </w:r>
                </w:p>
              </w:tc>
              <w:tc>
                <w:tcPr>
                  <w:tcW w:w="620" w:type="pct"/>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4</w:t>
                  </w:r>
                </w:p>
              </w:tc>
              <w:tc>
                <w:tcPr>
                  <w:tcW w:w="61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4</w:t>
                  </w:r>
                </w:p>
              </w:tc>
              <w:tc>
                <w:tcPr>
                  <w:tcW w:w="475" w:type="pct"/>
                  <w:shd w:val="clear" w:color="auto" w:fill="auto"/>
                  <w:noWrap w:val="0"/>
                  <w:vAlign w:val="center"/>
                </w:tcPr>
                <w:p>
                  <w:pPr>
                    <w:jc w:val="center"/>
                    <w:rPr>
                      <w:rFonts w:hint="default" w:ascii="Times New Roman" w:hAnsi="Times New Roman" w:eastAsia="宋体" w:cs="Times New Roman"/>
                      <w:color w:val="auto"/>
                      <w:kern w:val="2"/>
                      <w:sz w:val="18"/>
                      <w:szCs w:val="18"/>
                      <w:lang w:val="en-US" w:eastAsia="zh-CN" w:bidi="ar-SA"/>
                    </w:rPr>
                  </w:pPr>
                  <w:r>
                    <w:rPr>
                      <w:color w:val="auto"/>
                      <w:sz w:val="18"/>
                      <w:szCs w:val="18"/>
                    </w:rPr>
                    <w:t>0</w:t>
                  </w:r>
                </w:p>
              </w:tc>
              <w:tc>
                <w:tcPr>
                  <w:tcW w:w="605" w:type="pct"/>
                  <w:noWrap w:val="0"/>
                  <w:vAlign w:val="center"/>
                </w:tcPr>
                <w:p>
                  <w:pPr>
                    <w:jc w:val="center"/>
                    <w:rPr>
                      <w:color w:val="auto"/>
                      <w:sz w:val="18"/>
                      <w:szCs w:val="18"/>
                    </w:rPr>
                  </w:pPr>
                  <w:r>
                    <w:rPr>
                      <w:rFonts w:hint="eastAsia"/>
                      <w:color w:val="auto"/>
                      <w:sz w:val="18"/>
                      <w:szCs w:val="18"/>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358" w:type="pct"/>
                  <w:shd w:val="clear" w:color="auto" w:fill="auto"/>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color w:val="auto"/>
                      <w:kern w:val="2"/>
                      <w:sz w:val="18"/>
                      <w:szCs w:val="18"/>
                      <w:lang w:val="en-US" w:eastAsia="zh-CN" w:bidi="ar-SA"/>
                    </w:rPr>
                    <w:t>34</w:t>
                  </w:r>
                </w:p>
              </w:tc>
              <w:tc>
                <w:tcPr>
                  <w:tcW w:w="1164" w:type="pct"/>
                  <w:noWrap w:val="0"/>
                  <w:vAlign w:val="center"/>
                </w:tcPr>
                <w:p>
                  <w:pPr>
                    <w:jc w:val="center"/>
                    <w:rPr>
                      <w:rFonts w:hint="eastAsia" w:ascii="Times New Roman" w:hAnsi="Times New Roman"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双柱立式车床</w:t>
                  </w:r>
                </w:p>
              </w:tc>
              <w:tc>
                <w:tcPr>
                  <w:tcW w:w="1158" w:type="pct"/>
                  <w:noWrap w:val="0"/>
                  <w:vAlign w:val="center"/>
                </w:tcPr>
                <w:p>
                  <w:pPr>
                    <w:jc w:val="center"/>
                    <w:rPr>
                      <w:rFonts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CK5240</w:t>
                  </w:r>
                  <w:r>
                    <w:rPr>
                      <w:rFonts w:hint="eastAsia" w:cs="Times New Roman"/>
                      <w:color w:val="auto"/>
                      <w:kern w:val="2"/>
                      <w:sz w:val="18"/>
                      <w:szCs w:val="18"/>
                      <w:lang w:val="en-US" w:eastAsia="zh-CN" w:bidi="ar-SA"/>
                    </w:rPr>
                    <w:t>x</w:t>
                  </w:r>
                  <w:r>
                    <w:rPr>
                      <w:rFonts w:hint="eastAsia" w:ascii="Times New Roman" w:hAnsi="Times New Roman" w:cs="Times New Roman"/>
                      <w:color w:val="auto"/>
                      <w:kern w:val="2"/>
                      <w:sz w:val="18"/>
                      <w:szCs w:val="18"/>
                      <w:lang w:val="en-US" w:eastAsia="zh-CN" w:bidi="ar-SA"/>
                    </w:rPr>
                    <w:t>25</w:t>
                  </w:r>
                  <w:r>
                    <w:rPr>
                      <w:rFonts w:hint="eastAsia" w:cs="Times New Roman"/>
                      <w:color w:val="auto"/>
                      <w:kern w:val="2"/>
                      <w:sz w:val="18"/>
                      <w:szCs w:val="18"/>
                      <w:lang w:val="en-US" w:eastAsia="zh-CN" w:bidi="ar-SA"/>
                    </w:rPr>
                    <w:t>、CK5250x25</w:t>
                  </w:r>
                </w:p>
              </w:tc>
              <w:tc>
                <w:tcPr>
                  <w:tcW w:w="620" w:type="pct"/>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6</w:t>
                  </w:r>
                </w:p>
              </w:tc>
              <w:tc>
                <w:tcPr>
                  <w:tcW w:w="61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6</w:t>
                  </w:r>
                </w:p>
              </w:tc>
              <w:tc>
                <w:tcPr>
                  <w:tcW w:w="475" w:type="pct"/>
                  <w:shd w:val="clear" w:color="auto" w:fill="auto"/>
                  <w:noWrap w:val="0"/>
                  <w:vAlign w:val="center"/>
                </w:tcPr>
                <w:p>
                  <w:pPr>
                    <w:jc w:val="center"/>
                    <w:rPr>
                      <w:rFonts w:hint="default" w:ascii="Times New Roman" w:hAnsi="Times New Roman" w:eastAsia="宋体" w:cs="Times New Roman"/>
                      <w:color w:val="auto"/>
                      <w:kern w:val="2"/>
                      <w:sz w:val="18"/>
                      <w:szCs w:val="18"/>
                      <w:lang w:val="en-US" w:eastAsia="zh-CN" w:bidi="ar-SA"/>
                    </w:rPr>
                  </w:pPr>
                  <w:r>
                    <w:rPr>
                      <w:color w:val="auto"/>
                      <w:sz w:val="18"/>
                      <w:szCs w:val="18"/>
                    </w:rPr>
                    <w:t>0</w:t>
                  </w:r>
                </w:p>
              </w:tc>
              <w:tc>
                <w:tcPr>
                  <w:tcW w:w="605" w:type="pct"/>
                  <w:noWrap w:val="0"/>
                  <w:vAlign w:val="center"/>
                </w:tcPr>
                <w:p>
                  <w:pPr>
                    <w:jc w:val="center"/>
                    <w:rPr>
                      <w:rFonts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358" w:type="pct"/>
                  <w:shd w:val="clear" w:color="auto" w:fill="auto"/>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color w:val="auto"/>
                      <w:kern w:val="2"/>
                      <w:sz w:val="18"/>
                      <w:szCs w:val="18"/>
                      <w:lang w:val="en-US" w:eastAsia="zh-CN" w:bidi="ar-SA"/>
                    </w:rPr>
                    <w:t>35</w:t>
                  </w:r>
                </w:p>
              </w:tc>
              <w:tc>
                <w:tcPr>
                  <w:tcW w:w="1164" w:type="pct"/>
                  <w:noWrap w:val="0"/>
                  <w:vAlign w:val="center"/>
                </w:tcPr>
                <w:p>
                  <w:pPr>
                    <w:jc w:val="center"/>
                    <w:rPr>
                      <w:rFonts w:hint="eastAsia" w:ascii="Times New Roman" w:hAnsi="Times New Roman"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普通车床</w:t>
                  </w:r>
                </w:p>
              </w:tc>
              <w:tc>
                <w:tcPr>
                  <w:tcW w:w="1158" w:type="pct"/>
                  <w:noWrap w:val="0"/>
                  <w:vAlign w:val="center"/>
                </w:tcPr>
                <w:p>
                  <w:pPr>
                    <w:jc w:val="center"/>
                    <w:rPr>
                      <w:rFonts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CW6163x3000</w:t>
                  </w:r>
                  <w:r>
                    <w:rPr>
                      <w:rFonts w:hint="eastAsia" w:cs="Times New Roman"/>
                      <w:color w:val="auto"/>
                      <w:kern w:val="2"/>
                      <w:sz w:val="18"/>
                      <w:szCs w:val="18"/>
                      <w:lang w:val="en-US" w:eastAsia="zh-CN" w:bidi="ar-SA"/>
                    </w:rPr>
                    <w:t>、CDE6150Ax2000</w:t>
                  </w:r>
                </w:p>
              </w:tc>
              <w:tc>
                <w:tcPr>
                  <w:tcW w:w="620" w:type="pct"/>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2</w:t>
                  </w:r>
                </w:p>
              </w:tc>
              <w:tc>
                <w:tcPr>
                  <w:tcW w:w="616" w:type="pct"/>
                  <w:noWrap w:val="0"/>
                  <w:vAlign w:val="center"/>
                </w:tcPr>
                <w:p>
                  <w:pPr>
                    <w:keepNext w:val="0"/>
                    <w:keepLines w:val="0"/>
                    <w:widowControl/>
                    <w:suppressLineNumbers w:val="0"/>
                    <w:jc w:val="center"/>
                    <w:textAlignment w:val="center"/>
                    <w:rPr>
                      <w:rFonts w:hint="eastAsia"/>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2</w:t>
                  </w:r>
                </w:p>
              </w:tc>
              <w:tc>
                <w:tcPr>
                  <w:tcW w:w="475"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color w:val="auto"/>
                      <w:sz w:val="18"/>
                      <w:szCs w:val="18"/>
                    </w:rPr>
                    <w:t>0</w:t>
                  </w:r>
                </w:p>
              </w:tc>
              <w:tc>
                <w:tcPr>
                  <w:tcW w:w="605" w:type="pct"/>
                  <w:noWrap w:val="0"/>
                  <w:vAlign w:val="center"/>
                </w:tcPr>
                <w:p>
                  <w:pPr>
                    <w:jc w:val="center"/>
                    <w:rPr>
                      <w:rFonts w:hint="eastAsia"/>
                      <w:color w:val="auto"/>
                      <w:sz w:val="18"/>
                      <w:szCs w:val="18"/>
                      <w:lang w:val="en-US" w:eastAsia="zh-CN"/>
                    </w:rPr>
                  </w:pPr>
                  <w:r>
                    <w:rPr>
                      <w:rFonts w:hint="eastAsia"/>
                      <w:color w:val="auto"/>
                      <w:sz w:val="18"/>
                      <w:szCs w:val="18"/>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358" w:type="pct"/>
                  <w:shd w:val="clear" w:color="auto" w:fill="auto"/>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color w:val="auto"/>
                      <w:kern w:val="2"/>
                      <w:sz w:val="18"/>
                      <w:szCs w:val="18"/>
                      <w:lang w:val="en-US" w:eastAsia="zh-CN" w:bidi="ar-SA"/>
                    </w:rPr>
                    <w:t>36</w:t>
                  </w:r>
                </w:p>
              </w:tc>
              <w:tc>
                <w:tcPr>
                  <w:tcW w:w="1164" w:type="pct"/>
                  <w:noWrap w:val="0"/>
                  <w:vAlign w:val="center"/>
                </w:tcPr>
                <w:p>
                  <w:pPr>
                    <w:jc w:val="center"/>
                    <w:rPr>
                      <w:rFonts w:hint="eastAsia" w:ascii="Times New Roman" w:hAnsi="Times New Roman"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液压牛头刨床</w:t>
                  </w:r>
                </w:p>
              </w:tc>
              <w:tc>
                <w:tcPr>
                  <w:tcW w:w="1158" w:type="pct"/>
                  <w:noWrap w:val="0"/>
                  <w:vAlign w:val="center"/>
                </w:tcPr>
                <w:p>
                  <w:pPr>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BYS60120</w:t>
                  </w:r>
                </w:p>
              </w:tc>
              <w:tc>
                <w:tcPr>
                  <w:tcW w:w="620" w:type="pct"/>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1</w:t>
                  </w:r>
                </w:p>
              </w:tc>
              <w:tc>
                <w:tcPr>
                  <w:tcW w:w="616" w:type="pct"/>
                  <w:noWrap w:val="0"/>
                  <w:vAlign w:val="center"/>
                </w:tcPr>
                <w:p>
                  <w:pPr>
                    <w:keepNext w:val="0"/>
                    <w:keepLines w:val="0"/>
                    <w:widowControl/>
                    <w:suppressLineNumbers w:val="0"/>
                    <w:jc w:val="center"/>
                    <w:textAlignment w:val="center"/>
                    <w:rPr>
                      <w:rFonts w:hint="eastAsia"/>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1</w:t>
                  </w:r>
                </w:p>
              </w:tc>
              <w:tc>
                <w:tcPr>
                  <w:tcW w:w="475"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color w:val="auto"/>
                      <w:sz w:val="18"/>
                      <w:szCs w:val="18"/>
                    </w:rPr>
                    <w:t>0</w:t>
                  </w:r>
                </w:p>
              </w:tc>
              <w:tc>
                <w:tcPr>
                  <w:tcW w:w="605" w:type="pct"/>
                  <w:noWrap w:val="0"/>
                  <w:vAlign w:val="center"/>
                </w:tcPr>
                <w:p>
                  <w:pPr>
                    <w:jc w:val="center"/>
                    <w:rPr>
                      <w:rFonts w:hint="eastAsia"/>
                      <w:color w:val="auto"/>
                      <w:sz w:val="18"/>
                      <w:szCs w:val="18"/>
                      <w:lang w:val="en-US" w:eastAsia="zh-CN"/>
                    </w:rPr>
                  </w:pPr>
                  <w:r>
                    <w:rPr>
                      <w:rFonts w:hint="eastAsia"/>
                      <w:color w:val="auto"/>
                      <w:sz w:val="18"/>
                      <w:szCs w:val="18"/>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358" w:type="pct"/>
                  <w:shd w:val="clear" w:color="auto" w:fill="auto"/>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color w:val="auto"/>
                      <w:kern w:val="2"/>
                      <w:sz w:val="18"/>
                      <w:szCs w:val="18"/>
                      <w:lang w:val="en-US" w:eastAsia="zh-CN" w:bidi="ar-SA"/>
                    </w:rPr>
                    <w:t>37</w:t>
                  </w:r>
                </w:p>
              </w:tc>
              <w:tc>
                <w:tcPr>
                  <w:tcW w:w="1164" w:type="pct"/>
                  <w:noWrap w:val="0"/>
                  <w:vAlign w:val="center"/>
                </w:tcPr>
                <w:p>
                  <w:pPr>
                    <w:jc w:val="center"/>
                    <w:rPr>
                      <w:rFonts w:hint="eastAsia" w:ascii="Times New Roman" w:hAnsi="Times New Roman"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摇臂钻床</w:t>
                  </w:r>
                </w:p>
              </w:tc>
              <w:tc>
                <w:tcPr>
                  <w:tcW w:w="1158" w:type="pct"/>
                  <w:noWrap w:val="0"/>
                  <w:vAlign w:val="center"/>
                </w:tcPr>
                <w:p>
                  <w:pPr>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S3080-25</w:t>
                  </w:r>
                </w:p>
              </w:tc>
              <w:tc>
                <w:tcPr>
                  <w:tcW w:w="620" w:type="pct"/>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1</w:t>
                  </w:r>
                </w:p>
              </w:tc>
              <w:tc>
                <w:tcPr>
                  <w:tcW w:w="616" w:type="pct"/>
                  <w:noWrap w:val="0"/>
                  <w:vAlign w:val="center"/>
                </w:tcPr>
                <w:p>
                  <w:pPr>
                    <w:keepNext w:val="0"/>
                    <w:keepLines w:val="0"/>
                    <w:widowControl/>
                    <w:suppressLineNumbers w:val="0"/>
                    <w:jc w:val="center"/>
                    <w:textAlignment w:val="center"/>
                    <w:rPr>
                      <w:rFonts w:hint="eastAsia"/>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1</w:t>
                  </w:r>
                </w:p>
              </w:tc>
              <w:tc>
                <w:tcPr>
                  <w:tcW w:w="475"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color w:val="auto"/>
                      <w:sz w:val="18"/>
                      <w:szCs w:val="18"/>
                    </w:rPr>
                    <w:t>0</w:t>
                  </w:r>
                </w:p>
              </w:tc>
              <w:tc>
                <w:tcPr>
                  <w:tcW w:w="605" w:type="pct"/>
                  <w:noWrap w:val="0"/>
                  <w:vAlign w:val="center"/>
                </w:tcPr>
                <w:p>
                  <w:pPr>
                    <w:jc w:val="center"/>
                    <w:rPr>
                      <w:rFonts w:hint="eastAsia"/>
                      <w:color w:val="auto"/>
                      <w:sz w:val="18"/>
                      <w:szCs w:val="18"/>
                      <w:lang w:val="en-US" w:eastAsia="zh-CN"/>
                    </w:rPr>
                  </w:pPr>
                  <w:r>
                    <w:rPr>
                      <w:rFonts w:hint="eastAsia"/>
                      <w:color w:val="auto"/>
                      <w:sz w:val="18"/>
                      <w:szCs w:val="18"/>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358" w:type="pct"/>
                  <w:shd w:val="clear" w:color="auto" w:fill="auto"/>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color w:val="auto"/>
                      <w:kern w:val="2"/>
                      <w:sz w:val="18"/>
                      <w:szCs w:val="18"/>
                      <w:lang w:val="en-US" w:eastAsia="zh-CN" w:bidi="ar-SA"/>
                    </w:rPr>
                    <w:t>38</w:t>
                  </w:r>
                </w:p>
              </w:tc>
              <w:tc>
                <w:tcPr>
                  <w:tcW w:w="1164" w:type="pct"/>
                  <w:noWrap w:val="0"/>
                  <w:vAlign w:val="center"/>
                </w:tcPr>
                <w:p>
                  <w:pPr>
                    <w:jc w:val="center"/>
                    <w:rPr>
                      <w:rFonts w:hint="eastAsia" w:ascii="Times New Roman" w:hAnsi="Times New Roman"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万能铣床</w:t>
                  </w:r>
                </w:p>
              </w:tc>
              <w:tc>
                <w:tcPr>
                  <w:tcW w:w="1158" w:type="pct"/>
                  <w:noWrap w:val="0"/>
                  <w:vAlign w:val="center"/>
                </w:tcPr>
                <w:p>
                  <w:pPr>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B1-400W</w:t>
                  </w:r>
                </w:p>
              </w:tc>
              <w:tc>
                <w:tcPr>
                  <w:tcW w:w="620" w:type="pct"/>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1</w:t>
                  </w:r>
                </w:p>
              </w:tc>
              <w:tc>
                <w:tcPr>
                  <w:tcW w:w="616" w:type="pct"/>
                  <w:noWrap w:val="0"/>
                  <w:vAlign w:val="center"/>
                </w:tcPr>
                <w:p>
                  <w:pPr>
                    <w:keepNext w:val="0"/>
                    <w:keepLines w:val="0"/>
                    <w:widowControl/>
                    <w:suppressLineNumbers w:val="0"/>
                    <w:jc w:val="center"/>
                    <w:textAlignment w:val="center"/>
                    <w:rPr>
                      <w:rFonts w:hint="eastAsia"/>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1</w:t>
                  </w:r>
                </w:p>
              </w:tc>
              <w:tc>
                <w:tcPr>
                  <w:tcW w:w="475"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color w:val="auto"/>
                      <w:sz w:val="18"/>
                      <w:szCs w:val="18"/>
                    </w:rPr>
                    <w:t>0</w:t>
                  </w:r>
                </w:p>
              </w:tc>
              <w:tc>
                <w:tcPr>
                  <w:tcW w:w="605" w:type="pct"/>
                  <w:noWrap w:val="0"/>
                  <w:vAlign w:val="center"/>
                </w:tcPr>
                <w:p>
                  <w:pPr>
                    <w:jc w:val="center"/>
                    <w:rPr>
                      <w:rFonts w:hint="eastAsia"/>
                      <w:color w:val="auto"/>
                      <w:sz w:val="18"/>
                      <w:szCs w:val="18"/>
                      <w:lang w:val="en-US" w:eastAsia="zh-CN"/>
                    </w:rPr>
                  </w:pPr>
                  <w:r>
                    <w:rPr>
                      <w:rFonts w:hint="eastAsia"/>
                      <w:color w:val="auto"/>
                      <w:sz w:val="18"/>
                      <w:szCs w:val="18"/>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358" w:type="pct"/>
                  <w:shd w:val="clear" w:color="auto" w:fill="auto"/>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color w:val="auto"/>
                      <w:kern w:val="2"/>
                      <w:sz w:val="18"/>
                      <w:szCs w:val="18"/>
                      <w:lang w:val="en-US" w:eastAsia="zh-CN" w:bidi="ar-SA"/>
                    </w:rPr>
                    <w:t>39</w:t>
                  </w:r>
                </w:p>
              </w:tc>
              <w:tc>
                <w:tcPr>
                  <w:tcW w:w="1164" w:type="pct"/>
                  <w:noWrap w:val="0"/>
                  <w:vAlign w:val="center"/>
                </w:tcPr>
                <w:p>
                  <w:pPr>
                    <w:jc w:val="center"/>
                    <w:rPr>
                      <w:rFonts w:hint="eastAsia" w:ascii="Times New Roman" w:hAnsi="Times New Roman"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铣床</w:t>
                  </w:r>
                </w:p>
              </w:tc>
              <w:tc>
                <w:tcPr>
                  <w:tcW w:w="1158" w:type="pct"/>
                  <w:noWrap w:val="0"/>
                  <w:vAlign w:val="center"/>
                </w:tcPr>
                <w:p>
                  <w:pPr>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X338-1A</w:t>
                  </w:r>
                </w:p>
              </w:tc>
              <w:tc>
                <w:tcPr>
                  <w:tcW w:w="620" w:type="pct"/>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1</w:t>
                  </w:r>
                </w:p>
              </w:tc>
              <w:tc>
                <w:tcPr>
                  <w:tcW w:w="616" w:type="pct"/>
                  <w:noWrap w:val="0"/>
                  <w:vAlign w:val="center"/>
                </w:tcPr>
                <w:p>
                  <w:pPr>
                    <w:keepNext w:val="0"/>
                    <w:keepLines w:val="0"/>
                    <w:widowControl/>
                    <w:suppressLineNumbers w:val="0"/>
                    <w:jc w:val="center"/>
                    <w:textAlignment w:val="center"/>
                    <w:rPr>
                      <w:rFonts w:hint="eastAsia"/>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1</w:t>
                  </w:r>
                </w:p>
              </w:tc>
              <w:tc>
                <w:tcPr>
                  <w:tcW w:w="475"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color w:val="auto"/>
                      <w:sz w:val="18"/>
                      <w:szCs w:val="18"/>
                    </w:rPr>
                    <w:t>0</w:t>
                  </w:r>
                </w:p>
              </w:tc>
              <w:tc>
                <w:tcPr>
                  <w:tcW w:w="605" w:type="pct"/>
                  <w:noWrap w:val="0"/>
                  <w:vAlign w:val="center"/>
                </w:tcPr>
                <w:p>
                  <w:pPr>
                    <w:jc w:val="center"/>
                    <w:rPr>
                      <w:rFonts w:hint="eastAsia"/>
                      <w:color w:val="auto"/>
                      <w:sz w:val="18"/>
                      <w:szCs w:val="18"/>
                      <w:lang w:val="en-US" w:eastAsia="zh-CN"/>
                    </w:rPr>
                  </w:pPr>
                  <w:r>
                    <w:rPr>
                      <w:rFonts w:hint="eastAsia"/>
                      <w:color w:val="auto"/>
                      <w:sz w:val="18"/>
                      <w:szCs w:val="18"/>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358" w:type="pct"/>
                  <w:shd w:val="clear" w:color="auto" w:fill="auto"/>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color w:val="auto"/>
                      <w:kern w:val="2"/>
                      <w:sz w:val="18"/>
                      <w:szCs w:val="18"/>
                      <w:lang w:val="en-US" w:eastAsia="zh-CN" w:bidi="ar-SA"/>
                    </w:rPr>
                    <w:t>40</w:t>
                  </w:r>
                </w:p>
              </w:tc>
              <w:tc>
                <w:tcPr>
                  <w:tcW w:w="1164" w:type="pct"/>
                  <w:noWrap w:val="0"/>
                  <w:vAlign w:val="center"/>
                </w:tcPr>
                <w:p>
                  <w:pPr>
                    <w:jc w:val="center"/>
                    <w:rPr>
                      <w:rFonts w:hint="eastAsia" w:ascii="Times New Roman" w:hAnsi="Times New Roman"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龙门铣</w:t>
                  </w:r>
                </w:p>
              </w:tc>
              <w:tc>
                <w:tcPr>
                  <w:tcW w:w="1158" w:type="pct"/>
                  <w:noWrap w:val="0"/>
                  <w:vAlign w:val="center"/>
                </w:tcPr>
                <w:p>
                  <w:pPr>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X40</w:t>
                  </w:r>
                  <w:r>
                    <w:rPr>
                      <w:rFonts w:hint="eastAsia" w:cs="Times New Roman"/>
                      <w:color w:val="auto"/>
                      <w:sz w:val="18"/>
                      <w:szCs w:val="18"/>
                      <w:lang w:val="en-US" w:eastAsia="zh-CN"/>
                    </w:rPr>
                    <w:t xml:space="preserve"> </w:t>
                  </w:r>
                  <w:r>
                    <w:rPr>
                      <w:rFonts w:hint="eastAsia" w:ascii="Times New Roman" w:hAnsi="Times New Roman" w:cs="Times New Roman"/>
                      <w:color w:val="auto"/>
                      <w:sz w:val="18"/>
                      <w:szCs w:val="18"/>
                      <w:lang w:val="en-US" w:eastAsia="zh-CN"/>
                    </w:rPr>
                    <w:t>4x2</w:t>
                  </w:r>
                  <w:r>
                    <w:rPr>
                      <w:rFonts w:hint="eastAsia" w:cs="Times New Roman"/>
                      <w:color w:val="auto"/>
                      <w:sz w:val="18"/>
                      <w:szCs w:val="18"/>
                      <w:lang w:val="en-US" w:eastAsia="zh-CN"/>
                    </w:rPr>
                    <w:t>.5</w:t>
                  </w:r>
                  <w:r>
                    <w:rPr>
                      <w:rFonts w:hint="eastAsia" w:ascii="Times New Roman" w:hAnsi="Times New Roman" w:cs="Times New Roman"/>
                      <w:color w:val="auto"/>
                      <w:sz w:val="18"/>
                      <w:szCs w:val="18"/>
                      <w:lang w:val="en-US" w:eastAsia="zh-CN"/>
                    </w:rPr>
                    <w:t>x1</w:t>
                  </w:r>
                  <w:r>
                    <w:rPr>
                      <w:rFonts w:hint="eastAsia" w:cs="Times New Roman"/>
                      <w:color w:val="auto"/>
                      <w:sz w:val="18"/>
                      <w:szCs w:val="18"/>
                      <w:lang w:val="en-US" w:eastAsia="zh-CN"/>
                    </w:rPr>
                    <w:t>.2</w:t>
                  </w:r>
                  <w:r>
                    <w:rPr>
                      <w:rFonts w:hint="eastAsia" w:ascii="Times New Roman" w:hAnsi="Times New Roman" w:cs="Times New Roman"/>
                      <w:color w:val="auto"/>
                      <w:sz w:val="18"/>
                      <w:szCs w:val="18"/>
                      <w:lang w:val="en-US" w:eastAsia="zh-CN"/>
                    </w:rPr>
                    <w:t>m</w:t>
                  </w:r>
                </w:p>
              </w:tc>
              <w:tc>
                <w:tcPr>
                  <w:tcW w:w="620" w:type="pct"/>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1</w:t>
                  </w:r>
                </w:p>
              </w:tc>
              <w:tc>
                <w:tcPr>
                  <w:tcW w:w="616" w:type="pct"/>
                  <w:noWrap w:val="0"/>
                  <w:vAlign w:val="center"/>
                </w:tcPr>
                <w:p>
                  <w:pPr>
                    <w:keepNext w:val="0"/>
                    <w:keepLines w:val="0"/>
                    <w:widowControl/>
                    <w:suppressLineNumbers w:val="0"/>
                    <w:jc w:val="center"/>
                    <w:textAlignment w:val="center"/>
                    <w:rPr>
                      <w:rFonts w:hint="eastAsia"/>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1</w:t>
                  </w:r>
                </w:p>
              </w:tc>
              <w:tc>
                <w:tcPr>
                  <w:tcW w:w="475"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color w:val="auto"/>
                      <w:sz w:val="18"/>
                      <w:szCs w:val="18"/>
                    </w:rPr>
                    <w:t>0</w:t>
                  </w:r>
                </w:p>
              </w:tc>
              <w:tc>
                <w:tcPr>
                  <w:tcW w:w="605" w:type="pct"/>
                  <w:noWrap w:val="0"/>
                  <w:vAlign w:val="center"/>
                </w:tcPr>
                <w:p>
                  <w:pPr>
                    <w:jc w:val="center"/>
                    <w:rPr>
                      <w:rFonts w:hint="eastAsia"/>
                      <w:color w:val="auto"/>
                      <w:sz w:val="18"/>
                      <w:szCs w:val="18"/>
                      <w:lang w:val="en-US" w:eastAsia="zh-CN"/>
                    </w:rPr>
                  </w:pPr>
                  <w:r>
                    <w:rPr>
                      <w:rFonts w:hint="eastAsia"/>
                      <w:color w:val="auto"/>
                      <w:sz w:val="18"/>
                      <w:szCs w:val="18"/>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358" w:type="pct"/>
                  <w:shd w:val="clear" w:color="auto" w:fill="auto"/>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color w:val="auto"/>
                      <w:kern w:val="2"/>
                      <w:sz w:val="18"/>
                      <w:szCs w:val="18"/>
                      <w:lang w:val="en-US" w:eastAsia="zh-CN" w:bidi="ar-SA"/>
                    </w:rPr>
                    <w:t>41</w:t>
                  </w:r>
                </w:p>
              </w:tc>
              <w:tc>
                <w:tcPr>
                  <w:tcW w:w="1164" w:type="pct"/>
                  <w:noWrap w:val="0"/>
                  <w:vAlign w:val="center"/>
                </w:tcPr>
                <w:p>
                  <w:pPr>
                    <w:jc w:val="center"/>
                    <w:rPr>
                      <w:rFonts w:hint="eastAsia" w:ascii="Times New Roman" w:hAnsi="Times New Roman"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单梁桥式起重机</w:t>
                  </w:r>
                </w:p>
              </w:tc>
              <w:tc>
                <w:tcPr>
                  <w:tcW w:w="1158" w:type="pct"/>
                  <w:noWrap w:val="0"/>
                  <w:vAlign w:val="center"/>
                </w:tcPr>
                <w:p>
                  <w:pPr>
                    <w:jc w:val="center"/>
                    <w:rPr>
                      <w:rFonts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16T单钩电动葫芦</w:t>
                  </w:r>
                  <w:r>
                    <w:rPr>
                      <w:rFonts w:hint="eastAsia" w:cs="Times New Roman"/>
                      <w:color w:val="auto"/>
                      <w:kern w:val="2"/>
                      <w:sz w:val="18"/>
                      <w:szCs w:val="18"/>
                      <w:lang w:val="en-US" w:eastAsia="zh-CN" w:bidi="ar-SA"/>
                    </w:rPr>
                    <w:t>、50-10T</w:t>
                  </w:r>
                </w:p>
              </w:tc>
              <w:tc>
                <w:tcPr>
                  <w:tcW w:w="620" w:type="pct"/>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3</w:t>
                  </w:r>
                </w:p>
              </w:tc>
              <w:tc>
                <w:tcPr>
                  <w:tcW w:w="616" w:type="pct"/>
                  <w:noWrap w:val="0"/>
                  <w:vAlign w:val="center"/>
                </w:tcPr>
                <w:p>
                  <w:pPr>
                    <w:keepNext w:val="0"/>
                    <w:keepLines w:val="0"/>
                    <w:widowControl/>
                    <w:suppressLineNumbers w:val="0"/>
                    <w:jc w:val="center"/>
                    <w:textAlignment w:val="center"/>
                    <w:rPr>
                      <w:rFonts w:hint="eastAsia"/>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3</w:t>
                  </w:r>
                </w:p>
              </w:tc>
              <w:tc>
                <w:tcPr>
                  <w:tcW w:w="475"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color w:val="auto"/>
                      <w:sz w:val="18"/>
                      <w:szCs w:val="18"/>
                    </w:rPr>
                    <w:t>0</w:t>
                  </w:r>
                </w:p>
              </w:tc>
              <w:tc>
                <w:tcPr>
                  <w:tcW w:w="605" w:type="pct"/>
                  <w:noWrap w:val="0"/>
                  <w:vAlign w:val="center"/>
                </w:tcPr>
                <w:p>
                  <w:pPr>
                    <w:jc w:val="center"/>
                    <w:rPr>
                      <w:rFonts w:hint="eastAsia"/>
                      <w:color w:val="auto"/>
                      <w:sz w:val="18"/>
                      <w:szCs w:val="18"/>
                      <w:lang w:val="en-US" w:eastAsia="zh-CN"/>
                    </w:rPr>
                  </w:pPr>
                  <w:r>
                    <w:rPr>
                      <w:rFonts w:hint="eastAsia"/>
                      <w:color w:val="auto"/>
                      <w:sz w:val="18"/>
                      <w:szCs w:val="18"/>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358" w:type="pct"/>
                  <w:shd w:val="clear" w:color="auto" w:fill="auto"/>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color w:val="auto"/>
                      <w:kern w:val="2"/>
                      <w:sz w:val="18"/>
                      <w:szCs w:val="18"/>
                      <w:lang w:val="en-US" w:eastAsia="zh-CN" w:bidi="ar-SA"/>
                    </w:rPr>
                    <w:t>42</w:t>
                  </w:r>
                </w:p>
              </w:tc>
              <w:tc>
                <w:tcPr>
                  <w:tcW w:w="1164"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双梁桥式起重机</w:t>
                  </w:r>
                </w:p>
              </w:tc>
              <w:tc>
                <w:tcPr>
                  <w:tcW w:w="1158" w:type="pct"/>
                  <w:noWrap w:val="0"/>
                  <w:vAlign w:val="center"/>
                </w:tcPr>
                <w:p>
                  <w:pPr>
                    <w:jc w:val="center"/>
                    <w:rPr>
                      <w:rFonts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50-10T</w:t>
                  </w:r>
                  <w:r>
                    <w:rPr>
                      <w:rFonts w:hint="eastAsia" w:cs="Times New Roman"/>
                      <w:color w:val="auto"/>
                      <w:kern w:val="2"/>
                      <w:sz w:val="18"/>
                      <w:szCs w:val="18"/>
                      <w:lang w:val="en-US" w:eastAsia="zh-CN" w:bidi="ar-SA"/>
                    </w:rPr>
                    <w:t>、32T、32-5T、50-10T、QD75T</w:t>
                  </w:r>
                </w:p>
              </w:tc>
              <w:tc>
                <w:tcPr>
                  <w:tcW w:w="620" w:type="pct"/>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4</w:t>
                  </w:r>
                </w:p>
              </w:tc>
              <w:tc>
                <w:tcPr>
                  <w:tcW w:w="616" w:type="pct"/>
                  <w:noWrap w:val="0"/>
                  <w:vAlign w:val="center"/>
                </w:tcPr>
                <w:p>
                  <w:pPr>
                    <w:keepNext w:val="0"/>
                    <w:keepLines w:val="0"/>
                    <w:widowControl/>
                    <w:suppressLineNumbers w:val="0"/>
                    <w:jc w:val="center"/>
                    <w:textAlignment w:val="center"/>
                    <w:rPr>
                      <w:rFonts w:hint="default"/>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5</w:t>
                  </w:r>
                </w:p>
              </w:tc>
              <w:tc>
                <w:tcPr>
                  <w:tcW w:w="475" w:type="pct"/>
                  <w:noWrap w:val="0"/>
                  <w:vAlign w:val="center"/>
                </w:tcPr>
                <w:p>
                  <w:pPr>
                    <w:jc w:val="center"/>
                    <w:rPr>
                      <w:rFonts w:hint="default" w:cs="Times New Roman"/>
                      <w:color w:val="auto"/>
                      <w:kern w:val="2"/>
                      <w:sz w:val="18"/>
                      <w:szCs w:val="18"/>
                      <w:lang w:val="en-US" w:eastAsia="zh-CN" w:bidi="ar-SA"/>
                    </w:rPr>
                  </w:pPr>
                  <w:r>
                    <w:rPr>
                      <w:rFonts w:hint="eastAsia"/>
                      <w:color w:val="auto"/>
                      <w:sz w:val="18"/>
                      <w:szCs w:val="18"/>
                      <w:lang w:val="en-US" w:eastAsia="zh-CN"/>
                    </w:rPr>
                    <w:t>+1</w:t>
                  </w:r>
                </w:p>
              </w:tc>
              <w:tc>
                <w:tcPr>
                  <w:tcW w:w="605" w:type="pct"/>
                  <w:noWrap w:val="0"/>
                  <w:vAlign w:val="center"/>
                </w:tcPr>
                <w:p>
                  <w:pPr>
                    <w:jc w:val="center"/>
                    <w:rPr>
                      <w:rFonts w:hint="eastAsia"/>
                      <w:color w:val="auto"/>
                      <w:sz w:val="18"/>
                      <w:szCs w:val="18"/>
                      <w:lang w:val="en-US" w:eastAsia="zh-CN"/>
                    </w:rPr>
                  </w:pPr>
                  <w:r>
                    <w:rPr>
                      <w:rFonts w:hint="eastAsia"/>
                      <w:color w:val="auto"/>
                      <w:sz w:val="18"/>
                      <w:szCs w:val="18"/>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358" w:type="pct"/>
                  <w:shd w:val="clear" w:color="auto" w:fill="auto"/>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color w:val="auto"/>
                      <w:kern w:val="2"/>
                      <w:sz w:val="18"/>
                      <w:szCs w:val="18"/>
                      <w:lang w:val="en-US" w:eastAsia="zh-CN" w:bidi="ar-SA"/>
                    </w:rPr>
                    <w:t>43</w:t>
                  </w:r>
                </w:p>
              </w:tc>
              <w:tc>
                <w:tcPr>
                  <w:tcW w:w="1164"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双柱卧式带锯床</w:t>
                  </w:r>
                </w:p>
              </w:tc>
              <w:tc>
                <w:tcPr>
                  <w:tcW w:w="1158"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G-2016E</w:t>
                  </w:r>
                </w:p>
              </w:tc>
              <w:tc>
                <w:tcPr>
                  <w:tcW w:w="620" w:type="pct"/>
                  <w:shd w:val="clear" w:color="auto" w:fill="auto"/>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0</w:t>
                  </w:r>
                </w:p>
              </w:tc>
              <w:tc>
                <w:tcPr>
                  <w:tcW w:w="616" w:type="pct"/>
                  <w:noWrap w:val="0"/>
                  <w:vAlign w:val="center"/>
                </w:tcPr>
                <w:p>
                  <w:pPr>
                    <w:keepNext w:val="0"/>
                    <w:keepLines w:val="0"/>
                    <w:widowControl/>
                    <w:suppressLineNumbers w:val="0"/>
                    <w:jc w:val="center"/>
                    <w:textAlignment w:val="center"/>
                    <w:rPr>
                      <w:rFonts w:hint="default"/>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5</w:t>
                  </w:r>
                </w:p>
              </w:tc>
              <w:tc>
                <w:tcPr>
                  <w:tcW w:w="475" w:type="pct"/>
                  <w:noWrap w:val="0"/>
                  <w:vAlign w:val="center"/>
                </w:tcPr>
                <w:p>
                  <w:pPr>
                    <w:jc w:val="center"/>
                    <w:rPr>
                      <w:rFonts w:hint="eastAsia" w:cs="Times New Roman"/>
                      <w:color w:val="auto"/>
                      <w:kern w:val="2"/>
                      <w:sz w:val="18"/>
                      <w:szCs w:val="18"/>
                      <w:lang w:val="en-US" w:eastAsia="zh-CN" w:bidi="ar-SA"/>
                    </w:rPr>
                  </w:pPr>
                  <w:r>
                    <w:rPr>
                      <w:rFonts w:hint="eastAsia"/>
                      <w:color w:val="auto"/>
                      <w:sz w:val="18"/>
                      <w:szCs w:val="18"/>
                      <w:lang w:val="en-US" w:eastAsia="zh-CN"/>
                    </w:rPr>
                    <w:t>+5</w:t>
                  </w:r>
                </w:p>
              </w:tc>
              <w:tc>
                <w:tcPr>
                  <w:tcW w:w="605" w:type="pct"/>
                  <w:noWrap w:val="0"/>
                  <w:vAlign w:val="center"/>
                </w:tcPr>
                <w:p>
                  <w:pPr>
                    <w:jc w:val="center"/>
                    <w:rPr>
                      <w:rFonts w:hint="eastAsia"/>
                      <w:color w:val="auto"/>
                      <w:sz w:val="18"/>
                      <w:szCs w:val="18"/>
                      <w:lang w:val="en-US" w:eastAsia="zh-CN"/>
                    </w:rPr>
                  </w:pPr>
                  <w:r>
                    <w:rPr>
                      <w:rFonts w:hint="eastAsia"/>
                      <w:color w:val="auto"/>
                      <w:sz w:val="18"/>
                      <w:szCs w:val="18"/>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358"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color w:val="auto"/>
                      <w:kern w:val="2"/>
                      <w:sz w:val="18"/>
                      <w:szCs w:val="18"/>
                      <w:lang w:val="en-US" w:eastAsia="zh-CN" w:bidi="ar-SA"/>
                    </w:rPr>
                    <w:t>44</w:t>
                  </w:r>
                </w:p>
              </w:tc>
              <w:tc>
                <w:tcPr>
                  <w:tcW w:w="1164" w:type="pct"/>
                  <w:shd w:val="clear" w:color="auto" w:fill="FFFFFF"/>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数控重型卧车</w:t>
                  </w:r>
                </w:p>
              </w:tc>
              <w:tc>
                <w:tcPr>
                  <w:tcW w:w="1158"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CK61315-6、CK61360-6、CKF6135*60*40、CKF6120*60*40</w:t>
                  </w:r>
                </w:p>
              </w:tc>
              <w:tc>
                <w:tcPr>
                  <w:tcW w:w="620"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eastAsia="宋体" w:cs="Times New Roman"/>
                      <w:color w:val="auto"/>
                      <w:sz w:val="18"/>
                      <w:szCs w:val="18"/>
                      <w:lang w:val="en-US" w:eastAsia="zh-CN"/>
                    </w:rPr>
                    <w:t>0</w:t>
                  </w:r>
                </w:p>
              </w:tc>
              <w:tc>
                <w:tcPr>
                  <w:tcW w:w="616" w:type="pct"/>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8</w:t>
                  </w:r>
                </w:p>
              </w:tc>
              <w:tc>
                <w:tcPr>
                  <w:tcW w:w="475"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+8</w:t>
                  </w:r>
                </w:p>
              </w:tc>
              <w:tc>
                <w:tcPr>
                  <w:tcW w:w="605" w:type="pct"/>
                  <w:noWrap w:val="0"/>
                  <w:vAlign w:val="center"/>
                </w:tcPr>
                <w:p>
                  <w:pPr>
                    <w:jc w:val="center"/>
                    <w:rPr>
                      <w:rFonts w:hint="eastAsia"/>
                      <w:color w:val="auto"/>
                      <w:sz w:val="18"/>
                      <w:szCs w:val="18"/>
                      <w:lang w:val="en-US" w:eastAsia="zh-CN"/>
                    </w:rPr>
                  </w:pPr>
                  <w:r>
                    <w:rPr>
                      <w:rFonts w:hint="eastAsia"/>
                      <w:color w:val="auto"/>
                      <w:sz w:val="18"/>
                      <w:szCs w:val="18"/>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0" w:type="auto"/>
                  <w:shd w:val="clear" w:color="auto" w:fill="auto"/>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color w:val="auto"/>
                      <w:kern w:val="2"/>
                      <w:sz w:val="18"/>
                      <w:szCs w:val="18"/>
                      <w:lang w:val="en-US" w:eastAsia="zh-CN" w:bidi="ar-SA"/>
                    </w:rPr>
                    <w:t>45</w:t>
                  </w:r>
                </w:p>
              </w:tc>
              <w:tc>
                <w:tcPr>
                  <w:tcW w:w="0" w:type="auto"/>
                  <w:shd w:val="clear" w:color="auto" w:fill="FFFFFF"/>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数控立车</w:t>
                  </w:r>
                </w:p>
              </w:tc>
              <w:tc>
                <w:tcPr>
                  <w:tcW w:w="0" w:type="auto"/>
                  <w:shd w:val="clear" w:color="auto" w:fill="auto"/>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CK5263X50/100、CK5243*40-32立车</w:t>
                  </w:r>
                </w:p>
              </w:tc>
              <w:tc>
                <w:tcPr>
                  <w:tcW w:w="620" w:type="pct"/>
                  <w:shd w:val="clear" w:color="auto" w:fill="auto"/>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eastAsia="宋体" w:cs="Times New Roman"/>
                      <w:color w:val="auto"/>
                      <w:sz w:val="18"/>
                      <w:szCs w:val="18"/>
                      <w:lang w:val="en-US" w:eastAsia="zh-CN"/>
                    </w:rPr>
                    <w:t>0</w:t>
                  </w:r>
                </w:p>
              </w:tc>
              <w:tc>
                <w:tcPr>
                  <w:tcW w:w="616" w:type="pct"/>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4</w:t>
                  </w:r>
                </w:p>
              </w:tc>
              <w:tc>
                <w:tcPr>
                  <w:tcW w:w="475" w:type="pct"/>
                  <w:shd w:val="clear" w:color="auto" w:fill="auto"/>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+4</w:t>
                  </w:r>
                </w:p>
              </w:tc>
              <w:tc>
                <w:tcPr>
                  <w:tcW w:w="0" w:type="auto"/>
                </w:tcPr>
                <w:p>
                  <w:pPr>
                    <w:jc w:val="center"/>
                    <w:rPr>
                      <w:rFonts w:hint="eastAsia"/>
                      <w:color w:val="auto"/>
                      <w:sz w:val="18"/>
                      <w:szCs w:val="18"/>
                      <w:lang w:val="en-US" w:eastAsia="zh-CN"/>
                    </w:rPr>
                  </w:pPr>
                  <w:r>
                    <w:rPr>
                      <w:rFonts w:hint="eastAsia"/>
                      <w:color w:val="auto"/>
                      <w:sz w:val="18"/>
                      <w:szCs w:val="18"/>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0" w:type="auto"/>
                  <w:shd w:val="clear" w:color="auto" w:fill="auto"/>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color w:val="auto"/>
                      <w:kern w:val="2"/>
                      <w:sz w:val="18"/>
                      <w:szCs w:val="18"/>
                      <w:lang w:val="en-US" w:eastAsia="zh-CN" w:bidi="ar-SA"/>
                    </w:rPr>
                    <w:t>46</w:t>
                  </w:r>
                </w:p>
              </w:tc>
              <w:tc>
                <w:tcPr>
                  <w:tcW w:w="0" w:type="auto"/>
                  <w:shd w:val="clear" w:color="auto" w:fill="FFFFFF"/>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数控立式车床</w:t>
                  </w:r>
                </w:p>
              </w:tc>
              <w:tc>
                <w:tcPr>
                  <w:tcW w:w="0" w:type="auto"/>
                  <w:shd w:val="clear" w:color="auto" w:fill="auto"/>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CV8080E</w:t>
                  </w:r>
                </w:p>
              </w:tc>
              <w:tc>
                <w:tcPr>
                  <w:tcW w:w="620" w:type="pct"/>
                  <w:shd w:val="clear" w:color="auto" w:fill="auto"/>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eastAsia="宋体" w:cs="Times New Roman"/>
                      <w:color w:val="auto"/>
                      <w:sz w:val="18"/>
                      <w:szCs w:val="18"/>
                      <w:lang w:val="en-US" w:eastAsia="zh-CN"/>
                    </w:rPr>
                    <w:t>0</w:t>
                  </w:r>
                </w:p>
              </w:tc>
              <w:tc>
                <w:tcPr>
                  <w:tcW w:w="616" w:type="pct"/>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w:t>
                  </w:r>
                </w:p>
              </w:tc>
              <w:tc>
                <w:tcPr>
                  <w:tcW w:w="475" w:type="pct"/>
                  <w:shd w:val="clear" w:color="auto" w:fill="auto"/>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+1</w:t>
                  </w:r>
                </w:p>
              </w:tc>
              <w:tc>
                <w:tcPr>
                  <w:tcW w:w="0" w:type="auto"/>
                </w:tcPr>
                <w:p>
                  <w:pPr>
                    <w:jc w:val="center"/>
                    <w:rPr>
                      <w:rFonts w:hint="eastAsia"/>
                      <w:color w:val="auto"/>
                      <w:sz w:val="18"/>
                      <w:szCs w:val="18"/>
                      <w:lang w:val="en-US" w:eastAsia="zh-CN"/>
                    </w:rPr>
                  </w:pPr>
                  <w:r>
                    <w:rPr>
                      <w:rFonts w:hint="eastAsia"/>
                      <w:color w:val="auto"/>
                      <w:sz w:val="18"/>
                      <w:szCs w:val="18"/>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0" w:type="auto"/>
                  <w:tcBorders>
                    <w:bottom w:val="single" w:color="auto" w:sz="12" w:space="0"/>
                  </w:tcBorders>
                  <w:shd w:val="clear" w:color="auto" w:fill="auto"/>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color w:val="auto"/>
                      <w:kern w:val="2"/>
                      <w:sz w:val="18"/>
                      <w:szCs w:val="18"/>
                      <w:lang w:val="en-US" w:eastAsia="zh-CN" w:bidi="ar-SA"/>
                    </w:rPr>
                    <w:t>47</w:t>
                  </w:r>
                </w:p>
              </w:tc>
              <w:tc>
                <w:tcPr>
                  <w:tcW w:w="0" w:type="auto"/>
                  <w:tcBorders>
                    <w:bottom w:val="single" w:color="auto" w:sz="12" w:space="0"/>
                  </w:tcBorders>
                  <w:shd w:val="clear" w:color="auto" w:fill="FFFFFF"/>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刨台式镗铣床</w:t>
                  </w:r>
                </w:p>
              </w:tc>
              <w:tc>
                <w:tcPr>
                  <w:tcW w:w="0" w:type="auto"/>
                  <w:tcBorders>
                    <w:bottom w:val="single" w:color="auto" w:sz="12" w:space="0"/>
                  </w:tcBorders>
                  <w:shd w:val="clear" w:color="auto" w:fill="auto"/>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TK6516、TK6516B</w:t>
                  </w:r>
                </w:p>
              </w:tc>
              <w:tc>
                <w:tcPr>
                  <w:tcW w:w="620" w:type="pct"/>
                  <w:tcBorders>
                    <w:bottom w:val="single" w:color="auto" w:sz="12" w:space="0"/>
                  </w:tcBorders>
                  <w:shd w:val="clear" w:color="auto" w:fill="auto"/>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eastAsia="宋体" w:cs="Times New Roman"/>
                      <w:color w:val="auto"/>
                      <w:sz w:val="18"/>
                      <w:szCs w:val="18"/>
                      <w:lang w:val="en-US" w:eastAsia="zh-CN"/>
                    </w:rPr>
                    <w:t>0</w:t>
                  </w:r>
                </w:p>
              </w:tc>
              <w:tc>
                <w:tcPr>
                  <w:tcW w:w="616" w:type="pct"/>
                  <w:tcBorders>
                    <w:bottom w:val="single" w:color="auto" w:sz="12"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4</w:t>
                  </w:r>
                </w:p>
              </w:tc>
              <w:tc>
                <w:tcPr>
                  <w:tcW w:w="475" w:type="pct"/>
                  <w:tcBorders>
                    <w:bottom w:val="single" w:color="auto" w:sz="12" w:space="0"/>
                  </w:tcBorders>
                  <w:shd w:val="clear" w:color="auto" w:fill="auto"/>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+4</w:t>
                  </w:r>
                </w:p>
              </w:tc>
              <w:tc>
                <w:tcPr>
                  <w:tcW w:w="0" w:type="auto"/>
                  <w:tcBorders>
                    <w:bottom w:val="single" w:color="auto" w:sz="12" w:space="0"/>
                  </w:tcBorders>
                </w:tcPr>
                <w:p>
                  <w:pPr>
                    <w:jc w:val="center"/>
                    <w:rPr>
                      <w:rFonts w:hint="eastAsia"/>
                      <w:color w:val="auto"/>
                      <w:sz w:val="18"/>
                      <w:szCs w:val="18"/>
                      <w:lang w:val="en-US" w:eastAsia="zh-CN"/>
                    </w:rPr>
                  </w:pPr>
                  <w:r>
                    <w:rPr>
                      <w:rFonts w:hint="eastAsia"/>
                      <w:color w:val="auto"/>
                      <w:sz w:val="18"/>
                      <w:szCs w:val="18"/>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000" w:type="pct"/>
                  <w:gridSpan w:val="7"/>
                  <w:tcBorders>
                    <w:top w:val="single" w:color="auto" w:sz="12" w:space="0"/>
                  </w:tcBorders>
                  <w:shd w:val="clear" w:color="auto" w:fill="auto"/>
                  <w:vAlign w:val="center"/>
                </w:tcPr>
                <w:p>
                  <w:pPr>
                    <w:jc w:val="left"/>
                    <w:rPr>
                      <w:rFonts w:hint="eastAsia"/>
                      <w:color w:val="auto"/>
                      <w:sz w:val="18"/>
                      <w:szCs w:val="18"/>
                      <w:lang w:val="en-US" w:eastAsia="zh-CN"/>
                    </w:rPr>
                  </w:pPr>
                  <w:r>
                    <w:rPr>
                      <w:rFonts w:hint="eastAsia"/>
                      <w:color w:val="auto"/>
                      <w:sz w:val="18"/>
                      <w:szCs w:val="18"/>
                      <w:lang w:val="en-US" w:eastAsia="zh-CN"/>
                    </w:rPr>
                    <w:t>注：所有生产设备24小时运行。</w:t>
                  </w:r>
                </w:p>
              </w:tc>
            </w:tr>
          </w:tbl>
          <w:p>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jc w:val="left"/>
              <w:textAlignment w:val="auto"/>
              <w:rPr>
                <w:rFonts w:hint="eastAsia"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对照《产业结构调整指导目录（2024年本 ）》淘汰类落后生产工艺装备、《高耗能落后机电设备（产品）淘汰目录》（第一批）、《高耗能落后机电设备（产品）淘汰目录》（第二批）、《高耗能落后机电设备（产品）淘汰目录》（第三批）、《高耗能落后机电设备（产品）淘汰目录》（第四批）分析，全厂设备均不在目录中，不属于淘汰设备。</w:t>
            </w:r>
          </w:p>
          <w:p>
            <w:pPr>
              <w:keepNext w:val="0"/>
              <w:keepLines w:val="0"/>
              <w:pageBreakBefore w:val="0"/>
              <w:widowControl w:val="0"/>
              <w:kinsoku/>
              <w:wordWrap/>
              <w:overflowPunct/>
              <w:topLinePunct w:val="0"/>
              <w:autoSpaceDE/>
              <w:autoSpaceDN/>
              <w:bidi w:val="0"/>
              <w:adjustRightInd w:val="0"/>
              <w:snapToGrid w:val="0"/>
              <w:spacing w:line="500" w:lineRule="exact"/>
              <w:ind w:firstLine="422" w:firstLineChars="200"/>
              <w:jc w:val="left"/>
              <w:textAlignment w:val="auto"/>
              <w:rPr>
                <w:rFonts w:hint="eastAsia"/>
                <w:b/>
                <w:bCs/>
                <w:color w:val="auto"/>
                <w:szCs w:val="21"/>
              </w:rPr>
            </w:pPr>
            <w:r>
              <w:rPr>
                <w:rFonts w:hint="eastAsia"/>
                <w:b/>
                <w:bCs/>
                <w:color w:val="auto"/>
                <w:szCs w:val="21"/>
                <w:lang w:eastAsia="zh-CN"/>
              </w:rPr>
              <w:t>本项目改扩建前后天然气能耗</w:t>
            </w:r>
            <w:r>
              <w:rPr>
                <w:b/>
                <w:bCs/>
                <w:color w:val="auto"/>
                <w:szCs w:val="21"/>
              </w:rPr>
              <w:t>分析</w:t>
            </w:r>
          </w:p>
          <w:p>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jc w:val="left"/>
              <w:textAlignment w:val="auto"/>
              <w:rPr>
                <w:rFonts w:hint="eastAsia"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全厂进行设备改扩建的具体情况如下：</w:t>
            </w:r>
          </w:p>
          <w:p>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jc w:val="left"/>
              <w:textAlignment w:val="auto"/>
              <w:rPr>
                <w:rFonts w:hint="eastAsia"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公司在主要生产设备方面，淘汰了2台旧的室式加热炉，并购置了1台新式室式加热炉进行替换；同时淘汰了1台台车式退火炉和6台电热处理炉，并购置了1台淬火电炉和1台回火电炉进行替换。</w:t>
            </w:r>
          </w:p>
          <w:p>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jc w:val="left"/>
              <w:textAlignment w:val="auto"/>
              <w:rPr>
                <w:rFonts w:hint="eastAsia"/>
                <w:color w:val="auto"/>
              </w:rPr>
            </w:pPr>
            <w:r>
              <w:rPr>
                <w:rFonts w:hint="eastAsia" w:ascii="Times New Roman" w:hAnsi="Times New Roman" w:eastAsia="宋体" w:cs="Times New Roman"/>
                <w:b w:val="0"/>
                <w:bCs w:val="0"/>
                <w:color w:val="auto"/>
                <w:szCs w:val="21"/>
                <w:lang w:val="en-US" w:eastAsia="zh-CN"/>
              </w:rPr>
              <w:t>公司在辅助设备的改造方面，淘汰了室式加热炉配套的引风机电机1套、钢丝绳式电动葫芦1套；10T取料机配套的大车电机1套、小车电机1套、油泵电机1套；碾环机的油泵电机5套、直流电机4套、小油泵电机1套、水泵电机1套；台车电机6套；50T操作机配套的电机1套；卧式车床配套的电机1套，</w:t>
            </w:r>
            <w:r>
              <w:rPr>
                <w:rFonts w:hint="eastAsia" w:ascii="Times New Roman" w:hAnsi="Times New Roman" w:eastAsia="宋体" w:cs="Times New Roman"/>
                <w:b w:val="0"/>
                <w:bCs w:val="0"/>
                <w:color w:val="auto"/>
                <w:kern w:val="2"/>
                <w:sz w:val="21"/>
                <w:szCs w:val="21"/>
                <w:lang w:val="en-US" w:eastAsia="zh-CN" w:bidi="ar-SA"/>
              </w:rPr>
              <w:t>新增24套更节能的辅助</w:t>
            </w:r>
            <w:r>
              <w:rPr>
                <w:rFonts w:hint="eastAsia" w:ascii="Times New Roman" w:hAnsi="Times New Roman" w:eastAsia="宋体" w:cs="Times New Roman"/>
                <w:b w:val="0"/>
                <w:bCs w:val="0"/>
                <w:color w:val="auto"/>
                <w:szCs w:val="21"/>
                <w:lang w:val="en-US" w:eastAsia="zh-CN"/>
              </w:rPr>
              <w:t>电</w:t>
            </w:r>
            <w:r>
              <w:rPr>
                <w:rFonts w:hint="eastAsia" w:ascii="Times New Roman" w:hAnsi="Times New Roman" w:eastAsia="宋体" w:cs="Times New Roman"/>
                <w:b w:val="0"/>
                <w:bCs w:val="0"/>
                <w:color w:val="auto"/>
                <w:kern w:val="2"/>
                <w:sz w:val="21"/>
                <w:szCs w:val="21"/>
                <w:lang w:val="en-US" w:eastAsia="zh-CN" w:bidi="ar-SA"/>
              </w:rPr>
              <w:t>机</w:t>
            </w:r>
            <w:r>
              <w:rPr>
                <w:rFonts w:hint="eastAsia" w:ascii="Times New Roman" w:hAnsi="Times New Roman" w:eastAsia="宋体" w:cs="Times New Roman"/>
                <w:b w:val="0"/>
                <w:bCs w:val="0"/>
                <w:color w:val="auto"/>
                <w:szCs w:val="21"/>
                <w:lang w:val="en-US" w:eastAsia="zh-CN"/>
              </w:rPr>
              <w:t>。本次改造共淘汰配套辅助设备24套、主要设备9套，总计淘汰33套设备。</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00" w:lineRule="exact"/>
              <w:ind w:left="0" w:right="0" w:firstLine="420" w:firstLineChars="200"/>
              <w:jc w:val="left"/>
              <w:textAlignment w:val="auto"/>
              <w:rPr>
                <w:rFonts w:hint="default" w:ascii="Times New Roman" w:hAnsi="Times New Roman" w:eastAsia="宋体" w:cs="Times New Roman"/>
                <w:b w:val="0"/>
                <w:bCs/>
                <w:color w:val="FF0000"/>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本项目对使用天然气的设备进行了如</w:t>
            </w:r>
            <w:r>
              <w:rPr>
                <w:rFonts w:hint="eastAsia" w:ascii="Times New Roman" w:hAnsi="Times New Roman" w:cs="Times New Roman"/>
                <w:b w:val="0"/>
                <w:bCs/>
                <w:color w:val="auto"/>
                <w:kern w:val="2"/>
                <w:sz w:val="21"/>
                <w:szCs w:val="21"/>
                <w:lang w:val="en-US" w:eastAsia="zh-CN" w:bidi="ar-SA"/>
              </w:rPr>
              <w:t>下改造：</w:t>
            </w:r>
            <w:r>
              <w:rPr>
                <w:rFonts w:hint="eastAsia" w:ascii="Times New Roman" w:hAnsi="Times New Roman" w:eastAsia="宋体" w:cs="Times New Roman"/>
                <w:b w:val="0"/>
                <w:bCs/>
                <w:color w:val="auto"/>
                <w:kern w:val="2"/>
                <w:sz w:val="21"/>
                <w:szCs w:val="21"/>
                <w:lang w:val="en-US" w:eastAsia="zh-CN" w:bidi="ar-SA"/>
              </w:rPr>
              <w:t>淘汰两台耗能180万</w:t>
            </w:r>
            <w:r>
              <w:rPr>
                <w:rFonts w:hint="default" w:ascii="Times New Roman" w:hAnsi="Times New Roman" w:eastAsia="宋体" w:cs="Times New Roman"/>
                <w:b w:val="0"/>
                <w:bCs/>
                <w:color w:val="auto"/>
                <w:kern w:val="2"/>
                <w:sz w:val="21"/>
                <w:szCs w:val="21"/>
                <w:lang w:val="en-US" w:eastAsia="zh-CN" w:bidi="ar-SA"/>
              </w:rPr>
              <w:t>m³/a</w:t>
            </w:r>
            <w:r>
              <w:rPr>
                <w:rFonts w:hint="eastAsia" w:ascii="Times New Roman" w:hAnsi="Times New Roman" w:eastAsia="宋体" w:cs="Times New Roman"/>
                <w:b w:val="0"/>
                <w:bCs/>
                <w:color w:val="auto"/>
                <w:kern w:val="2"/>
                <w:sz w:val="21"/>
                <w:szCs w:val="21"/>
                <w:lang w:val="en-US" w:eastAsia="zh-CN" w:bidi="ar-SA"/>
              </w:rPr>
              <w:t>室式加热炉</w:t>
            </w:r>
            <w:r>
              <w:rPr>
                <w:rFonts w:hint="eastAsia" w:ascii="Times New Roman" w:hAnsi="Times New Roman" w:cs="Times New Roman"/>
                <w:b w:val="0"/>
                <w:bCs/>
                <w:color w:val="auto"/>
                <w:kern w:val="2"/>
                <w:sz w:val="21"/>
                <w:szCs w:val="21"/>
                <w:lang w:val="en-US" w:eastAsia="zh-CN" w:bidi="ar-SA"/>
              </w:rPr>
              <w:t>购置</w:t>
            </w:r>
            <w:r>
              <w:rPr>
                <w:rFonts w:hint="eastAsia" w:ascii="Times New Roman" w:hAnsi="Times New Roman" w:eastAsia="宋体" w:cs="Times New Roman"/>
                <w:b w:val="0"/>
                <w:bCs/>
                <w:color w:val="auto"/>
                <w:kern w:val="2"/>
                <w:sz w:val="21"/>
                <w:szCs w:val="21"/>
                <w:lang w:val="en-US" w:eastAsia="zh-CN" w:bidi="ar-SA"/>
              </w:rPr>
              <w:t>一台耗能</w:t>
            </w:r>
            <w:r>
              <w:rPr>
                <w:rFonts w:hint="eastAsia" w:ascii="Times New Roman" w:hAnsi="Times New Roman" w:cs="Times New Roman"/>
                <w:b w:val="0"/>
                <w:bCs/>
                <w:color w:val="auto"/>
                <w:kern w:val="2"/>
                <w:sz w:val="21"/>
                <w:szCs w:val="21"/>
                <w:lang w:val="en-US" w:eastAsia="zh-CN" w:bidi="ar-SA"/>
              </w:rPr>
              <w:t>129.6</w:t>
            </w:r>
            <w:r>
              <w:rPr>
                <w:rFonts w:hint="eastAsia" w:ascii="Times New Roman" w:hAnsi="Times New Roman" w:eastAsia="宋体" w:cs="Times New Roman"/>
                <w:b w:val="0"/>
                <w:bCs/>
                <w:color w:val="auto"/>
                <w:kern w:val="2"/>
                <w:sz w:val="21"/>
                <w:szCs w:val="21"/>
                <w:lang w:val="en-US" w:eastAsia="zh-CN" w:bidi="ar-SA"/>
              </w:rPr>
              <w:t>万</w:t>
            </w:r>
            <w:r>
              <w:rPr>
                <w:rFonts w:hint="default" w:ascii="Times New Roman" w:hAnsi="Times New Roman" w:eastAsia="宋体" w:cs="Times New Roman"/>
                <w:b w:val="0"/>
                <w:bCs/>
                <w:color w:val="auto"/>
                <w:kern w:val="2"/>
                <w:sz w:val="21"/>
                <w:szCs w:val="21"/>
                <w:lang w:val="en-US" w:eastAsia="zh-CN" w:bidi="ar-SA"/>
              </w:rPr>
              <w:t>m³/a</w:t>
            </w:r>
            <w:r>
              <w:rPr>
                <w:rFonts w:hint="eastAsia" w:ascii="Times New Roman" w:hAnsi="Times New Roman" w:eastAsia="宋体" w:cs="Times New Roman"/>
                <w:b w:val="0"/>
                <w:bCs/>
                <w:color w:val="auto"/>
                <w:kern w:val="2"/>
                <w:sz w:val="21"/>
                <w:szCs w:val="21"/>
                <w:lang w:val="en-US" w:eastAsia="zh-CN" w:bidi="ar-SA"/>
              </w:rPr>
              <w:t>室式加热炉</w:t>
            </w:r>
            <w:r>
              <w:rPr>
                <w:rFonts w:hint="eastAsia" w:ascii="Times New Roman" w:hAnsi="Times New Roman" w:cs="Times New Roman"/>
                <w:b w:val="0"/>
                <w:bCs/>
                <w:color w:val="auto"/>
                <w:kern w:val="2"/>
                <w:sz w:val="21"/>
                <w:szCs w:val="21"/>
                <w:lang w:val="en-US" w:eastAsia="zh-CN" w:bidi="ar-SA"/>
              </w:rPr>
              <w:t>替换</w:t>
            </w:r>
            <w:r>
              <w:rPr>
                <w:rFonts w:hint="eastAsia" w:ascii="Times New Roman" w:hAnsi="Times New Roman" w:eastAsia="宋体" w:cs="Times New Roman"/>
                <w:b w:val="0"/>
                <w:bCs/>
                <w:color w:val="auto"/>
                <w:kern w:val="2"/>
                <w:sz w:val="21"/>
                <w:szCs w:val="21"/>
                <w:lang w:val="en-US" w:eastAsia="zh-CN" w:bidi="ar-SA"/>
              </w:rPr>
              <w:t>，改造后相较于原来虽然单台设备耗能有所增加，但由于产能提升，整体上减少了</w:t>
            </w:r>
            <w:r>
              <w:rPr>
                <w:rFonts w:hint="eastAsia" w:ascii="Times New Roman" w:hAnsi="Times New Roman" w:cs="Times New Roman"/>
                <w:b w:val="0"/>
                <w:bCs/>
                <w:color w:val="auto"/>
                <w:kern w:val="2"/>
                <w:sz w:val="21"/>
                <w:szCs w:val="21"/>
                <w:lang w:val="en-US" w:eastAsia="zh-CN" w:bidi="ar-SA"/>
              </w:rPr>
              <w:t>230.4</w:t>
            </w:r>
            <w:r>
              <w:rPr>
                <w:rFonts w:hint="eastAsia" w:ascii="Times New Roman" w:hAnsi="Times New Roman" w:eastAsia="宋体" w:cs="Times New Roman"/>
                <w:b w:val="0"/>
                <w:bCs/>
                <w:color w:val="auto"/>
                <w:kern w:val="2"/>
                <w:sz w:val="21"/>
                <w:szCs w:val="21"/>
                <w:lang w:val="en-US" w:eastAsia="zh-CN" w:bidi="ar-SA"/>
              </w:rPr>
              <w:t>万</w:t>
            </w:r>
            <w:r>
              <w:rPr>
                <w:rFonts w:hint="default" w:ascii="Times New Roman" w:hAnsi="Times New Roman" w:eastAsia="宋体" w:cs="Times New Roman"/>
                <w:b w:val="0"/>
                <w:bCs/>
                <w:color w:val="auto"/>
                <w:kern w:val="2"/>
                <w:sz w:val="21"/>
                <w:szCs w:val="21"/>
                <w:lang w:val="en-US" w:eastAsia="zh-CN" w:bidi="ar-SA"/>
              </w:rPr>
              <w:t>m³/a</w:t>
            </w:r>
            <w:r>
              <w:rPr>
                <w:rFonts w:hint="eastAsia" w:ascii="Times New Roman" w:hAnsi="Times New Roman" w:eastAsia="宋体" w:cs="Times New Roman"/>
                <w:b w:val="0"/>
                <w:bCs/>
                <w:color w:val="auto"/>
                <w:kern w:val="2"/>
                <w:sz w:val="21"/>
                <w:szCs w:val="21"/>
                <w:lang w:val="en-US" w:eastAsia="zh-CN" w:bidi="ar-SA"/>
              </w:rPr>
              <w:t>天然气能耗</w:t>
            </w:r>
            <w:r>
              <w:rPr>
                <w:rFonts w:hint="eastAsia" w:ascii="Times New Roman" w:hAnsi="Times New Roman" w:cs="Times New Roman"/>
                <w:b w:val="0"/>
                <w:bCs/>
                <w:color w:val="auto"/>
                <w:kern w:val="2"/>
                <w:sz w:val="21"/>
                <w:szCs w:val="21"/>
                <w:lang w:val="en-US" w:eastAsia="zh-CN" w:bidi="ar-SA"/>
              </w:rPr>
              <w:t>，并</w:t>
            </w:r>
            <w:r>
              <w:rPr>
                <w:rFonts w:hint="eastAsia" w:ascii="Times New Roman" w:hAnsi="Times New Roman" w:eastAsia="宋体" w:cs="Times New Roman"/>
                <w:b w:val="0"/>
                <w:bCs/>
                <w:color w:val="auto"/>
                <w:kern w:val="2"/>
                <w:sz w:val="21"/>
                <w:szCs w:val="21"/>
                <w:lang w:val="en-US" w:eastAsia="zh-CN" w:bidi="ar-SA"/>
              </w:rPr>
              <w:t>增加了锻造工序</w:t>
            </w:r>
            <w:r>
              <w:rPr>
                <w:rFonts w:hint="eastAsia" w:ascii="Times New Roman" w:hAnsi="Times New Roman" w:cs="Times New Roman"/>
                <w:b w:val="0"/>
                <w:bCs/>
                <w:color w:val="auto"/>
                <w:kern w:val="2"/>
                <w:sz w:val="21"/>
                <w:szCs w:val="21"/>
                <w:lang w:val="en-US" w:eastAsia="zh-CN" w:bidi="ar-SA"/>
              </w:rPr>
              <w:t>102</w:t>
            </w:r>
            <w:r>
              <w:rPr>
                <w:rFonts w:hint="eastAsia" w:ascii="Times New Roman" w:hAnsi="Times New Roman" w:eastAsia="宋体" w:cs="Times New Roman"/>
                <w:b w:val="0"/>
                <w:bCs/>
                <w:color w:val="auto"/>
                <w:kern w:val="2"/>
                <w:sz w:val="21"/>
                <w:szCs w:val="21"/>
                <w:lang w:val="en-US" w:eastAsia="zh-CN" w:bidi="ar-SA"/>
              </w:rPr>
              <w:t>00吨</w:t>
            </w:r>
            <w:r>
              <w:rPr>
                <w:rFonts w:hint="eastAsia" w:ascii="Times New Roman" w:hAnsi="Times New Roman" w:cs="Times New Roman"/>
                <w:b w:val="0"/>
                <w:bCs/>
                <w:color w:val="auto"/>
                <w:kern w:val="2"/>
                <w:sz w:val="21"/>
                <w:szCs w:val="21"/>
                <w:lang w:val="en-US" w:eastAsia="zh-CN" w:bidi="ar-SA"/>
              </w:rPr>
              <w:t>的</w:t>
            </w:r>
            <w:r>
              <w:rPr>
                <w:rFonts w:hint="eastAsia" w:ascii="Times New Roman" w:hAnsi="Times New Roman" w:eastAsia="宋体" w:cs="Times New Roman"/>
                <w:b w:val="0"/>
                <w:bCs/>
                <w:color w:val="auto"/>
                <w:kern w:val="2"/>
                <w:sz w:val="21"/>
                <w:szCs w:val="21"/>
                <w:lang w:val="en-US" w:eastAsia="zh-CN" w:bidi="ar-SA"/>
              </w:rPr>
              <w:t>产能</w:t>
            </w:r>
            <w:r>
              <w:rPr>
                <w:rFonts w:hint="default" w:ascii="Times New Roman" w:hAnsi="Times New Roman" w:eastAsia="宋体" w:cs="Times New Roman"/>
                <w:b w:val="0"/>
                <w:bCs/>
                <w:color w:val="auto"/>
                <w:kern w:val="2"/>
                <w:sz w:val="21"/>
                <w:szCs w:val="21"/>
                <w:lang w:val="en-US" w:eastAsia="zh-CN" w:bidi="ar-SA"/>
              </w:rPr>
              <w:t>。</w:t>
            </w:r>
          </w:p>
          <w:p>
            <w:pPr>
              <w:spacing w:line="500" w:lineRule="exact"/>
              <w:jc w:val="center"/>
              <w:rPr>
                <w:rFonts w:ascii="Times New Roman" w:hAnsi="Times New Roman" w:eastAsia="宋体" w:cs="Times New Roman"/>
                <w:b/>
                <w:bCs/>
                <w:color w:val="auto"/>
              </w:rPr>
            </w:pPr>
            <w:r>
              <w:rPr>
                <w:rFonts w:ascii="Times New Roman" w:hAnsi="Times New Roman" w:eastAsia="宋体" w:cs="Times New Roman"/>
                <w:b/>
                <w:bCs/>
                <w:color w:val="auto"/>
              </w:rPr>
              <w:t>表</w:t>
            </w:r>
            <w:r>
              <w:rPr>
                <w:rFonts w:hint="eastAsia" w:ascii="Times New Roman" w:hAnsi="Times New Roman" w:eastAsia="宋体" w:cs="Times New Roman"/>
                <w:b/>
                <w:bCs/>
                <w:color w:val="auto"/>
              </w:rPr>
              <w:t>2</w:t>
            </w:r>
            <w:r>
              <w:rPr>
                <w:rFonts w:ascii="Times New Roman" w:hAnsi="Times New Roman" w:eastAsia="宋体" w:cs="Times New Roman"/>
                <w:b/>
                <w:bCs/>
                <w:color w:val="auto"/>
              </w:rPr>
              <w:t>-</w:t>
            </w:r>
            <w:r>
              <w:rPr>
                <w:rFonts w:hint="eastAsia" w:cs="Times New Roman"/>
                <w:b/>
                <w:bCs/>
                <w:color w:val="auto"/>
                <w:lang w:val="en-US" w:eastAsia="zh-CN"/>
              </w:rPr>
              <w:t>9</w:t>
            </w:r>
            <w:r>
              <w:rPr>
                <w:rFonts w:ascii="Times New Roman" w:hAnsi="Times New Roman" w:eastAsia="宋体" w:cs="Times New Roman"/>
                <w:b/>
                <w:bCs/>
                <w:color w:val="auto"/>
              </w:rPr>
              <w:t xml:space="preserve">  </w:t>
            </w:r>
            <w:r>
              <w:rPr>
                <w:rFonts w:hint="eastAsia" w:ascii="Times New Roman" w:hAnsi="Times New Roman" w:eastAsia="宋体" w:cs="Times New Roman"/>
                <w:b/>
                <w:bCs/>
                <w:color w:val="auto"/>
                <w:lang w:val="en-US" w:eastAsia="zh-CN"/>
              </w:rPr>
              <w:t>改扩建</w:t>
            </w:r>
            <w:r>
              <w:rPr>
                <w:rFonts w:hint="eastAsia" w:ascii="Times New Roman" w:hAnsi="Times New Roman" w:eastAsia="宋体" w:cs="Times New Roman"/>
                <w:b/>
                <w:bCs/>
                <w:color w:val="auto"/>
                <w:lang w:eastAsia="zh-CN"/>
              </w:rPr>
              <w:t>前天然气</w:t>
            </w:r>
            <w:r>
              <w:rPr>
                <w:rFonts w:hint="eastAsia" w:ascii="Times New Roman" w:hAnsi="Times New Roman" w:eastAsia="宋体" w:cs="Times New Roman"/>
                <w:b/>
                <w:bCs/>
                <w:color w:val="auto"/>
              </w:rPr>
              <w:t>设备</w:t>
            </w:r>
            <w:r>
              <w:rPr>
                <w:rFonts w:hint="eastAsia" w:ascii="Times New Roman" w:hAnsi="Times New Roman" w:eastAsia="宋体" w:cs="Times New Roman"/>
                <w:b/>
                <w:bCs/>
                <w:color w:val="auto"/>
                <w:lang w:eastAsia="zh-CN"/>
              </w:rPr>
              <w:t>能耗</w:t>
            </w:r>
            <w:r>
              <w:rPr>
                <w:rFonts w:hint="eastAsia" w:ascii="Times New Roman" w:hAnsi="Times New Roman" w:eastAsia="宋体" w:cs="Times New Roman"/>
                <w:b/>
                <w:bCs/>
                <w:color w:val="auto"/>
              </w:rPr>
              <w:t>表</w:t>
            </w:r>
          </w:p>
          <w:tbl>
            <w:tblPr>
              <w:tblStyle w:val="21"/>
              <w:tblW w:w="4944"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22"/>
              <w:gridCol w:w="1196"/>
              <w:gridCol w:w="765"/>
              <w:gridCol w:w="892"/>
              <w:gridCol w:w="944"/>
              <w:gridCol w:w="776"/>
              <w:gridCol w:w="766"/>
              <w:gridCol w:w="10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5" w:type="pct"/>
                  <w:noWrap w:val="0"/>
                  <w:vAlign w:val="center"/>
                </w:tcPr>
                <w:p>
                  <w:pPr>
                    <w:jc w:val="center"/>
                    <w:rPr>
                      <w:color w:val="auto"/>
                      <w:sz w:val="18"/>
                      <w:szCs w:val="18"/>
                    </w:rPr>
                  </w:pPr>
                  <w:r>
                    <w:rPr>
                      <w:rFonts w:hint="eastAsia"/>
                      <w:color w:val="auto"/>
                      <w:sz w:val="18"/>
                      <w:szCs w:val="18"/>
                    </w:rPr>
                    <w:t>设备</w:t>
                  </w:r>
                  <w:r>
                    <w:rPr>
                      <w:color w:val="auto"/>
                      <w:sz w:val="18"/>
                      <w:szCs w:val="18"/>
                    </w:rPr>
                    <w:t>名称</w:t>
                  </w:r>
                </w:p>
              </w:tc>
              <w:tc>
                <w:tcPr>
                  <w:tcW w:w="758" w:type="pct"/>
                  <w:noWrap w:val="0"/>
                  <w:vAlign w:val="center"/>
                </w:tcPr>
                <w:p>
                  <w:pPr>
                    <w:jc w:val="center"/>
                    <w:rPr>
                      <w:color w:val="auto"/>
                      <w:sz w:val="18"/>
                      <w:szCs w:val="18"/>
                    </w:rPr>
                  </w:pPr>
                  <w:r>
                    <w:rPr>
                      <w:color w:val="auto"/>
                      <w:sz w:val="18"/>
                      <w:szCs w:val="18"/>
                    </w:rPr>
                    <w:t>型号</w:t>
                  </w:r>
                </w:p>
              </w:tc>
              <w:tc>
                <w:tcPr>
                  <w:tcW w:w="485" w:type="pct"/>
                  <w:noWrap w:val="0"/>
                  <w:vAlign w:val="center"/>
                </w:tcPr>
                <w:p>
                  <w:pPr>
                    <w:jc w:val="center"/>
                    <w:rPr>
                      <w:rFonts w:hint="eastAsia" w:eastAsia="宋体"/>
                      <w:color w:val="auto"/>
                      <w:sz w:val="18"/>
                      <w:szCs w:val="18"/>
                      <w:lang w:eastAsia="zh-CN"/>
                    </w:rPr>
                  </w:pPr>
                  <w:r>
                    <w:rPr>
                      <w:rFonts w:hint="eastAsia"/>
                      <w:color w:val="auto"/>
                      <w:sz w:val="18"/>
                      <w:szCs w:val="18"/>
                      <w:lang w:eastAsia="zh-CN"/>
                    </w:rPr>
                    <w:t>排气筒编号</w:t>
                  </w:r>
                </w:p>
              </w:tc>
              <w:tc>
                <w:tcPr>
                  <w:tcW w:w="565" w:type="pct"/>
                  <w:noWrap w:val="0"/>
                  <w:vAlign w:val="center"/>
                </w:tcPr>
                <w:p>
                  <w:pPr>
                    <w:jc w:val="center"/>
                    <w:rPr>
                      <w:color w:val="auto"/>
                      <w:sz w:val="18"/>
                      <w:szCs w:val="18"/>
                    </w:rPr>
                  </w:pPr>
                  <w:r>
                    <w:rPr>
                      <w:color w:val="auto"/>
                      <w:sz w:val="18"/>
                      <w:szCs w:val="18"/>
                    </w:rPr>
                    <w:t>数量</w:t>
                  </w:r>
                  <w:r>
                    <w:rPr>
                      <w:rFonts w:hint="eastAsia"/>
                      <w:color w:val="auto"/>
                      <w:sz w:val="18"/>
                      <w:szCs w:val="18"/>
                    </w:rPr>
                    <w:t>（台/套）</w:t>
                  </w:r>
                </w:p>
              </w:tc>
              <w:tc>
                <w:tcPr>
                  <w:tcW w:w="598" w:type="pct"/>
                  <w:noWrap w:val="0"/>
                  <w:vAlign w:val="center"/>
                </w:tcPr>
                <w:p>
                  <w:pPr>
                    <w:jc w:val="center"/>
                    <w:rPr>
                      <w:color w:val="auto"/>
                      <w:sz w:val="18"/>
                      <w:szCs w:val="18"/>
                    </w:rPr>
                  </w:pPr>
                  <w:r>
                    <w:rPr>
                      <w:rFonts w:hint="eastAsia"/>
                      <w:color w:val="auto"/>
                      <w:sz w:val="18"/>
                      <w:szCs w:val="18"/>
                      <w:lang w:eastAsia="zh-CN"/>
                    </w:rPr>
                    <w:t>天然气能耗</w:t>
                  </w:r>
                  <w:r>
                    <w:rPr>
                      <w:rFonts w:hint="eastAsia"/>
                      <w:color w:val="auto"/>
                      <w:sz w:val="18"/>
                      <w:szCs w:val="18"/>
                    </w:rPr>
                    <w:t>（</w:t>
                  </w:r>
                  <w:r>
                    <w:rPr>
                      <w:rFonts w:hint="eastAsia"/>
                      <w:color w:val="auto"/>
                      <w:sz w:val="18"/>
                      <w:szCs w:val="18"/>
                      <w:lang w:val="en-US" w:eastAsia="zh-CN"/>
                    </w:rPr>
                    <w:t>m</w:t>
                  </w:r>
                  <w:r>
                    <w:rPr>
                      <w:rFonts w:hint="eastAsia"/>
                      <w:color w:val="auto"/>
                      <w:sz w:val="18"/>
                      <w:szCs w:val="18"/>
                      <w:vertAlign w:val="superscript"/>
                      <w:lang w:val="en-US" w:eastAsia="zh-CN"/>
                    </w:rPr>
                    <w:t>3</w:t>
                  </w:r>
                  <w:r>
                    <w:rPr>
                      <w:rFonts w:hint="eastAsia"/>
                      <w:color w:val="auto"/>
                      <w:sz w:val="18"/>
                      <w:szCs w:val="18"/>
                      <w:lang w:val="en-US" w:eastAsia="zh-CN"/>
                    </w:rPr>
                    <w:t>/h</w:t>
                  </w:r>
                  <w:r>
                    <w:rPr>
                      <w:rFonts w:hint="eastAsia"/>
                      <w:color w:val="auto"/>
                      <w:sz w:val="18"/>
                      <w:szCs w:val="18"/>
                    </w:rPr>
                    <w:t>）</w:t>
                  </w:r>
                </w:p>
              </w:tc>
              <w:tc>
                <w:tcPr>
                  <w:tcW w:w="492" w:type="pct"/>
                  <w:noWrap w:val="0"/>
                  <w:vAlign w:val="center"/>
                </w:tcPr>
                <w:p>
                  <w:pPr>
                    <w:jc w:val="center"/>
                    <w:rPr>
                      <w:rFonts w:hint="eastAsia"/>
                      <w:color w:val="auto"/>
                      <w:sz w:val="18"/>
                      <w:szCs w:val="18"/>
                    </w:rPr>
                  </w:pPr>
                  <w:r>
                    <w:rPr>
                      <w:rFonts w:hint="eastAsia"/>
                      <w:color w:val="auto"/>
                      <w:sz w:val="18"/>
                      <w:szCs w:val="18"/>
                    </w:rPr>
                    <w:t>工作天数（天）</w:t>
                  </w:r>
                </w:p>
              </w:tc>
              <w:tc>
                <w:tcPr>
                  <w:tcW w:w="485" w:type="pct"/>
                  <w:noWrap w:val="0"/>
                  <w:vAlign w:val="center"/>
                </w:tcPr>
                <w:p>
                  <w:pPr>
                    <w:jc w:val="center"/>
                    <w:rPr>
                      <w:rFonts w:hint="eastAsia"/>
                      <w:color w:val="auto"/>
                      <w:sz w:val="18"/>
                      <w:szCs w:val="18"/>
                    </w:rPr>
                  </w:pPr>
                  <w:r>
                    <w:rPr>
                      <w:rFonts w:hint="eastAsia"/>
                      <w:color w:val="auto"/>
                      <w:sz w:val="18"/>
                      <w:szCs w:val="18"/>
                    </w:rPr>
                    <w:t>工作</w:t>
                  </w:r>
                  <w:r>
                    <w:rPr>
                      <w:rFonts w:hint="eastAsia"/>
                      <w:color w:val="auto"/>
                      <w:sz w:val="18"/>
                      <w:szCs w:val="18"/>
                      <w:lang w:eastAsia="zh-CN"/>
                    </w:rPr>
                    <w:t>时间</w:t>
                  </w:r>
                  <w:r>
                    <w:rPr>
                      <w:rFonts w:hint="eastAsia"/>
                      <w:color w:val="auto"/>
                      <w:sz w:val="18"/>
                      <w:szCs w:val="18"/>
                    </w:rPr>
                    <w:t>（</w:t>
                  </w:r>
                  <w:r>
                    <w:rPr>
                      <w:rFonts w:hint="eastAsia"/>
                      <w:color w:val="auto"/>
                      <w:sz w:val="18"/>
                      <w:szCs w:val="18"/>
                      <w:lang w:val="en-US" w:eastAsia="zh-CN"/>
                    </w:rPr>
                    <w:t>h</w:t>
                  </w:r>
                  <w:r>
                    <w:rPr>
                      <w:rFonts w:hint="eastAsia"/>
                      <w:color w:val="auto"/>
                      <w:sz w:val="18"/>
                      <w:szCs w:val="18"/>
                    </w:rPr>
                    <w:t>）</w:t>
                  </w:r>
                </w:p>
              </w:tc>
              <w:tc>
                <w:tcPr>
                  <w:tcW w:w="649" w:type="pct"/>
                  <w:noWrap w:val="0"/>
                  <w:vAlign w:val="center"/>
                </w:tcPr>
                <w:p>
                  <w:pPr>
                    <w:jc w:val="center"/>
                    <w:rPr>
                      <w:rFonts w:hint="eastAsia" w:eastAsia="宋体"/>
                      <w:color w:val="auto"/>
                      <w:sz w:val="18"/>
                      <w:szCs w:val="18"/>
                      <w:lang w:eastAsia="zh-CN"/>
                    </w:rPr>
                  </w:pPr>
                  <w:r>
                    <w:rPr>
                      <w:rFonts w:hint="eastAsia"/>
                      <w:color w:val="auto"/>
                      <w:sz w:val="18"/>
                      <w:szCs w:val="18"/>
                      <w:lang w:eastAsia="zh-CN"/>
                    </w:rPr>
                    <w:t>天然气能耗</w:t>
                  </w:r>
                  <w:r>
                    <w:rPr>
                      <w:rFonts w:hint="eastAsia"/>
                      <w:color w:val="auto"/>
                      <w:sz w:val="18"/>
                      <w:szCs w:val="18"/>
                    </w:rPr>
                    <w:t>（</w:t>
                  </w:r>
                  <w:r>
                    <w:rPr>
                      <w:rFonts w:hint="eastAsia"/>
                      <w:color w:val="auto"/>
                      <w:sz w:val="18"/>
                      <w:szCs w:val="18"/>
                      <w:lang w:eastAsia="zh-CN"/>
                    </w:rPr>
                    <w:t>万</w:t>
                  </w:r>
                  <w:r>
                    <w:rPr>
                      <w:rFonts w:hint="eastAsia"/>
                      <w:color w:val="auto"/>
                      <w:sz w:val="18"/>
                      <w:szCs w:val="18"/>
                      <w:lang w:val="en-US" w:eastAsia="zh-CN"/>
                    </w:rPr>
                    <w:t>m</w:t>
                  </w:r>
                  <w:r>
                    <w:rPr>
                      <w:rFonts w:hint="eastAsia"/>
                      <w:color w:val="auto"/>
                      <w:sz w:val="18"/>
                      <w:szCs w:val="18"/>
                      <w:vertAlign w:val="superscript"/>
                      <w:lang w:val="en-US" w:eastAsia="zh-CN"/>
                    </w:rPr>
                    <w:t>3</w:t>
                  </w:r>
                  <w:r>
                    <w:rPr>
                      <w:rFonts w:hint="eastAsia"/>
                      <w:color w:val="auto"/>
                      <w:sz w:val="18"/>
                      <w:szCs w:val="18"/>
                      <w:lang w:val="en-US" w:eastAsia="zh-CN"/>
                    </w:rPr>
                    <w:t>/a</w:t>
                  </w:r>
                  <w:r>
                    <w:rPr>
                      <w:rFonts w:hint="eastAsia"/>
                      <w:color w:val="auto"/>
                      <w:sz w:val="18"/>
                      <w:szCs w:val="1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5" w:type="pct"/>
                  <w:noWrap w:val="0"/>
                  <w:vAlign w:val="center"/>
                </w:tcPr>
                <w:p>
                  <w:pPr>
                    <w:adjustRightInd w:val="0"/>
                    <w:snapToGrid w:val="0"/>
                    <w:jc w:val="center"/>
                    <w:rPr>
                      <w:rFonts w:hint="eastAsia"/>
                      <w:bCs/>
                      <w:color w:val="auto"/>
                      <w:sz w:val="18"/>
                      <w:szCs w:val="18"/>
                    </w:rPr>
                  </w:pPr>
                  <w:r>
                    <w:rPr>
                      <w:rFonts w:hint="eastAsia" w:ascii="Times New Roman" w:hAnsi="Times New Roman" w:cs="Times New Roman"/>
                      <w:color w:val="auto"/>
                      <w:sz w:val="18"/>
                      <w:szCs w:val="18"/>
                      <w:lang w:val="en-US" w:eastAsia="zh-CN"/>
                    </w:rPr>
                    <w:t>台车式加热炉</w:t>
                  </w:r>
                </w:p>
              </w:tc>
              <w:tc>
                <w:tcPr>
                  <w:tcW w:w="758" w:type="pct"/>
                  <w:noWrap w:val="0"/>
                  <w:vAlign w:val="center"/>
                </w:tcPr>
                <w:p>
                  <w:pPr>
                    <w:adjustRightInd w:val="0"/>
                    <w:snapToGrid w:val="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10x4x3m</w:t>
                  </w:r>
                </w:p>
              </w:tc>
              <w:tc>
                <w:tcPr>
                  <w:tcW w:w="485" w:type="pct"/>
                  <w:noWrap w:val="0"/>
                  <w:vAlign w:val="center"/>
                </w:tcPr>
                <w:p>
                  <w:pPr>
                    <w:adjustRightInd w:val="0"/>
                    <w:snapToGrid w:val="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DA001</w:t>
                  </w:r>
                </w:p>
              </w:tc>
              <w:tc>
                <w:tcPr>
                  <w:tcW w:w="565" w:type="pct"/>
                  <w:noWrap w:val="0"/>
                  <w:vAlign w:val="center"/>
                </w:tcPr>
                <w:p>
                  <w:pPr>
                    <w:adjustRightInd w:val="0"/>
                    <w:snapToGrid w:val="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w:t>
                  </w:r>
                </w:p>
              </w:tc>
              <w:tc>
                <w:tcPr>
                  <w:tcW w:w="598" w:type="pct"/>
                  <w:noWrap w:val="0"/>
                  <w:vAlign w:val="center"/>
                </w:tcPr>
                <w:p>
                  <w:pPr>
                    <w:keepNext w:val="0"/>
                    <w:keepLines w:val="0"/>
                    <w:widowControl/>
                    <w:suppressLineNumbers w:val="0"/>
                    <w:jc w:val="center"/>
                    <w:textAlignment w:val="center"/>
                    <w:rPr>
                      <w:rFonts w:hint="default" w:ascii="Times New Roman" w:hAnsi="Times New Roman" w:eastAsia="宋体"/>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180</w:t>
                  </w:r>
                </w:p>
              </w:tc>
              <w:tc>
                <w:tcPr>
                  <w:tcW w:w="492" w:type="pct"/>
                  <w:noWrap w:val="0"/>
                  <w:vAlign w:val="center"/>
                </w:tcPr>
                <w:p>
                  <w:pPr>
                    <w:pStyle w:val="9"/>
                    <w:snapToGrid w:val="0"/>
                    <w:jc w:val="center"/>
                    <w:rPr>
                      <w:rFonts w:hint="eastAsia" w:ascii="Times New Roman" w:hAnsi="Times New Roman"/>
                      <w:color w:val="auto"/>
                      <w:sz w:val="18"/>
                      <w:szCs w:val="18"/>
                    </w:rPr>
                  </w:pPr>
                  <w:r>
                    <w:rPr>
                      <w:rFonts w:hint="eastAsia" w:ascii="Times New Roman" w:hAnsi="Times New Roman"/>
                      <w:color w:val="auto"/>
                      <w:sz w:val="18"/>
                      <w:szCs w:val="18"/>
                    </w:rPr>
                    <w:t>300</w:t>
                  </w:r>
                </w:p>
              </w:tc>
              <w:tc>
                <w:tcPr>
                  <w:tcW w:w="485" w:type="pct"/>
                  <w:noWrap w:val="0"/>
                  <w:vAlign w:val="center"/>
                </w:tcPr>
                <w:p>
                  <w:pPr>
                    <w:pStyle w:val="9"/>
                    <w:snapToGrid w:val="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24</w:t>
                  </w:r>
                </w:p>
              </w:tc>
              <w:tc>
                <w:tcPr>
                  <w:tcW w:w="649" w:type="pct"/>
                  <w:noWrap w:val="0"/>
                  <w:vAlign w:val="center"/>
                </w:tcPr>
                <w:p>
                  <w:pPr>
                    <w:snapToGrid w:val="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388.8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5" w:type="pct"/>
                  <w:shd w:val="clear" w:color="auto" w:fill="auto"/>
                  <w:noWrap w:val="0"/>
                  <w:vAlign w:val="center"/>
                </w:tcPr>
                <w:p>
                  <w:pPr>
                    <w:adjustRightInd w:val="0"/>
                    <w:snapToGrid w:val="0"/>
                    <w:jc w:val="center"/>
                    <w:rPr>
                      <w:rFonts w:hint="eastAsia" w:ascii="Times New Roman" w:hAnsi="Times New Roman" w:eastAsia="宋体" w:cs="Times New Roman"/>
                      <w:color w:val="auto"/>
                      <w:kern w:val="2"/>
                      <w:sz w:val="18"/>
                      <w:szCs w:val="18"/>
                      <w:shd w:val="clear" w:color="auto" w:fill="auto"/>
                      <w:lang w:val="en-US" w:eastAsia="zh-CN" w:bidi="ar-SA"/>
                    </w:rPr>
                  </w:pPr>
                  <w:r>
                    <w:rPr>
                      <w:rFonts w:hint="eastAsia" w:ascii="Times New Roman" w:hAnsi="Times New Roman" w:eastAsia="宋体" w:cs="Times New Roman"/>
                      <w:color w:val="auto"/>
                      <w:sz w:val="18"/>
                      <w:szCs w:val="18"/>
                      <w:shd w:val="clear" w:color="auto" w:fill="auto"/>
                      <w:lang w:val="en-US" w:eastAsia="zh-CN"/>
                    </w:rPr>
                    <w:t>室式加热炉</w:t>
                  </w:r>
                </w:p>
              </w:tc>
              <w:tc>
                <w:tcPr>
                  <w:tcW w:w="758" w:type="pct"/>
                  <w:shd w:val="clear" w:color="auto" w:fill="auto"/>
                  <w:noWrap w:val="0"/>
                  <w:vAlign w:val="center"/>
                </w:tcPr>
                <w:p>
                  <w:pPr>
                    <w:adjustRightInd w:val="0"/>
                    <w:snapToGrid w:val="0"/>
                    <w:jc w:val="center"/>
                    <w:rPr>
                      <w:rFonts w:hint="eastAsia" w:ascii="Times New Roman" w:hAnsi="Times New Roman" w:eastAsia="宋体" w:cs="Times New Roman"/>
                      <w:color w:val="auto"/>
                      <w:kern w:val="2"/>
                      <w:sz w:val="18"/>
                      <w:szCs w:val="18"/>
                      <w:shd w:val="clear" w:color="auto" w:fill="auto"/>
                      <w:lang w:val="en-US" w:eastAsia="zh-CN" w:bidi="ar-SA"/>
                    </w:rPr>
                  </w:pPr>
                  <w:r>
                    <w:rPr>
                      <w:rFonts w:hint="eastAsia" w:ascii="Times New Roman" w:hAnsi="Times New Roman" w:eastAsia="宋体" w:cs="Times New Roman"/>
                      <w:color w:val="auto"/>
                      <w:sz w:val="18"/>
                      <w:szCs w:val="18"/>
                      <w:shd w:val="clear" w:color="auto" w:fill="auto"/>
                      <w:lang w:val="en-US" w:eastAsia="zh-CN"/>
                    </w:rPr>
                    <w:t>5x5x3.5m</w:t>
                  </w:r>
                </w:p>
              </w:tc>
              <w:tc>
                <w:tcPr>
                  <w:tcW w:w="485" w:type="pct"/>
                  <w:shd w:val="clear" w:color="auto" w:fill="auto"/>
                  <w:noWrap w:val="0"/>
                  <w:vAlign w:val="center"/>
                </w:tcPr>
                <w:p>
                  <w:pPr>
                    <w:adjustRightInd w:val="0"/>
                    <w:snapToGrid w:val="0"/>
                    <w:jc w:val="center"/>
                    <w:rPr>
                      <w:rFonts w:hint="eastAsia" w:ascii="Times New Roman" w:hAnsi="Times New Roman" w:eastAsia="宋体" w:cs="Times New Roman"/>
                      <w:color w:val="auto"/>
                      <w:sz w:val="18"/>
                      <w:szCs w:val="18"/>
                      <w:shd w:val="clear" w:color="auto" w:fill="auto"/>
                      <w:lang w:val="en-US" w:eastAsia="zh-CN"/>
                    </w:rPr>
                  </w:pPr>
                  <w:r>
                    <w:rPr>
                      <w:rFonts w:hint="eastAsia" w:cs="Times New Roman"/>
                      <w:color w:val="auto"/>
                      <w:sz w:val="18"/>
                      <w:szCs w:val="18"/>
                      <w:lang w:val="en-US" w:eastAsia="zh-CN"/>
                    </w:rPr>
                    <w:t>DA002</w:t>
                  </w:r>
                </w:p>
              </w:tc>
              <w:tc>
                <w:tcPr>
                  <w:tcW w:w="565" w:type="pct"/>
                  <w:shd w:val="clear" w:color="auto" w:fill="auto"/>
                  <w:noWrap w:val="0"/>
                  <w:vAlign w:val="center"/>
                </w:tcPr>
                <w:p>
                  <w:pPr>
                    <w:adjustRightInd w:val="0"/>
                    <w:snapToGrid w:val="0"/>
                    <w:jc w:val="center"/>
                    <w:rPr>
                      <w:rFonts w:hint="eastAsia" w:ascii="Times New Roman" w:hAnsi="Times New Roman" w:eastAsia="宋体" w:cs="Times New Roman"/>
                      <w:color w:val="auto"/>
                      <w:kern w:val="2"/>
                      <w:sz w:val="18"/>
                      <w:szCs w:val="18"/>
                      <w:shd w:val="clear" w:color="auto" w:fill="auto"/>
                      <w:lang w:val="en-US" w:eastAsia="zh-CN" w:bidi="ar-SA"/>
                    </w:rPr>
                  </w:pPr>
                  <w:r>
                    <w:rPr>
                      <w:rFonts w:hint="eastAsia" w:ascii="Times New Roman" w:hAnsi="Times New Roman" w:eastAsia="宋体" w:cs="Times New Roman"/>
                      <w:color w:val="auto"/>
                      <w:sz w:val="18"/>
                      <w:szCs w:val="18"/>
                      <w:shd w:val="clear" w:color="auto" w:fill="auto"/>
                      <w:lang w:val="en-US" w:eastAsia="zh-CN"/>
                    </w:rPr>
                    <w:t>2</w:t>
                  </w:r>
                </w:p>
              </w:tc>
              <w:tc>
                <w:tcPr>
                  <w:tcW w:w="598" w:type="pct"/>
                  <w:noWrap w:val="0"/>
                  <w:vAlign w:val="center"/>
                </w:tcPr>
                <w:p>
                  <w:pPr>
                    <w:keepNext w:val="0"/>
                    <w:keepLines w:val="0"/>
                    <w:widowControl/>
                    <w:suppressLineNumbers w:val="0"/>
                    <w:jc w:val="center"/>
                    <w:textAlignment w:val="center"/>
                    <w:rPr>
                      <w:rFonts w:hint="default" w:ascii="Times New Roman" w:hAnsi="Times New Roman" w:eastAsia="宋体"/>
                      <w:color w:val="auto"/>
                      <w:sz w:val="18"/>
                      <w:szCs w:val="18"/>
                      <w:shd w:val="clear" w:color="auto" w:fill="auto"/>
                      <w:lang w:val="en-US" w:eastAsia="zh-CN"/>
                    </w:rPr>
                  </w:pPr>
                  <w:r>
                    <w:rPr>
                      <w:rFonts w:hint="default" w:ascii="Times New Roman" w:hAnsi="Times New Roman" w:eastAsia="宋体" w:cs="Times New Roman"/>
                      <w:i w:val="0"/>
                      <w:iCs w:val="0"/>
                      <w:color w:val="auto"/>
                      <w:kern w:val="0"/>
                      <w:sz w:val="18"/>
                      <w:szCs w:val="18"/>
                      <w:u w:val="none"/>
                      <w:shd w:val="clear" w:color="auto" w:fill="auto"/>
                      <w:lang w:val="en-US" w:eastAsia="zh-CN" w:bidi="ar"/>
                    </w:rPr>
                    <w:t>250</w:t>
                  </w:r>
                </w:p>
              </w:tc>
              <w:tc>
                <w:tcPr>
                  <w:tcW w:w="492" w:type="pct"/>
                  <w:noWrap w:val="0"/>
                  <w:vAlign w:val="center"/>
                </w:tcPr>
                <w:p>
                  <w:pPr>
                    <w:pStyle w:val="9"/>
                    <w:snapToGrid w:val="0"/>
                    <w:jc w:val="center"/>
                    <w:rPr>
                      <w:rFonts w:hint="eastAsia" w:ascii="Times New Roman" w:hAnsi="Times New Roman"/>
                      <w:color w:val="auto"/>
                      <w:sz w:val="18"/>
                      <w:szCs w:val="18"/>
                      <w:shd w:val="clear" w:color="auto" w:fill="auto"/>
                    </w:rPr>
                  </w:pPr>
                  <w:r>
                    <w:rPr>
                      <w:rFonts w:hint="eastAsia" w:ascii="Times New Roman" w:hAnsi="Times New Roman"/>
                      <w:color w:val="auto"/>
                      <w:sz w:val="18"/>
                      <w:szCs w:val="18"/>
                      <w:shd w:val="clear" w:color="auto" w:fill="auto"/>
                    </w:rPr>
                    <w:t>300</w:t>
                  </w:r>
                </w:p>
              </w:tc>
              <w:tc>
                <w:tcPr>
                  <w:tcW w:w="485" w:type="pct"/>
                  <w:noWrap w:val="0"/>
                  <w:vAlign w:val="center"/>
                </w:tcPr>
                <w:p>
                  <w:pPr>
                    <w:snapToGrid w:val="0"/>
                    <w:jc w:val="center"/>
                    <w:rPr>
                      <w:rFonts w:hint="eastAsia" w:ascii="Times New Roman" w:hAnsi="Times New Roman"/>
                      <w:color w:val="auto"/>
                      <w:sz w:val="18"/>
                      <w:szCs w:val="18"/>
                      <w:shd w:val="clear" w:color="auto" w:fill="auto"/>
                    </w:rPr>
                  </w:pPr>
                  <w:r>
                    <w:rPr>
                      <w:rFonts w:hint="eastAsia" w:ascii="Times New Roman" w:hAnsi="Times New Roman" w:eastAsia="宋体"/>
                      <w:color w:val="auto"/>
                      <w:sz w:val="18"/>
                      <w:szCs w:val="18"/>
                      <w:shd w:val="clear" w:color="auto" w:fill="auto"/>
                      <w:lang w:val="en-US" w:eastAsia="zh-CN"/>
                    </w:rPr>
                    <w:t>24</w:t>
                  </w:r>
                </w:p>
              </w:tc>
              <w:tc>
                <w:tcPr>
                  <w:tcW w:w="649" w:type="pct"/>
                  <w:noWrap w:val="0"/>
                  <w:vAlign w:val="center"/>
                </w:tcPr>
                <w:p>
                  <w:pPr>
                    <w:snapToGrid w:val="0"/>
                    <w:jc w:val="center"/>
                    <w:rPr>
                      <w:rFonts w:hint="default" w:ascii="Times New Roman" w:hAnsi="Times New Roman" w:eastAsia="宋体" w:cs="Times New Roman"/>
                      <w:color w:val="auto"/>
                      <w:sz w:val="18"/>
                      <w:szCs w:val="18"/>
                      <w:shd w:val="clear" w:color="auto" w:fill="auto"/>
                      <w:lang w:val="en-US" w:eastAsia="zh-CN"/>
                    </w:rPr>
                  </w:pPr>
                  <w:r>
                    <w:rPr>
                      <w:rFonts w:hint="eastAsia" w:ascii="Times New Roman" w:hAnsi="Times New Roman" w:eastAsia="宋体" w:cs="Times New Roman"/>
                      <w:color w:val="auto"/>
                      <w:sz w:val="18"/>
                      <w:szCs w:val="18"/>
                      <w:shd w:val="clear" w:color="auto" w:fill="auto"/>
                      <w:lang w:val="en-US" w:eastAsia="zh-CN"/>
                    </w:rPr>
                    <w:t>360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5" w:type="pct"/>
                  <w:shd w:val="clear" w:color="auto" w:fill="auto"/>
                  <w:noWrap w:val="0"/>
                  <w:vAlign w:val="center"/>
                </w:tcPr>
                <w:p>
                  <w:pPr>
                    <w:adjustRightInd w:val="0"/>
                    <w:snapToGrid w:val="0"/>
                    <w:jc w:val="center"/>
                    <w:rPr>
                      <w:rFonts w:hint="eastAsia" w:ascii="Times New Roman" w:hAnsi="Times New Roman" w:eastAsia="宋体" w:cs="Times New Roman"/>
                      <w:color w:val="auto"/>
                      <w:kern w:val="2"/>
                      <w:sz w:val="18"/>
                      <w:szCs w:val="18"/>
                      <w:shd w:val="clear" w:color="auto" w:fill="auto"/>
                      <w:lang w:val="en-US" w:eastAsia="zh-CN" w:bidi="ar-SA"/>
                    </w:rPr>
                  </w:pPr>
                  <w:r>
                    <w:rPr>
                      <w:rFonts w:hint="eastAsia" w:ascii="Times New Roman" w:hAnsi="Times New Roman" w:eastAsia="宋体" w:cs="Times New Roman"/>
                      <w:color w:val="auto"/>
                      <w:sz w:val="18"/>
                      <w:szCs w:val="18"/>
                      <w:shd w:val="clear" w:color="auto" w:fill="auto"/>
                      <w:lang w:val="en-US" w:eastAsia="zh-CN"/>
                    </w:rPr>
                    <w:t>室式加热炉</w:t>
                  </w:r>
                </w:p>
              </w:tc>
              <w:tc>
                <w:tcPr>
                  <w:tcW w:w="758" w:type="pct"/>
                  <w:shd w:val="clear" w:color="auto" w:fill="auto"/>
                  <w:noWrap w:val="0"/>
                  <w:vAlign w:val="center"/>
                </w:tcPr>
                <w:p>
                  <w:pPr>
                    <w:adjustRightInd w:val="0"/>
                    <w:snapToGrid w:val="0"/>
                    <w:jc w:val="center"/>
                    <w:rPr>
                      <w:rFonts w:hint="eastAsia" w:ascii="Times New Roman" w:hAnsi="Times New Roman" w:eastAsia="宋体" w:cs="Times New Roman"/>
                      <w:color w:val="auto"/>
                      <w:kern w:val="2"/>
                      <w:sz w:val="18"/>
                      <w:szCs w:val="18"/>
                      <w:shd w:val="clear" w:color="auto" w:fill="auto"/>
                      <w:lang w:val="en-US" w:eastAsia="zh-CN" w:bidi="ar-SA"/>
                    </w:rPr>
                  </w:pPr>
                  <w:r>
                    <w:rPr>
                      <w:rFonts w:hint="eastAsia" w:ascii="Times New Roman" w:hAnsi="Times New Roman" w:eastAsia="宋体" w:cs="Times New Roman"/>
                      <w:color w:val="auto"/>
                      <w:sz w:val="18"/>
                      <w:szCs w:val="18"/>
                      <w:shd w:val="clear" w:color="auto" w:fill="auto"/>
                      <w:lang w:val="en-US" w:eastAsia="zh-CN"/>
                    </w:rPr>
                    <w:t>4x4x1.6m</w:t>
                  </w:r>
                </w:p>
              </w:tc>
              <w:tc>
                <w:tcPr>
                  <w:tcW w:w="485" w:type="pct"/>
                  <w:vMerge w:val="restart"/>
                  <w:shd w:val="clear" w:color="auto" w:fill="auto"/>
                  <w:noWrap w:val="0"/>
                  <w:vAlign w:val="center"/>
                </w:tcPr>
                <w:p>
                  <w:pPr>
                    <w:adjustRightInd w:val="0"/>
                    <w:snapToGrid w:val="0"/>
                    <w:jc w:val="center"/>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DA003</w:t>
                  </w:r>
                </w:p>
              </w:tc>
              <w:tc>
                <w:tcPr>
                  <w:tcW w:w="565" w:type="pct"/>
                  <w:shd w:val="clear" w:color="auto" w:fill="auto"/>
                  <w:noWrap w:val="0"/>
                  <w:vAlign w:val="center"/>
                </w:tcPr>
                <w:p>
                  <w:pPr>
                    <w:adjustRightInd w:val="0"/>
                    <w:snapToGrid w:val="0"/>
                    <w:jc w:val="center"/>
                    <w:rPr>
                      <w:rFonts w:hint="eastAsia" w:ascii="Times New Roman" w:hAnsi="Times New Roman" w:eastAsia="宋体" w:cs="Times New Roman"/>
                      <w:color w:val="auto"/>
                      <w:kern w:val="2"/>
                      <w:sz w:val="18"/>
                      <w:szCs w:val="18"/>
                      <w:shd w:val="clear" w:color="auto" w:fill="auto"/>
                      <w:lang w:val="en-US" w:eastAsia="zh-CN" w:bidi="ar-SA"/>
                    </w:rPr>
                  </w:pPr>
                  <w:r>
                    <w:rPr>
                      <w:rFonts w:hint="eastAsia" w:ascii="Times New Roman" w:hAnsi="Times New Roman" w:eastAsia="宋体" w:cs="Times New Roman"/>
                      <w:color w:val="auto"/>
                      <w:sz w:val="18"/>
                      <w:szCs w:val="18"/>
                      <w:shd w:val="clear" w:color="auto" w:fill="auto"/>
                      <w:lang w:val="en-US" w:eastAsia="zh-CN"/>
                    </w:rPr>
                    <w:t>1</w:t>
                  </w:r>
                </w:p>
              </w:tc>
              <w:tc>
                <w:tcPr>
                  <w:tcW w:w="598" w:type="pct"/>
                  <w:noWrap w:val="0"/>
                  <w:vAlign w:val="center"/>
                </w:tcPr>
                <w:p>
                  <w:pPr>
                    <w:keepNext w:val="0"/>
                    <w:keepLines w:val="0"/>
                    <w:widowControl/>
                    <w:suppressLineNumbers w:val="0"/>
                    <w:jc w:val="center"/>
                    <w:textAlignment w:val="center"/>
                    <w:rPr>
                      <w:rFonts w:hint="default" w:ascii="Times New Roman" w:hAnsi="Times New Roman" w:eastAsia="宋体"/>
                      <w:color w:val="auto"/>
                      <w:sz w:val="18"/>
                      <w:szCs w:val="18"/>
                      <w:shd w:val="clear" w:color="auto" w:fill="auto"/>
                      <w:lang w:val="en-US" w:eastAsia="zh-CN"/>
                    </w:rPr>
                  </w:pPr>
                  <w:r>
                    <w:rPr>
                      <w:rFonts w:hint="default" w:ascii="Times New Roman" w:hAnsi="Times New Roman" w:eastAsia="宋体" w:cs="Times New Roman"/>
                      <w:i w:val="0"/>
                      <w:iCs w:val="0"/>
                      <w:color w:val="auto"/>
                      <w:kern w:val="0"/>
                      <w:sz w:val="18"/>
                      <w:szCs w:val="18"/>
                      <w:u w:val="none"/>
                      <w:shd w:val="clear" w:color="auto" w:fill="auto"/>
                      <w:lang w:val="en-US" w:eastAsia="zh-CN" w:bidi="ar"/>
                    </w:rPr>
                    <w:t>100</w:t>
                  </w:r>
                </w:p>
              </w:tc>
              <w:tc>
                <w:tcPr>
                  <w:tcW w:w="492" w:type="pct"/>
                  <w:noWrap w:val="0"/>
                  <w:vAlign w:val="center"/>
                </w:tcPr>
                <w:p>
                  <w:pPr>
                    <w:pStyle w:val="9"/>
                    <w:snapToGrid w:val="0"/>
                    <w:jc w:val="center"/>
                    <w:rPr>
                      <w:rFonts w:hint="eastAsia" w:ascii="Times New Roman" w:hAnsi="Times New Roman"/>
                      <w:color w:val="auto"/>
                      <w:sz w:val="18"/>
                      <w:szCs w:val="18"/>
                      <w:shd w:val="clear" w:color="auto" w:fill="auto"/>
                    </w:rPr>
                  </w:pPr>
                  <w:r>
                    <w:rPr>
                      <w:rFonts w:hint="eastAsia" w:ascii="Times New Roman" w:hAnsi="Times New Roman"/>
                      <w:color w:val="auto"/>
                      <w:sz w:val="18"/>
                      <w:szCs w:val="18"/>
                      <w:shd w:val="clear" w:color="auto" w:fill="auto"/>
                    </w:rPr>
                    <w:t>300</w:t>
                  </w:r>
                </w:p>
              </w:tc>
              <w:tc>
                <w:tcPr>
                  <w:tcW w:w="485" w:type="pct"/>
                  <w:noWrap w:val="0"/>
                  <w:vAlign w:val="center"/>
                </w:tcPr>
                <w:p>
                  <w:pPr>
                    <w:snapToGrid w:val="0"/>
                    <w:jc w:val="center"/>
                    <w:rPr>
                      <w:rFonts w:hint="eastAsia" w:ascii="Times New Roman" w:hAnsi="Times New Roman"/>
                      <w:color w:val="auto"/>
                      <w:sz w:val="18"/>
                      <w:szCs w:val="18"/>
                      <w:shd w:val="clear" w:color="auto" w:fill="auto"/>
                    </w:rPr>
                  </w:pPr>
                  <w:r>
                    <w:rPr>
                      <w:rFonts w:hint="eastAsia" w:ascii="Times New Roman" w:hAnsi="Times New Roman" w:eastAsia="宋体"/>
                      <w:color w:val="auto"/>
                      <w:sz w:val="18"/>
                      <w:szCs w:val="18"/>
                      <w:shd w:val="clear" w:color="auto" w:fill="auto"/>
                      <w:lang w:val="en-US" w:eastAsia="zh-CN"/>
                    </w:rPr>
                    <w:t>24</w:t>
                  </w:r>
                </w:p>
              </w:tc>
              <w:tc>
                <w:tcPr>
                  <w:tcW w:w="649" w:type="pct"/>
                  <w:noWrap w:val="0"/>
                  <w:vAlign w:val="center"/>
                </w:tcPr>
                <w:p>
                  <w:pPr>
                    <w:snapToGrid w:val="0"/>
                    <w:jc w:val="center"/>
                    <w:rPr>
                      <w:rFonts w:hint="default" w:ascii="Times New Roman" w:hAnsi="Times New Roman" w:eastAsia="宋体" w:cs="Times New Roman"/>
                      <w:color w:val="auto"/>
                      <w:sz w:val="18"/>
                      <w:szCs w:val="18"/>
                      <w:shd w:val="clear" w:color="auto" w:fill="auto"/>
                      <w:lang w:val="en-US" w:eastAsia="zh-CN"/>
                    </w:rPr>
                  </w:pPr>
                  <w:r>
                    <w:rPr>
                      <w:rFonts w:hint="eastAsia" w:ascii="Times New Roman" w:hAnsi="Times New Roman" w:eastAsia="宋体" w:cs="Times New Roman"/>
                      <w:color w:val="auto"/>
                      <w:sz w:val="18"/>
                      <w:szCs w:val="18"/>
                      <w:shd w:val="clear" w:color="auto" w:fill="auto"/>
                      <w:lang w:val="en-US" w:eastAsia="zh-CN"/>
                    </w:rPr>
                    <w:t>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5" w:type="pct"/>
                  <w:shd w:val="clear" w:color="auto" w:fill="auto"/>
                  <w:noWrap w:val="0"/>
                  <w:vAlign w:val="center"/>
                </w:tcPr>
                <w:p>
                  <w:pPr>
                    <w:adjustRightInd w:val="0"/>
                    <w:snapToGrid w:val="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蓄热室式加热炉</w:t>
                  </w:r>
                </w:p>
              </w:tc>
              <w:tc>
                <w:tcPr>
                  <w:tcW w:w="758" w:type="pct"/>
                  <w:shd w:val="clear" w:color="auto" w:fill="auto"/>
                  <w:noWrap w:val="0"/>
                  <w:vAlign w:val="center"/>
                </w:tcPr>
                <w:p>
                  <w:pPr>
                    <w:adjustRightInd w:val="0"/>
                    <w:snapToGrid w:val="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5.2x3.6x3m</w:t>
                  </w:r>
                </w:p>
              </w:tc>
              <w:tc>
                <w:tcPr>
                  <w:tcW w:w="485" w:type="pct"/>
                  <w:vMerge w:val="continue"/>
                  <w:shd w:val="clear" w:color="auto" w:fill="auto"/>
                  <w:noWrap w:val="0"/>
                  <w:vAlign w:val="center"/>
                </w:tcPr>
                <w:p>
                  <w:pPr>
                    <w:adjustRightInd w:val="0"/>
                    <w:snapToGrid w:val="0"/>
                    <w:jc w:val="center"/>
                    <w:rPr>
                      <w:rFonts w:hint="eastAsia" w:ascii="Times New Roman" w:hAnsi="Times New Roman" w:eastAsia="宋体" w:cs="Times New Roman"/>
                      <w:color w:val="auto"/>
                      <w:sz w:val="18"/>
                      <w:szCs w:val="18"/>
                      <w:lang w:val="en-US" w:eastAsia="zh-CN"/>
                    </w:rPr>
                  </w:pPr>
                </w:p>
              </w:tc>
              <w:tc>
                <w:tcPr>
                  <w:tcW w:w="565" w:type="pct"/>
                  <w:noWrap w:val="0"/>
                  <w:vAlign w:val="center"/>
                </w:tcPr>
                <w:p>
                  <w:pPr>
                    <w:adjustRightInd w:val="0"/>
                    <w:snapToGrid w:val="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w:t>
                  </w:r>
                </w:p>
              </w:tc>
              <w:tc>
                <w:tcPr>
                  <w:tcW w:w="598"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260</w:t>
                  </w:r>
                </w:p>
              </w:tc>
              <w:tc>
                <w:tcPr>
                  <w:tcW w:w="492" w:type="pct"/>
                  <w:noWrap w:val="0"/>
                  <w:vAlign w:val="center"/>
                </w:tcPr>
                <w:p>
                  <w:pPr>
                    <w:pStyle w:val="9"/>
                    <w:snapToGrid w:val="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300</w:t>
                  </w:r>
                </w:p>
              </w:tc>
              <w:tc>
                <w:tcPr>
                  <w:tcW w:w="485" w:type="pct"/>
                  <w:noWrap w:val="0"/>
                  <w:vAlign w:val="center"/>
                </w:tcPr>
                <w:p>
                  <w:pPr>
                    <w:pStyle w:val="9"/>
                    <w:snapToGrid w:val="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24</w:t>
                  </w:r>
                </w:p>
              </w:tc>
              <w:tc>
                <w:tcPr>
                  <w:tcW w:w="649" w:type="pct"/>
                  <w:noWrap w:val="0"/>
                  <w:vAlign w:val="center"/>
                </w:tcPr>
                <w:p>
                  <w:pPr>
                    <w:pStyle w:val="9"/>
                    <w:snapToGrid w:val="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187.2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5" w:type="pct"/>
                  <w:shd w:val="clear" w:color="auto" w:fill="auto"/>
                  <w:noWrap w:val="0"/>
                  <w:vAlign w:val="center"/>
                </w:tcPr>
                <w:p>
                  <w:pPr>
                    <w:adjustRightInd w:val="0"/>
                    <w:snapToGrid w:val="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蓄热室式加热炉</w:t>
                  </w:r>
                </w:p>
              </w:tc>
              <w:tc>
                <w:tcPr>
                  <w:tcW w:w="758" w:type="pct"/>
                  <w:shd w:val="clear" w:color="auto" w:fill="auto"/>
                  <w:noWrap w:val="0"/>
                  <w:vAlign w:val="center"/>
                </w:tcPr>
                <w:p>
                  <w:pPr>
                    <w:adjustRightInd w:val="0"/>
                    <w:snapToGrid w:val="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5.3x5x3.5m</w:t>
                  </w:r>
                </w:p>
              </w:tc>
              <w:tc>
                <w:tcPr>
                  <w:tcW w:w="485" w:type="pct"/>
                  <w:vMerge w:val="continue"/>
                  <w:shd w:val="clear" w:color="auto" w:fill="auto"/>
                  <w:noWrap w:val="0"/>
                  <w:vAlign w:val="center"/>
                </w:tcPr>
                <w:p>
                  <w:pPr>
                    <w:adjustRightInd w:val="0"/>
                    <w:snapToGrid w:val="0"/>
                    <w:jc w:val="center"/>
                    <w:rPr>
                      <w:rFonts w:hint="eastAsia" w:ascii="Times New Roman" w:hAnsi="Times New Roman" w:eastAsia="宋体" w:cs="Times New Roman"/>
                      <w:color w:val="auto"/>
                      <w:sz w:val="18"/>
                      <w:szCs w:val="18"/>
                      <w:lang w:val="en-US" w:eastAsia="zh-CN"/>
                    </w:rPr>
                  </w:pPr>
                </w:p>
              </w:tc>
              <w:tc>
                <w:tcPr>
                  <w:tcW w:w="565" w:type="pct"/>
                  <w:noWrap w:val="0"/>
                  <w:vAlign w:val="center"/>
                </w:tcPr>
                <w:p>
                  <w:pPr>
                    <w:adjustRightInd w:val="0"/>
                    <w:snapToGrid w:val="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w:t>
                  </w:r>
                </w:p>
              </w:tc>
              <w:tc>
                <w:tcPr>
                  <w:tcW w:w="598"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300</w:t>
                  </w:r>
                </w:p>
              </w:tc>
              <w:tc>
                <w:tcPr>
                  <w:tcW w:w="492" w:type="pct"/>
                  <w:noWrap w:val="0"/>
                  <w:vAlign w:val="center"/>
                </w:tcPr>
                <w:p>
                  <w:pPr>
                    <w:pStyle w:val="9"/>
                    <w:snapToGrid w:val="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300</w:t>
                  </w:r>
                </w:p>
              </w:tc>
              <w:tc>
                <w:tcPr>
                  <w:tcW w:w="485" w:type="pct"/>
                  <w:noWrap w:val="0"/>
                  <w:vAlign w:val="center"/>
                </w:tcPr>
                <w:p>
                  <w:pPr>
                    <w:pStyle w:val="9"/>
                    <w:snapToGrid w:val="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24</w:t>
                  </w:r>
                </w:p>
              </w:tc>
              <w:tc>
                <w:tcPr>
                  <w:tcW w:w="649" w:type="pct"/>
                  <w:noWrap w:val="0"/>
                  <w:vAlign w:val="center"/>
                </w:tcPr>
                <w:p>
                  <w:pPr>
                    <w:pStyle w:val="9"/>
                    <w:snapToGrid w:val="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1080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5" w:type="pct"/>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2"/>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台车式退火炉</w:t>
                  </w:r>
                </w:p>
              </w:tc>
              <w:tc>
                <w:tcPr>
                  <w:tcW w:w="758"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15x3.2x2.1m</w:t>
                  </w:r>
                </w:p>
              </w:tc>
              <w:tc>
                <w:tcPr>
                  <w:tcW w:w="485" w:type="pct"/>
                  <w:vMerge w:val="restart"/>
                  <w:shd w:val="clear" w:color="auto" w:fill="auto"/>
                  <w:noWrap w:val="0"/>
                  <w:vAlign w:val="center"/>
                </w:tcPr>
                <w:p>
                  <w:pPr>
                    <w:jc w:val="center"/>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DA004</w:t>
                  </w:r>
                </w:p>
              </w:tc>
              <w:tc>
                <w:tcPr>
                  <w:tcW w:w="565" w:type="pct"/>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w:t>
                  </w:r>
                </w:p>
              </w:tc>
              <w:tc>
                <w:tcPr>
                  <w:tcW w:w="598" w:type="pct"/>
                  <w:noWrap w:val="0"/>
                  <w:vAlign w:val="center"/>
                </w:tcPr>
                <w:p>
                  <w:pPr>
                    <w:pStyle w:val="9"/>
                    <w:snapToGrid w:val="0"/>
                    <w:jc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300</w:t>
                  </w:r>
                </w:p>
              </w:tc>
              <w:tc>
                <w:tcPr>
                  <w:tcW w:w="492" w:type="pct"/>
                  <w:noWrap w:val="0"/>
                  <w:vAlign w:val="center"/>
                </w:tcPr>
                <w:p>
                  <w:pPr>
                    <w:pStyle w:val="9"/>
                    <w:snapToGrid w:val="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300</w:t>
                  </w:r>
                </w:p>
              </w:tc>
              <w:tc>
                <w:tcPr>
                  <w:tcW w:w="485" w:type="pct"/>
                  <w:noWrap w:val="0"/>
                  <w:vAlign w:val="center"/>
                </w:tcPr>
                <w:p>
                  <w:pPr>
                    <w:pStyle w:val="9"/>
                    <w:snapToGrid w:val="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24</w:t>
                  </w:r>
                </w:p>
              </w:tc>
              <w:tc>
                <w:tcPr>
                  <w:tcW w:w="649" w:type="pct"/>
                  <w:noWrap w:val="0"/>
                  <w:vAlign w:val="center"/>
                </w:tcPr>
                <w:p>
                  <w:pPr>
                    <w:pStyle w:val="9"/>
                    <w:snapToGrid w:val="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5" w:type="pct"/>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台车式退火炉</w:t>
                  </w:r>
                </w:p>
              </w:tc>
              <w:tc>
                <w:tcPr>
                  <w:tcW w:w="758"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12x3.2x2.1m</w:t>
                  </w:r>
                </w:p>
              </w:tc>
              <w:tc>
                <w:tcPr>
                  <w:tcW w:w="485" w:type="pct"/>
                  <w:vMerge w:val="continue"/>
                  <w:shd w:val="clear" w:color="auto" w:fill="auto"/>
                  <w:noWrap w:val="0"/>
                  <w:vAlign w:val="center"/>
                </w:tcPr>
                <w:p>
                  <w:pPr>
                    <w:jc w:val="center"/>
                    <w:rPr>
                      <w:rFonts w:hint="eastAsia" w:ascii="Times New Roman" w:hAnsi="Times New Roman" w:eastAsia="宋体" w:cs="Times New Roman"/>
                      <w:color w:val="auto"/>
                      <w:sz w:val="18"/>
                      <w:szCs w:val="18"/>
                      <w:lang w:val="en-US" w:eastAsia="zh-CN"/>
                    </w:rPr>
                  </w:pPr>
                </w:p>
              </w:tc>
              <w:tc>
                <w:tcPr>
                  <w:tcW w:w="565" w:type="pct"/>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w:t>
                  </w:r>
                </w:p>
              </w:tc>
              <w:tc>
                <w:tcPr>
                  <w:tcW w:w="598" w:type="pct"/>
                  <w:noWrap w:val="0"/>
                  <w:vAlign w:val="center"/>
                </w:tcPr>
                <w:p>
                  <w:pPr>
                    <w:pStyle w:val="9"/>
                    <w:snapToGrid w:val="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400</w:t>
                  </w:r>
                </w:p>
              </w:tc>
              <w:tc>
                <w:tcPr>
                  <w:tcW w:w="492" w:type="pct"/>
                  <w:noWrap w:val="0"/>
                  <w:vAlign w:val="center"/>
                </w:tcPr>
                <w:p>
                  <w:pPr>
                    <w:pStyle w:val="9"/>
                    <w:snapToGrid w:val="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300</w:t>
                  </w:r>
                </w:p>
              </w:tc>
              <w:tc>
                <w:tcPr>
                  <w:tcW w:w="485" w:type="pct"/>
                  <w:noWrap w:val="0"/>
                  <w:vAlign w:val="center"/>
                </w:tcPr>
                <w:p>
                  <w:pPr>
                    <w:pStyle w:val="9"/>
                    <w:snapToGrid w:val="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24</w:t>
                  </w:r>
                </w:p>
              </w:tc>
              <w:tc>
                <w:tcPr>
                  <w:tcW w:w="649" w:type="pct"/>
                  <w:noWrap w:val="0"/>
                  <w:vAlign w:val="center"/>
                </w:tcPr>
                <w:p>
                  <w:pPr>
                    <w:pStyle w:val="9"/>
                    <w:snapToGrid w:val="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288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5" w:type="pct"/>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台车式退火炉</w:t>
                  </w:r>
                </w:p>
              </w:tc>
              <w:tc>
                <w:tcPr>
                  <w:tcW w:w="758"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12x3.2x2.1m</w:t>
                  </w:r>
                </w:p>
              </w:tc>
              <w:tc>
                <w:tcPr>
                  <w:tcW w:w="485" w:type="pct"/>
                  <w:vMerge w:val="continue"/>
                  <w:shd w:val="clear" w:color="auto" w:fill="auto"/>
                  <w:noWrap w:val="0"/>
                  <w:vAlign w:val="center"/>
                </w:tcPr>
                <w:p>
                  <w:pPr>
                    <w:jc w:val="center"/>
                    <w:rPr>
                      <w:rFonts w:hint="eastAsia" w:ascii="Times New Roman" w:hAnsi="Times New Roman" w:eastAsia="宋体" w:cs="Times New Roman"/>
                      <w:color w:val="auto"/>
                      <w:sz w:val="18"/>
                      <w:szCs w:val="18"/>
                      <w:lang w:val="en-US" w:eastAsia="zh-CN"/>
                    </w:rPr>
                  </w:pPr>
                </w:p>
              </w:tc>
              <w:tc>
                <w:tcPr>
                  <w:tcW w:w="565" w:type="pct"/>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w:t>
                  </w:r>
                </w:p>
              </w:tc>
              <w:tc>
                <w:tcPr>
                  <w:tcW w:w="598" w:type="pct"/>
                  <w:noWrap w:val="0"/>
                  <w:vAlign w:val="center"/>
                </w:tcPr>
                <w:p>
                  <w:pPr>
                    <w:pStyle w:val="9"/>
                    <w:snapToGrid w:val="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400</w:t>
                  </w:r>
                </w:p>
              </w:tc>
              <w:tc>
                <w:tcPr>
                  <w:tcW w:w="492" w:type="pct"/>
                  <w:noWrap w:val="0"/>
                  <w:vAlign w:val="center"/>
                </w:tcPr>
                <w:p>
                  <w:pPr>
                    <w:pStyle w:val="9"/>
                    <w:snapToGrid w:val="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300</w:t>
                  </w:r>
                </w:p>
              </w:tc>
              <w:tc>
                <w:tcPr>
                  <w:tcW w:w="485" w:type="pct"/>
                  <w:noWrap w:val="0"/>
                  <w:vAlign w:val="center"/>
                </w:tcPr>
                <w:p>
                  <w:pPr>
                    <w:pStyle w:val="9"/>
                    <w:snapToGrid w:val="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24</w:t>
                  </w:r>
                </w:p>
              </w:tc>
              <w:tc>
                <w:tcPr>
                  <w:tcW w:w="649" w:type="pct"/>
                  <w:noWrap w:val="0"/>
                  <w:vAlign w:val="center"/>
                </w:tcPr>
                <w:p>
                  <w:pPr>
                    <w:pStyle w:val="9"/>
                    <w:snapToGrid w:val="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288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5" w:type="pct"/>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台车式退火炉</w:t>
                  </w:r>
                </w:p>
              </w:tc>
              <w:tc>
                <w:tcPr>
                  <w:tcW w:w="758"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9x3.2x1.5m</w:t>
                  </w:r>
                </w:p>
              </w:tc>
              <w:tc>
                <w:tcPr>
                  <w:tcW w:w="485" w:type="pct"/>
                  <w:vMerge w:val="restart"/>
                  <w:shd w:val="clear" w:color="auto" w:fill="auto"/>
                  <w:noWrap w:val="0"/>
                  <w:vAlign w:val="center"/>
                </w:tcPr>
                <w:p>
                  <w:pPr>
                    <w:jc w:val="center"/>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DA005</w:t>
                  </w:r>
                </w:p>
              </w:tc>
              <w:tc>
                <w:tcPr>
                  <w:tcW w:w="565" w:type="pct"/>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2</w:t>
                  </w:r>
                </w:p>
              </w:tc>
              <w:tc>
                <w:tcPr>
                  <w:tcW w:w="598" w:type="pct"/>
                  <w:noWrap w:val="0"/>
                  <w:vAlign w:val="center"/>
                </w:tcPr>
                <w:p>
                  <w:pPr>
                    <w:pStyle w:val="9"/>
                    <w:snapToGrid w:val="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300</w:t>
                  </w:r>
                </w:p>
              </w:tc>
              <w:tc>
                <w:tcPr>
                  <w:tcW w:w="492" w:type="pct"/>
                  <w:noWrap w:val="0"/>
                  <w:vAlign w:val="center"/>
                </w:tcPr>
                <w:p>
                  <w:pPr>
                    <w:pStyle w:val="9"/>
                    <w:snapToGrid w:val="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300</w:t>
                  </w:r>
                </w:p>
              </w:tc>
              <w:tc>
                <w:tcPr>
                  <w:tcW w:w="485" w:type="pct"/>
                  <w:noWrap w:val="0"/>
                  <w:vAlign w:val="center"/>
                </w:tcPr>
                <w:p>
                  <w:pPr>
                    <w:pStyle w:val="9"/>
                    <w:snapToGrid w:val="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24</w:t>
                  </w:r>
                </w:p>
              </w:tc>
              <w:tc>
                <w:tcPr>
                  <w:tcW w:w="649" w:type="pct"/>
                  <w:noWrap w:val="0"/>
                  <w:vAlign w:val="center"/>
                </w:tcPr>
                <w:p>
                  <w:pPr>
                    <w:pStyle w:val="9"/>
                    <w:snapToGrid w:val="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432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5" w:type="pct"/>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台车式退火炉</w:t>
                  </w:r>
                </w:p>
              </w:tc>
              <w:tc>
                <w:tcPr>
                  <w:tcW w:w="758"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9x4x1.8m</w:t>
                  </w:r>
                </w:p>
              </w:tc>
              <w:tc>
                <w:tcPr>
                  <w:tcW w:w="485" w:type="pct"/>
                  <w:vMerge w:val="continue"/>
                  <w:shd w:val="clear" w:color="auto" w:fill="auto"/>
                  <w:noWrap w:val="0"/>
                  <w:vAlign w:val="center"/>
                </w:tcPr>
                <w:p>
                  <w:pPr>
                    <w:jc w:val="center"/>
                    <w:rPr>
                      <w:rFonts w:hint="eastAsia" w:ascii="Times New Roman" w:hAnsi="Times New Roman" w:eastAsia="宋体" w:cs="Times New Roman"/>
                      <w:color w:val="auto"/>
                      <w:sz w:val="18"/>
                      <w:szCs w:val="18"/>
                      <w:lang w:val="en-US" w:eastAsia="zh-CN"/>
                    </w:rPr>
                  </w:pPr>
                </w:p>
              </w:tc>
              <w:tc>
                <w:tcPr>
                  <w:tcW w:w="565" w:type="pct"/>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w:t>
                  </w:r>
                </w:p>
              </w:tc>
              <w:tc>
                <w:tcPr>
                  <w:tcW w:w="598" w:type="pct"/>
                  <w:noWrap w:val="0"/>
                  <w:vAlign w:val="center"/>
                </w:tcPr>
                <w:p>
                  <w:pPr>
                    <w:pStyle w:val="9"/>
                    <w:snapToGrid w:val="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300</w:t>
                  </w:r>
                </w:p>
              </w:tc>
              <w:tc>
                <w:tcPr>
                  <w:tcW w:w="492" w:type="pct"/>
                  <w:noWrap w:val="0"/>
                  <w:vAlign w:val="center"/>
                </w:tcPr>
                <w:p>
                  <w:pPr>
                    <w:pStyle w:val="9"/>
                    <w:snapToGrid w:val="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300</w:t>
                  </w:r>
                </w:p>
              </w:tc>
              <w:tc>
                <w:tcPr>
                  <w:tcW w:w="485" w:type="pct"/>
                  <w:noWrap w:val="0"/>
                  <w:vAlign w:val="center"/>
                </w:tcPr>
                <w:p>
                  <w:pPr>
                    <w:pStyle w:val="9"/>
                    <w:snapToGrid w:val="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24</w:t>
                  </w:r>
                </w:p>
              </w:tc>
              <w:tc>
                <w:tcPr>
                  <w:tcW w:w="649" w:type="pct"/>
                  <w:noWrap w:val="0"/>
                  <w:vAlign w:val="center"/>
                </w:tcPr>
                <w:p>
                  <w:pPr>
                    <w:pStyle w:val="9"/>
                    <w:snapToGrid w:val="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5" w:type="pct"/>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shd w:val="clear" w:color="auto" w:fill="auto"/>
                      <w:lang w:val="en-US" w:eastAsia="zh-CN" w:bidi="ar"/>
                    </w:rPr>
                  </w:pPr>
                  <w:r>
                    <w:rPr>
                      <w:rFonts w:hint="eastAsia" w:ascii="宋体" w:hAnsi="宋体" w:eastAsia="宋体" w:cs="宋体"/>
                      <w:i w:val="0"/>
                      <w:iCs w:val="0"/>
                      <w:color w:val="auto"/>
                      <w:kern w:val="0"/>
                      <w:sz w:val="18"/>
                      <w:szCs w:val="18"/>
                      <w:u w:val="none"/>
                      <w:shd w:val="clear" w:color="auto" w:fill="auto"/>
                      <w:lang w:val="en-US" w:eastAsia="zh-CN" w:bidi="ar"/>
                    </w:rPr>
                    <w:t>台车式退火炉</w:t>
                  </w:r>
                </w:p>
              </w:tc>
              <w:tc>
                <w:tcPr>
                  <w:tcW w:w="758" w:type="pct"/>
                  <w:shd w:val="clear" w:color="auto" w:fill="auto"/>
                  <w:noWrap w:val="0"/>
                  <w:vAlign w:val="center"/>
                </w:tcPr>
                <w:p>
                  <w:pPr>
                    <w:jc w:val="center"/>
                    <w:rPr>
                      <w:rFonts w:hint="eastAsia" w:ascii="Times New Roman" w:hAnsi="Times New Roman" w:eastAsia="宋体" w:cs="Times New Roman"/>
                      <w:color w:val="auto"/>
                      <w:kern w:val="2"/>
                      <w:sz w:val="18"/>
                      <w:szCs w:val="18"/>
                      <w:shd w:val="clear" w:color="auto" w:fill="auto"/>
                      <w:lang w:val="en-US" w:eastAsia="zh-CN" w:bidi="ar-SA"/>
                    </w:rPr>
                  </w:pPr>
                  <w:r>
                    <w:rPr>
                      <w:rFonts w:hint="eastAsia" w:ascii="Times New Roman" w:hAnsi="Times New Roman" w:eastAsia="宋体" w:cs="Times New Roman"/>
                      <w:color w:val="auto"/>
                      <w:sz w:val="18"/>
                      <w:szCs w:val="18"/>
                      <w:shd w:val="clear" w:color="auto" w:fill="auto"/>
                      <w:lang w:val="en-US" w:eastAsia="zh-CN"/>
                    </w:rPr>
                    <w:t>18x3.2x1.5m</w:t>
                  </w:r>
                </w:p>
              </w:tc>
              <w:tc>
                <w:tcPr>
                  <w:tcW w:w="485" w:type="pct"/>
                  <w:shd w:val="clear" w:color="auto" w:fill="auto"/>
                  <w:noWrap w:val="0"/>
                  <w:vAlign w:val="center"/>
                </w:tcPr>
                <w:p>
                  <w:pPr>
                    <w:jc w:val="center"/>
                    <w:rPr>
                      <w:rFonts w:hint="eastAsia" w:ascii="Times New Roman" w:hAnsi="Times New Roman" w:eastAsia="宋体" w:cs="Times New Roman"/>
                      <w:color w:val="auto"/>
                      <w:sz w:val="18"/>
                      <w:szCs w:val="18"/>
                      <w:shd w:val="clear" w:color="auto" w:fill="auto"/>
                      <w:lang w:val="en-US" w:eastAsia="zh-CN"/>
                    </w:rPr>
                  </w:pPr>
                  <w:r>
                    <w:rPr>
                      <w:rFonts w:hint="eastAsia" w:cs="Times New Roman"/>
                      <w:color w:val="auto"/>
                      <w:sz w:val="18"/>
                      <w:szCs w:val="18"/>
                      <w:lang w:val="en-US" w:eastAsia="zh-CN"/>
                    </w:rPr>
                    <w:t>DA006</w:t>
                  </w:r>
                </w:p>
              </w:tc>
              <w:tc>
                <w:tcPr>
                  <w:tcW w:w="565" w:type="pct"/>
                  <w:shd w:val="clear" w:color="auto" w:fill="auto"/>
                  <w:noWrap w:val="0"/>
                  <w:vAlign w:val="center"/>
                </w:tcPr>
                <w:p>
                  <w:pPr>
                    <w:adjustRightInd w:val="0"/>
                    <w:snapToGrid w:val="0"/>
                    <w:jc w:val="center"/>
                    <w:rPr>
                      <w:rFonts w:hint="eastAsia" w:ascii="Times New Roman" w:hAnsi="Times New Roman" w:eastAsia="宋体" w:cs="Times New Roman"/>
                      <w:color w:val="auto"/>
                      <w:sz w:val="18"/>
                      <w:szCs w:val="18"/>
                      <w:shd w:val="clear" w:color="auto" w:fill="auto"/>
                      <w:lang w:val="en-US" w:eastAsia="zh-CN"/>
                    </w:rPr>
                  </w:pPr>
                  <w:r>
                    <w:rPr>
                      <w:rFonts w:hint="default" w:ascii="Times New Roman" w:hAnsi="Times New Roman" w:eastAsia="宋体" w:cs="Times New Roman"/>
                      <w:color w:val="auto"/>
                      <w:sz w:val="18"/>
                      <w:szCs w:val="18"/>
                      <w:shd w:val="clear" w:color="auto" w:fill="auto"/>
                      <w:lang w:val="en-US" w:eastAsia="zh-CN"/>
                    </w:rPr>
                    <w:t>1</w:t>
                  </w:r>
                </w:p>
              </w:tc>
              <w:tc>
                <w:tcPr>
                  <w:tcW w:w="598" w:type="pct"/>
                  <w:noWrap w:val="0"/>
                  <w:vAlign w:val="center"/>
                </w:tcPr>
                <w:p>
                  <w:pPr>
                    <w:pStyle w:val="9"/>
                    <w:snapToGrid w:val="0"/>
                    <w:jc w:val="center"/>
                    <w:rPr>
                      <w:rFonts w:hint="eastAsia" w:ascii="Times New Roman" w:hAnsi="Times New Roman" w:eastAsia="宋体" w:cs="Times New Roman"/>
                      <w:color w:val="auto"/>
                      <w:sz w:val="18"/>
                      <w:szCs w:val="18"/>
                      <w:shd w:val="clear" w:color="auto" w:fill="auto"/>
                      <w:lang w:val="en-US" w:eastAsia="zh-CN"/>
                    </w:rPr>
                  </w:pPr>
                  <w:r>
                    <w:rPr>
                      <w:rFonts w:hint="eastAsia" w:ascii="Times New Roman" w:hAnsi="Times New Roman" w:eastAsia="宋体" w:cs="Times New Roman"/>
                      <w:color w:val="auto"/>
                      <w:sz w:val="18"/>
                      <w:szCs w:val="18"/>
                      <w:shd w:val="clear" w:color="auto" w:fill="auto"/>
                      <w:lang w:val="en-US" w:eastAsia="zh-CN"/>
                    </w:rPr>
                    <w:t>600</w:t>
                  </w:r>
                </w:p>
              </w:tc>
              <w:tc>
                <w:tcPr>
                  <w:tcW w:w="492" w:type="pct"/>
                  <w:noWrap w:val="0"/>
                  <w:vAlign w:val="center"/>
                </w:tcPr>
                <w:p>
                  <w:pPr>
                    <w:pStyle w:val="9"/>
                    <w:snapToGrid w:val="0"/>
                    <w:jc w:val="center"/>
                    <w:rPr>
                      <w:rFonts w:hint="eastAsia" w:ascii="Times New Roman" w:hAnsi="Times New Roman" w:eastAsia="宋体" w:cs="Times New Roman"/>
                      <w:color w:val="auto"/>
                      <w:sz w:val="18"/>
                      <w:szCs w:val="18"/>
                      <w:shd w:val="clear" w:color="auto" w:fill="auto"/>
                      <w:lang w:val="en-US" w:eastAsia="zh-CN"/>
                    </w:rPr>
                  </w:pPr>
                  <w:r>
                    <w:rPr>
                      <w:rFonts w:hint="eastAsia" w:ascii="Times New Roman" w:hAnsi="Times New Roman" w:eastAsia="宋体" w:cs="Times New Roman"/>
                      <w:color w:val="auto"/>
                      <w:sz w:val="18"/>
                      <w:szCs w:val="18"/>
                      <w:shd w:val="clear" w:color="auto" w:fill="auto"/>
                      <w:lang w:val="en-US" w:eastAsia="zh-CN"/>
                    </w:rPr>
                    <w:t>300</w:t>
                  </w:r>
                </w:p>
              </w:tc>
              <w:tc>
                <w:tcPr>
                  <w:tcW w:w="485" w:type="pct"/>
                  <w:noWrap w:val="0"/>
                  <w:vAlign w:val="center"/>
                </w:tcPr>
                <w:p>
                  <w:pPr>
                    <w:pStyle w:val="9"/>
                    <w:snapToGrid w:val="0"/>
                    <w:jc w:val="center"/>
                    <w:rPr>
                      <w:rFonts w:hint="eastAsia" w:ascii="Times New Roman" w:hAnsi="Times New Roman" w:eastAsia="宋体" w:cs="Times New Roman"/>
                      <w:color w:val="auto"/>
                      <w:sz w:val="18"/>
                      <w:szCs w:val="18"/>
                      <w:shd w:val="clear" w:color="auto" w:fill="auto"/>
                      <w:lang w:val="en-US" w:eastAsia="zh-CN"/>
                    </w:rPr>
                  </w:pPr>
                  <w:r>
                    <w:rPr>
                      <w:rFonts w:hint="eastAsia" w:ascii="Times New Roman" w:hAnsi="Times New Roman" w:eastAsia="宋体" w:cs="Times New Roman"/>
                      <w:color w:val="auto"/>
                      <w:sz w:val="18"/>
                      <w:szCs w:val="18"/>
                      <w:shd w:val="clear" w:color="auto" w:fill="auto"/>
                      <w:lang w:val="en-US" w:eastAsia="zh-CN"/>
                    </w:rPr>
                    <w:t>24</w:t>
                  </w:r>
                </w:p>
              </w:tc>
              <w:tc>
                <w:tcPr>
                  <w:tcW w:w="649" w:type="pct"/>
                  <w:noWrap w:val="0"/>
                  <w:vAlign w:val="center"/>
                </w:tcPr>
                <w:p>
                  <w:pPr>
                    <w:pStyle w:val="9"/>
                    <w:snapToGrid w:val="0"/>
                    <w:jc w:val="center"/>
                    <w:rPr>
                      <w:rFonts w:hint="eastAsia" w:ascii="Times New Roman" w:hAnsi="Times New Roman" w:eastAsia="宋体" w:cs="Times New Roman"/>
                      <w:color w:val="auto"/>
                      <w:sz w:val="18"/>
                      <w:szCs w:val="18"/>
                      <w:shd w:val="clear" w:color="auto" w:fill="auto"/>
                      <w:lang w:val="en-US" w:eastAsia="zh-CN"/>
                    </w:rPr>
                  </w:pPr>
                  <w:r>
                    <w:rPr>
                      <w:rFonts w:hint="eastAsia" w:ascii="Times New Roman" w:hAnsi="Times New Roman" w:eastAsia="宋体" w:cs="Times New Roman"/>
                      <w:color w:val="auto"/>
                      <w:sz w:val="18"/>
                      <w:szCs w:val="18"/>
                      <w:shd w:val="clear" w:color="auto" w:fill="auto"/>
                      <w:lang w:val="en-US" w:eastAsia="zh-CN"/>
                    </w:rPr>
                    <w:t>432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50" w:type="pct"/>
                  <w:gridSpan w:val="7"/>
                  <w:shd w:val="clear" w:color="auto" w:fill="auto"/>
                  <w:noWrap w:val="0"/>
                  <w:vAlign w:val="center"/>
                </w:tcPr>
                <w:p>
                  <w:pPr>
                    <w:adjustRightInd w:val="0"/>
                    <w:snapToGrid w:val="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合计</w:t>
                  </w:r>
                </w:p>
              </w:tc>
              <w:tc>
                <w:tcPr>
                  <w:tcW w:w="649" w:type="pct"/>
                  <w:shd w:val="clear" w:color="auto" w:fill="auto"/>
                  <w:noWrap w:val="0"/>
                  <w:vAlign w:val="center"/>
                </w:tcPr>
                <w:p>
                  <w:pPr>
                    <w:adjustRightInd w:val="0"/>
                    <w:snapToGrid w:val="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3960</w:t>
                  </w:r>
                </w:p>
              </w:tc>
            </w:tr>
          </w:tbl>
          <w:p>
            <w:pPr>
              <w:spacing w:line="500" w:lineRule="exact"/>
              <w:jc w:val="center"/>
              <w:rPr>
                <w:rFonts w:ascii="Times New Roman" w:hAnsi="Times New Roman" w:eastAsia="宋体" w:cs="Times New Roman"/>
                <w:b/>
                <w:bCs/>
                <w:color w:val="auto"/>
              </w:rPr>
            </w:pPr>
            <w:r>
              <w:rPr>
                <w:rFonts w:ascii="Times New Roman" w:hAnsi="Times New Roman" w:eastAsia="宋体" w:cs="Times New Roman"/>
                <w:b/>
                <w:bCs/>
                <w:color w:val="auto"/>
              </w:rPr>
              <w:t>表</w:t>
            </w:r>
            <w:r>
              <w:rPr>
                <w:rFonts w:hint="eastAsia" w:ascii="Times New Roman" w:hAnsi="Times New Roman" w:eastAsia="宋体" w:cs="Times New Roman"/>
                <w:b/>
                <w:bCs/>
                <w:color w:val="auto"/>
              </w:rPr>
              <w:t>2</w:t>
            </w:r>
            <w:r>
              <w:rPr>
                <w:rFonts w:ascii="Times New Roman" w:hAnsi="Times New Roman" w:eastAsia="宋体" w:cs="Times New Roman"/>
                <w:b/>
                <w:bCs/>
                <w:color w:val="auto"/>
              </w:rPr>
              <w:t>-</w:t>
            </w:r>
            <w:r>
              <w:rPr>
                <w:rFonts w:hint="eastAsia" w:cs="Times New Roman"/>
                <w:b/>
                <w:bCs/>
                <w:color w:val="auto"/>
                <w:lang w:val="en-US" w:eastAsia="zh-CN"/>
              </w:rPr>
              <w:t>10</w:t>
            </w:r>
            <w:r>
              <w:rPr>
                <w:rFonts w:ascii="Times New Roman" w:hAnsi="Times New Roman" w:eastAsia="宋体" w:cs="Times New Roman"/>
                <w:b/>
                <w:bCs/>
                <w:color w:val="auto"/>
              </w:rPr>
              <w:t xml:space="preserve">  </w:t>
            </w:r>
            <w:r>
              <w:rPr>
                <w:rFonts w:hint="eastAsia" w:ascii="Times New Roman" w:hAnsi="Times New Roman" w:eastAsia="宋体" w:cs="Times New Roman"/>
                <w:b/>
                <w:bCs/>
                <w:color w:val="auto"/>
                <w:lang w:val="en-US" w:eastAsia="zh-CN"/>
              </w:rPr>
              <w:t>改扩建</w:t>
            </w:r>
            <w:r>
              <w:rPr>
                <w:rFonts w:hint="eastAsia" w:ascii="Times New Roman" w:hAnsi="Times New Roman" w:eastAsia="宋体" w:cs="Times New Roman"/>
                <w:b/>
                <w:bCs/>
                <w:color w:val="auto"/>
                <w:lang w:eastAsia="zh-CN"/>
              </w:rPr>
              <w:t>天然气</w:t>
            </w:r>
            <w:r>
              <w:rPr>
                <w:rFonts w:hint="eastAsia" w:ascii="Times New Roman" w:hAnsi="Times New Roman" w:eastAsia="宋体" w:cs="Times New Roman"/>
                <w:b/>
                <w:bCs/>
                <w:color w:val="auto"/>
              </w:rPr>
              <w:t>设备</w:t>
            </w:r>
            <w:r>
              <w:rPr>
                <w:rFonts w:hint="eastAsia" w:ascii="Times New Roman" w:hAnsi="Times New Roman" w:eastAsia="宋体" w:cs="Times New Roman"/>
                <w:b/>
                <w:bCs/>
                <w:color w:val="auto"/>
                <w:lang w:eastAsia="zh-CN"/>
              </w:rPr>
              <w:t>能耗</w:t>
            </w:r>
            <w:r>
              <w:rPr>
                <w:rFonts w:hint="eastAsia" w:ascii="Times New Roman" w:hAnsi="Times New Roman" w:eastAsia="宋体" w:cs="Times New Roman"/>
                <w:b/>
                <w:bCs/>
                <w:color w:val="auto"/>
              </w:rPr>
              <w:t>表</w:t>
            </w:r>
          </w:p>
          <w:tbl>
            <w:tblPr>
              <w:tblStyle w:val="21"/>
              <w:tblW w:w="4944"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11"/>
              <w:gridCol w:w="1259"/>
              <w:gridCol w:w="776"/>
              <w:gridCol w:w="871"/>
              <w:gridCol w:w="923"/>
              <w:gridCol w:w="808"/>
              <w:gridCol w:w="766"/>
              <w:gridCol w:w="9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8" w:type="pct"/>
                  <w:noWrap w:val="0"/>
                  <w:vAlign w:val="center"/>
                </w:tcPr>
                <w:p>
                  <w:pPr>
                    <w:jc w:val="center"/>
                    <w:rPr>
                      <w:color w:val="auto"/>
                      <w:sz w:val="18"/>
                      <w:szCs w:val="18"/>
                    </w:rPr>
                  </w:pPr>
                  <w:r>
                    <w:rPr>
                      <w:rFonts w:hint="eastAsia"/>
                      <w:color w:val="auto"/>
                      <w:sz w:val="18"/>
                      <w:szCs w:val="18"/>
                    </w:rPr>
                    <w:t>设备</w:t>
                  </w:r>
                  <w:r>
                    <w:rPr>
                      <w:color w:val="auto"/>
                      <w:sz w:val="18"/>
                      <w:szCs w:val="18"/>
                    </w:rPr>
                    <w:t>名称</w:t>
                  </w:r>
                </w:p>
              </w:tc>
              <w:tc>
                <w:tcPr>
                  <w:tcW w:w="798" w:type="pct"/>
                  <w:noWrap w:val="0"/>
                  <w:vAlign w:val="center"/>
                </w:tcPr>
                <w:p>
                  <w:pPr>
                    <w:jc w:val="center"/>
                    <w:rPr>
                      <w:color w:val="auto"/>
                      <w:sz w:val="18"/>
                      <w:szCs w:val="18"/>
                    </w:rPr>
                  </w:pPr>
                  <w:r>
                    <w:rPr>
                      <w:color w:val="auto"/>
                      <w:sz w:val="18"/>
                      <w:szCs w:val="18"/>
                    </w:rPr>
                    <w:t>型号</w:t>
                  </w:r>
                </w:p>
              </w:tc>
              <w:tc>
                <w:tcPr>
                  <w:tcW w:w="492" w:type="pct"/>
                  <w:noWrap w:val="0"/>
                  <w:vAlign w:val="center"/>
                </w:tcPr>
                <w:p>
                  <w:pPr>
                    <w:jc w:val="center"/>
                    <w:rPr>
                      <w:color w:val="auto"/>
                      <w:sz w:val="18"/>
                      <w:szCs w:val="18"/>
                    </w:rPr>
                  </w:pPr>
                  <w:r>
                    <w:rPr>
                      <w:rFonts w:hint="eastAsia"/>
                      <w:color w:val="auto"/>
                      <w:sz w:val="18"/>
                      <w:szCs w:val="18"/>
                      <w:lang w:eastAsia="zh-CN"/>
                    </w:rPr>
                    <w:t>排气筒编号</w:t>
                  </w:r>
                </w:p>
              </w:tc>
              <w:tc>
                <w:tcPr>
                  <w:tcW w:w="552" w:type="pct"/>
                  <w:noWrap w:val="0"/>
                  <w:vAlign w:val="center"/>
                </w:tcPr>
                <w:p>
                  <w:pPr>
                    <w:jc w:val="center"/>
                    <w:rPr>
                      <w:color w:val="auto"/>
                      <w:sz w:val="18"/>
                      <w:szCs w:val="18"/>
                    </w:rPr>
                  </w:pPr>
                  <w:r>
                    <w:rPr>
                      <w:color w:val="auto"/>
                      <w:sz w:val="18"/>
                      <w:szCs w:val="18"/>
                    </w:rPr>
                    <w:t>数量</w:t>
                  </w:r>
                  <w:r>
                    <w:rPr>
                      <w:rFonts w:hint="eastAsia"/>
                      <w:color w:val="auto"/>
                      <w:sz w:val="18"/>
                      <w:szCs w:val="18"/>
                    </w:rPr>
                    <w:t>（台/套）</w:t>
                  </w:r>
                </w:p>
              </w:tc>
              <w:tc>
                <w:tcPr>
                  <w:tcW w:w="585" w:type="pct"/>
                  <w:noWrap w:val="0"/>
                  <w:vAlign w:val="center"/>
                </w:tcPr>
                <w:p>
                  <w:pPr>
                    <w:jc w:val="center"/>
                    <w:rPr>
                      <w:color w:val="auto"/>
                      <w:sz w:val="18"/>
                      <w:szCs w:val="18"/>
                    </w:rPr>
                  </w:pPr>
                  <w:r>
                    <w:rPr>
                      <w:rFonts w:hint="eastAsia"/>
                      <w:color w:val="auto"/>
                      <w:sz w:val="18"/>
                      <w:szCs w:val="18"/>
                      <w:lang w:eastAsia="zh-CN"/>
                    </w:rPr>
                    <w:t>天然气能耗</w:t>
                  </w:r>
                  <w:r>
                    <w:rPr>
                      <w:rFonts w:hint="eastAsia"/>
                      <w:color w:val="auto"/>
                      <w:sz w:val="18"/>
                      <w:szCs w:val="18"/>
                    </w:rPr>
                    <w:t>（</w:t>
                  </w:r>
                  <w:r>
                    <w:rPr>
                      <w:rFonts w:hint="eastAsia"/>
                      <w:color w:val="auto"/>
                      <w:sz w:val="18"/>
                      <w:szCs w:val="18"/>
                      <w:lang w:val="en-US" w:eastAsia="zh-CN"/>
                    </w:rPr>
                    <w:t>m</w:t>
                  </w:r>
                  <w:r>
                    <w:rPr>
                      <w:rFonts w:hint="eastAsia"/>
                      <w:color w:val="auto"/>
                      <w:sz w:val="18"/>
                      <w:szCs w:val="18"/>
                      <w:vertAlign w:val="superscript"/>
                      <w:lang w:val="en-US" w:eastAsia="zh-CN"/>
                    </w:rPr>
                    <w:t>3</w:t>
                  </w:r>
                  <w:r>
                    <w:rPr>
                      <w:rFonts w:hint="eastAsia"/>
                      <w:color w:val="auto"/>
                      <w:sz w:val="18"/>
                      <w:szCs w:val="18"/>
                      <w:lang w:val="en-US" w:eastAsia="zh-CN"/>
                    </w:rPr>
                    <w:t>/h</w:t>
                  </w:r>
                  <w:r>
                    <w:rPr>
                      <w:rFonts w:hint="eastAsia"/>
                      <w:color w:val="auto"/>
                      <w:sz w:val="18"/>
                      <w:szCs w:val="18"/>
                    </w:rPr>
                    <w:t>）</w:t>
                  </w:r>
                </w:p>
              </w:tc>
              <w:tc>
                <w:tcPr>
                  <w:tcW w:w="512" w:type="pct"/>
                  <w:noWrap w:val="0"/>
                  <w:vAlign w:val="center"/>
                </w:tcPr>
                <w:p>
                  <w:pPr>
                    <w:jc w:val="center"/>
                    <w:rPr>
                      <w:rFonts w:hint="eastAsia"/>
                      <w:color w:val="auto"/>
                      <w:sz w:val="18"/>
                      <w:szCs w:val="18"/>
                    </w:rPr>
                  </w:pPr>
                  <w:r>
                    <w:rPr>
                      <w:rFonts w:hint="eastAsia"/>
                      <w:color w:val="auto"/>
                      <w:sz w:val="18"/>
                      <w:szCs w:val="18"/>
                    </w:rPr>
                    <w:t>工作天数（天）</w:t>
                  </w:r>
                </w:p>
              </w:tc>
              <w:tc>
                <w:tcPr>
                  <w:tcW w:w="485" w:type="pct"/>
                  <w:noWrap w:val="0"/>
                  <w:vAlign w:val="center"/>
                </w:tcPr>
                <w:p>
                  <w:pPr>
                    <w:jc w:val="center"/>
                    <w:rPr>
                      <w:rFonts w:hint="eastAsia"/>
                      <w:color w:val="auto"/>
                      <w:sz w:val="18"/>
                      <w:szCs w:val="18"/>
                    </w:rPr>
                  </w:pPr>
                  <w:r>
                    <w:rPr>
                      <w:rFonts w:hint="eastAsia"/>
                      <w:color w:val="auto"/>
                      <w:sz w:val="18"/>
                      <w:szCs w:val="18"/>
                    </w:rPr>
                    <w:t>工作</w:t>
                  </w:r>
                  <w:r>
                    <w:rPr>
                      <w:rFonts w:hint="eastAsia"/>
                      <w:color w:val="auto"/>
                      <w:sz w:val="18"/>
                      <w:szCs w:val="18"/>
                      <w:lang w:eastAsia="zh-CN"/>
                    </w:rPr>
                    <w:t>时间</w:t>
                  </w:r>
                  <w:r>
                    <w:rPr>
                      <w:rFonts w:hint="eastAsia"/>
                      <w:color w:val="auto"/>
                      <w:sz w:val="18"/>
                      <w:szCs w:val="18"/>
                    </w:rPr>
                    <w:t>（</w:t>
                  </w:r>
                  <w:r>
                    <w:rPr>
                      <w:rFonts w:hint="eastAsia"/>
                      <w:color w:val="auto"/>
                      <w:sz w:val="18"/>
                      <w:szCs w:val="18"/>
                      <w:lang w:val="en-US" w:eastAsia="zh-CN"/>
                    </w:rPr>
                    <w:t>h</w:t>
                  </w:r>
                  <w:r>
                    <w:rPr>
                      <w:rFonts w:hint="eastAsia"/>
                      <w:color w:val="auto"/>
                      <w:sz w:val="18"/>
                      <w:szCs w:val="18"/>
                    </w:rPr>
                    <w:t>）</w:t>
                  </w:r>
                </w:p>
              </w:tc>
              <w:tc>
                <w:tcPr>
                  <w:tcW w:w="615" w:type="pct"/>
                  <w:noWrap w:val="0"/>
                  <w:vAlign w:val="center"/>
                </w:tcPr>
                <w:p>
                  <w:pPr>
                    <w:jc w:val="center"/>
                    <w:rPr>
                      <w:rFonts w:hint="eastAsia" w:eastAsia="宋体"/>
                      <w:color w:val="auto"/>
                      <w:sz w:val="18"/>
                      <w:szCs w:val="18"/>
                      <w:lang w:eastAsia="zh-CN"/>
                    </w:rPr>
                  </w:pPr>
                  <w:r>
                    <w:rPr>
                      <w:rFonts w:hint="eastAsia"/>
                      <w:color w:val="auto"/>
                      <w:sz w:val="18"/>
                      <w:szCs w:val="18"/>
                      <w:lang w:eastAsia="zh-CN"/>
                    </w:rPr>
                    <w:t>天然气能耗</w:t>
                  </w:r>
                  <w:r>
                    <w:rPr>
                      <w:rFonts w:hint="eastAsia"/>
                      <w:color w:val="auto"/>
                      <w:sz w:val="18"/>
                      <w:szCs w:val="18"/>
                    </w:rPr>
                    <w:t>（</w:t>
                  </w:r>
                  <w:r>
                    <w:rPr>
                      <w:rFonts w:hint="eastAsia"/>
                      <w:color w:val="auto"/>
                      <w:sz w:val="18"/>
                      <w:szCs w:val="18"/>
                      <w:lang w:eastAsia="zh-CN"/>
                    </w:rPr>
                    <w:t>万</w:t>
                  </w:r>
                  <w:r>
                    <w:rPr>
                      <w:rFonts w:hint="eastAsia"/>
                      <w:color w:val="auto"/>
                      <w:sz w:val="18"/>
                      <w:szCs w:val="18"/>
                      <w:lang w:val="en-US" w:eastAsia="zh-CN"/>
                    </w:rPr>
                    <w:t>m</w:t>
                  </w:r>
                  <w:r>
                    <w:rPr>
                      <w:rFonts w:hint="eastAsia"/>
                      <w:color w:val="auto"/>
                      <w:sz w:val="18"/>
                      <w:szCs w:val="18"/>
                      <w:vertAlign w:val="superscript"/>
                      <w:lang w:val="en-US" w:eastAsia="zh-CN"/>
                    </w:rPr>
                    <w:t>3</w:t>
                  </w:r>
                  <w:r>
                    <w:rPr>
                      <w:rFonts w:hint="eastAsia"/>
                      <w:color w:val="auto"/>
                      <w:sz w:val="18"/>
                      <w:szCs w:val="18"/>
                      <w:lang w:val="en-US" w:eastAsia="zh-CN"/>
                    </w:rPr>
                    <w:t>/a</w:t>
                  </w:r>
                  <w:r>
                    <w:rPr>
                      <w:rFonts w:hint="eastAsia"/>
                      <w:color w:val="auto"/>
                      <w:sz w:val="18"/>
                      <w:szCs w:val="1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8" w:type="pct"/>
                  <w:noWrap w:val="0"/>
                  <w:vAlign w:val="center"/>
                </w:tcPr>
                <w:p>
                  <w:pPr>
                    <w:adjustRightInd w:val="0"/>
                    <w:snapToGrid w:val="0"/>
                    <w:jc w:val="center"/>
                    <w:rPr>
                      <w:rFonts w:hint="eastAsia"/>
                      <w:bCs/>
                      <w:color w:val="auto"/>
                      <w:sz w:val="18"/>
                      <w:szCs w:val="18"/>
                    </w:rPr>
                  </w:pPr>
                  <w:r>
                    <w:rPr>
                      <w:rFonts w:hint="eastAsia" w:ascii="Times New Roman" w:hAnsi="Times New Roman" w:cs="Times New Roman"/>
                      <w:color w:val="auto"/>
                      <w:sz w:val="18"/>
                      <w:szCs w:val="18"/>
                      <w:lang w:val="en-US" w:eastAsia="zh-CN"/>
                    </w:rPr>
                    <w:t>台车式加热炉</w:t>
                  </w:r>
                </w:p>
              </w:tc>
              <w:tc>
                <w:tcPr>
                  <w:tcW w:w="798" w:type="pct"/>
                  <w:noWrap w:val="0"/>
                  <w:vAlign w:val="center"/>
                </w:tcPr>
                <w:p>
                  <w:pPr>
                    <w:adjustRightInd w:val="0"/>
                    <w:snapToGrid w:val="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10x4x3m</w:t>
                  </w:r>
                </w:p>
              </w:tc>
              <w:tc>
                <w:tcPr>
                  <w:tcW w:w="492" w:type="pct"/>
                  <w:noWrap w:val="0"/>
                  <w:vAlign w:val="center"/>
                </w:tcPr>
                <w:p>
                  <w:pPr>
                    <w:adjustRightInd w:val="0"/>
                    <w:snapToGrid w:val="0"/>
                    <w:jc w:val="center"/>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DA001</w:t>
                  </w:r>
                </w:p>
              </w:tc>
              <w:tc>
                <w:tcPr>
                  <w:tcW w:w="552" w:type="pct"/>
                  <w:noWrap w:val="0"/>
                  <w:vAlign w:val="center"/>
                </w:tcPr>
                <w:p>
                  <w:pPr>
                    <w:adjustRightInd w:val="0"/>
                    <w:snapToGrid w:val="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w:t>
                  </w:r>
                </w:p>
              </w:tc>
              <w:tc>
                <w:tcPr>
                  <w:tcW w:w="585" w:type="pct"/>
                  <w:noWrap w:val="0"/>
                  <w:vAlign w:val="center"/>
                </w:tcPr>
                <w:p>
                  <w:pPr>
                    <w:keepNext w:val="0"/>
                    <w:keepLines w:val="0"/>
                    <w:widowControl/>
                    <w:suppressLineNumbers w:val="0"/>
                    <w:jc w:val="center"/>
                    <w:textAlignment w:val="center"/>
                    <w:rPr>
                      <w:rFonts w:hint="default" w:ascii="Times New Roman" w:hAnsi="Times New Roman" w:eastAsia="宋体"/>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180</w:t>
                  </w:r>
                </w:p>
              </w:tc>
              <w:tc>
                <w:tcPr>
                  <w:tcW w:w="512" w:type="pct"/>
                  <w:noWrap w:val="0"/>
                  <w:vAlign w:val="center"/>
                </w:tcPr>
                <w:p>
                  <w:pPr>
                    <w:pStyle w:val="9"/>
                    <w:snapToGrid w:val="0"/>
                    <w:jc w:val="center"/>
                    <w:rPr>
                      <w:rFonts w:hint="eastAsia" w:ascii="Times New Roman" w:hAnsi="Times New Roman"/>
                      <w:color w:val="auto"/>
                      <w:sz w:val="18"/>
                      <w:szCs w:val="18"/>
                    </w:rPr>
                  </w:pPr>
                  <w:r>
                    <w:rPr>
                      <w:rFonts w:hint="eastAsia" w:ascii="Times New Roman" w:hAnsi="Times New Roman"/>
                      <w:color w:val="auto"/>
                      <w:sz w:val="18"/>
                      <w:szCs w:val="18"/>
                    </w:rPr>
                    <w:t>300</w:t>
                  </w:r>
                </w:p>
              </w:tc>
              <w:tc>
                <w:tcPr>
                  <w:tcW w:w="485" w:type="pct"/>
                  <w:noWrap w:val="0"/>
                  <w:vAlign w:val="center"/>
                </w:tcPr>
                <w:p>
                  <w:pPr>
                    <w:pStyle w:val="9"/>
                    <w:snapToGrid w:val="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24</w:t>
                  </w:r>
                </w:p>
              </w:tc>
              <w:tc>
                <w:tcPr>
                  <w:tcW w:w="61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388.8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8" w:type="pct"/>
                  <w:noWrap w:val="0"/>
                  <w:vAlign w:val="center"/>
                </w:tcPr>
                <w:p>
                  <w:pPr>
                    <w:adjustRightInd w:val="0"/>
                    <w:snapToGrid w:val="0"/>
                    <w:jc w:val="center"/>
                    <w:rPr>
                      <w:rFonts w:hint="eastAsia" w:ascii="Times New Roman" w:hAnsi="Times New Roman" w:cs="Times New Roman"/>
                      <w:color w:val="auto"/>
                      <w:sz w:val="18"/>
                      <w:szCs w:val="18"/>
                      <w:shd w:val="clear" w:color="auto" w:fill="auto"/>
                      <w:lang w:val="en-US" w:eastAsia="zh-CN"/>
                    </w:rPr>
                  </w:pPr>
                  <w:r>
                    <w:rPr>
                      <w:rFonts w:hint="eastAsia" w:ascii="Times New Roman" w:hAnsi="Times New Roman" w:cs="Times New Roman"/>
                      <w:color w:val="auto"/>
                      <w:sz w:val="18"/>
                      <w:szCs w:val="18"/>
                      <w:shd w:val="clear" w:color="auto" w:fill="auto"/>
                      <w:lang w:val="en-US" w:eastAsia="zh-CN"/>
                    </w:rPr>
                    <w:t>台车式加热炉</w:t>
                  </w:r>
                </w:p>
              </w:tc>
              <w:tc>
                <w:tcPr>
                  <w:tcW w:w="798" w:type="pct"/>
                  <w:noWrap w:val="0"/>
                  <w:vAlign w:val="center"/>
                </w:tcPr>
                <w:p>
                  <w:pPr>
                    <w:adjustRightInd w:val="0"/>
                    <w:snapToGrid w:val="0"/>
                    <w:jc w:val="center"/>
                    <w:rPr>
                      <w:rFonts w:hint="eastAsia" w:ascii="Times New Roman" w:hAnsi="Times New Roman" w:eastAsia="宋体" w:cs="Times New Roman"/>
                      <w:color w:val="auto"/>
                      <w:sz w:val="18"/>
                      <w:szCs w:val="18"/>
                      <w:shd w:val="clear" w:color="auto" w:fill="auto"/>
                      <w:lang w:val="en-US" w:eastAsia="zh-CN"/>
                    </w:rPr>
                  </w:pPr>
                  <w:r>
                    <w:rPr>
                      <w:rFonts w:hint="eastAsia" w:ascii="Times New Roman" w:hAnsi="Times New Roman" w:eastAsia="宋体" w:cs="Times New Roman"/>
                      <w:color w:val="auto"/>
                      <w:sz w:val="18"/>
                      <w:szCs w:val="18"/>
                      <w:shd w:val="clear" w:color="auto" w:fill="auto"/>
                      <w:lang w:val="en-US" w:eastAsia="zh-CN"/>
                    </w:rPr>
                    <w:t>10x4.5x3.5m</w:t>
                  </w:r>
                </w:p>
              </w:tc>
              <w:tc>
                <w:tcPr>
                  <w:tcW w:w="492" w:type="pct"/>
                  <w:vMerge w:val="restart"/>
                  <w:noWrap w:val="0"/>
                  <w:vAlign w:val="center"/>
                </w:tcPr>
                <w:p>
                  <w:pPr>
                    <w:adjustRightInd w:val="0"/>
                    <w:snapToGrid w:val="0"/>
                    <w:jc w:val="center"/>
                    <w:rPr>
                      <w:rFonts w:hint="eastAsia" w:ascii="Times New Roman" w:hAnsi="Times New Roman" w:eastAsia="宋体" w:cs="Times New Roman"/>
                      <w:color w:val="auto"/>
                      <w:sz w:val="18"/>
                      <w:szCs w:val="18"/>
                      <w:shd w:val="clear" w:color="auto" w:fill="auto"/>
                      <w:lang w:val="en-US" w:eastAsia="zh-CN"/>
                    </w:rPr>
                  </w:pPr>
                  <w:r>
                    <w:rPr>
                      <w:rFonts w:hint="eastAsia" w:cs="Times New Roman"/>
                      <w:color w:val="auto"/>
                      <w:sz w:val="18"/>
                      <w:szCs w:val="18"/>
                      <w:lang w:val="en-US" w:eastAsia="zh-CN"/>
                    </w:rPr>
                    <w:t>DA007</w:t>
                  </w:r>
                </w:p>
              </w:tc>
              <w:tc>
                <w:tcPr>
                  <w:tcW w:w="871" w:type="dxa"/>
                  <w:noWrap w:val="0"/>
                  <w:vAlign w:val="center"/>
                </w:tcPr>
                <w:p>
                  <w:pPr>
                    <w:adjustRightInd w:val="0"/>
                    <w:snapToGrid w:val="0"/>
                    <w:jc w:val="center"/>
                    <w:rPr>
                      <w:rFonts w:hint="default" w:ascii="Times New Roman" w:hAnsi="Times New Roman" w:eastAsia="宋体" w:cs="Times New Roman"/>
                      <w:color w:val="auto"/>
                      <w:sz w:val="18"/>
                      <w:szCs w:val="18"/>
                      <w:shd w:val="clear" w:color="auto" w:fill="auto"/>
                      <w:lang w:val="en-US" w:eastAsia="zh-CN"/>
                    </w:rPr>
                  </w:pPr>
                  <w:r>
                    <w:rPr>
                      <w:rFonts w:hint="eastAsia" w:ascii="Times New Roman" w:hAnsi="Times New Roman" w:eastAsia="宋体" w:cs="Times New Roman"/>
                      <w:color w:val="auto"/>
                      <w:sz w:val="18"/>
                      <w:szCs w:val="18"/>
                      <w:shd w:val="clear" w:color="auto" w:fill="auto"/>
                      <w:lang w:val="en-US" w:eastAsia="zh-CN"/>
                    </w:rPr>
                    <w:t>1</w:t>
                  </w:r>
                </w:p>
              </w:tc>
              <w:tc>
                <w:tcPr>
                  <w:tcW w:w="923" w:type="dxa"/>
                  <w:noWrap w:val="0"/>
                  <w:vAlign w:val="center"/>
                </w:tcPr>
                <w:p>
                  <w:pPr>
                    <w:keepNext w:val="0"/>
                    <w:keepLines w:val="0"/>
                    <w:widowControl/>
                    <w:suppressLineNumbers w:val="0"/>
                    <w:jc w:val="center"/>
                    <w:textAlignment w:val="center"/>
                    <w:rPr>
                      <w:rFonts w:hint="eastAsia" w:ascii="Times New Roman" w:hAnsi="Times New Roman"/>
                      <w:color w:val="auto"/>
                      <w:sz w:val="18"/>
                      <w:szCs w:val="18"/>
                      <w:shd w:val="clear" w:color="auto" w:fill="auto"/>
                      <w:lang w:val="en-US" w:eastAsia="zh-CN"/>
                    </w:rPr>
                  </w:pPr>
                  <w:r>
                    <w:rPr>
                      <w:rFonts w:hint="eastAsia" w:ascii="Times New Roman" w:hAnsi="Times New Roman" w:eastAsia="宋体" w:cs="Times New Roman"/>
                      <w:i w:val="0"/>
                      <w:iCs w:val="0"/>
                      <w:color w:val="auto"/>
                      <w:kern w:val="0"/>
                      <w:sz w:val="18"/>
                      <w:szCs w:val="18"/>
                      <w:u w:val="none"/>
                      <w:lang w:val="en-US" w:eastAsia="zh-CN" w:bidi="ar"/>
                    </w:rPr>
                    <w:t>268.4</w:t>
                  </w:r>
                </w:p>
              </w:tc>
              <w:tc>
                <w:tcPr>
                  <w:tcW w:w="808" w:type="dxa"/>
                  <w:noWrap w:val="0"/>
                  <w:vAlign w:val="center"/>
                </w:tcPr>
                <w:p>
                  <w:pPr>
                    <w:pStyle w:val="9"/>
                    <w:snapToGrid w:val="0"/>
                    <w:jc w:val="center"/>
                    <w:rPr>
                      <w:rFonts w:hint="eastAsia" w:ascii="Times New Roman" w:hAnsi="Times New Roman"/>
                      <w:color w:val="auto"/>
                      <w:sz w:val="18"/>
                      <w:szCs w:val="18"/>
                      <w:shd w:val="clear" w:color="auto" w:fill="auto"/>
                    </w:rPr>
                  </w:pPr>
                  <w:r>
                    <w:rPr>
                      <w:rFonts w:hint="eastAsia" w:ascii="Times New Roman" w:hAnsi="Times New Roman"/>
                      <w:color w:val="auto"/>
                      <w:sz w:val="18"/>
                      <w:szCs w:val="18"/>
                      <w:shd w:val="clear" w:color="auto" w:fill="auto"/>
                    </w:rPr>
                    <w:t>300</w:t>
                  </w:r>
                </w:p>
              </w:tc>
              <w:tc>
                <w:tcPr>
                  <w:tcW w:w="766" w:type="dxa"/>
                  <w:noWrap w:val="0"/>
                  <w:vAlign w:val="center"/>
                </w:tcPr>
                <w:p>
                  <w:pPr>
                    <w:pStyle w:val="9"/>
                    <w:snapToGrid w:val="0"/>
                    <w:jc w:val="center"/>
                    <w:rPr>
                      <w:rFonts w:hint="eastAsia" w:ascii="Times New Roman" w:hAnsi="Times New Roman" w:eastAsia="宋体"/>
                      <w:color w:val="auto"/>
                      <w:sz w:val="18"/>
                      <w:szCs w:val="18"/>
                      <w:shd w:val="clear" w:color="auto" w:fill="auto"/>
                      <w:lang w:val="en-US" w:eastAsia="zh-CN"/>
                    </w:rPr>
                  </w:pPr>
                  <w:r>
                    <w:rPr>
                      <w:rFonts w:hint="eastAsia" w:ascii="Times New Roman" w:hAnsi="Times New Roman" w:eastAsia="宋体"/>
                      <w:color w:val="auto"/>
                      <w:sz w:val="18"/>
                      <w:szCs w:val="18"/>
                      <w:shd w:val="clear" w:color="auto" w:fill="auto"/>
                      <w:lang w:val="en-US" w:eastAsia="zh-CN"/>
                    </w:rPr>
                    <w:t>24</w:t>
                  </w:r>
                </w:p>
              </w:tc>
              <w:tc>
                <w:tcPr>
                  <w:tcW w:w="97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18"/>
                      <w:szCs w:val="18"/>
                      <w:shd w:val="clear" w:color="auto" w:fill="auto"/>
                      <w:lang w:val="en-US" w:eastAsia="zh-CN"/>
                    </w:rPr>
                  </w:pPr>
                  <w:r>
                    <w:rPr>
                      <w:rFonts w:hint="default" w:ascii="Times New Roman" w:hAnsi="Times New Roman" w:eastAsia="宋体" w:cs="Times New Roman"/>
                      <w:i w:val="0"/>
                      <w:iCs w:val="0"/>
                      <w:color w:val="auto"/>
                      <w:kern w:val="0"/>
                      <w:sz w:val="18"/>
                      <w:szCs w:val="18"/>
                      <w:u w:val="none"/>
                      <w:shd w:val="clear" w:color="auto" w:fill="auto"/>
                      <w:lang w:val="en-US" w:eastAsia="zh-CN" w:bidi="ar"/>
                    </w:rPr>
                    <w:t xml:space="preserve">193.2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8" w:type="pct"/>
                  <w:shd w:val="clear" w:color="auto" w:fill="auto"/>
                  <w:noWrap w:val="0"/>
                  <w:vAlign w:val="center"/>
                </w:tcPr>
                <w:p>
                  <w:pPr>
                    <w:adjustRightInd w:val="0"/>
                    <w:snapToGrid w:val="0"/>
                    <w:jc w:val="center"/>
                    <w:rPr>
                      <w:rFonts w:hint="eastAsia" w:ascii="Times New Roman" w:hAnsi="Times New Roman" w:eastAsia="宋体" w:cs="Times New Roman"/>
                      <w:color w:val="auto"/>
                      <w:kern w:val="2"/>
                      <w:sz w:val="18"/>
                      <w:szCs w:val="18"/>
                      <w:shd w:val="clear" w:color="auto" w:fill="auto"/>
                      <w:lang w:val="en-US" w:eastAsia="zh-CN" w:bidi="ar-SA"/>
                    </w:rPr>
                  </w:pPr>
                  <w:r>
                    <w:rPr>
                      <w:rFonts w:hint="eastAsia" w:ascii="Times New Roman" w:hAnsi="Times New Roman" w:eastAsia="宋体" w:cs="Times New Roman"/>
                      <w:color w:val="auto"/>
                      <w:sz w:val="18"/>
                      <w:szCs w:val="18"/>
                      <w:shd w:val="clear" w:color="auto" w:fill="auto"/>
                      <w:lang w:val="en-US" w:eastAsia="zh-CN"/>
                    </w:rPr>
                    <w:t>室式加热炉</w:t>
                  </w:r>
                </w:p>
              </w:tc>
              <w:tc>
                <w:tcPr>
                  <w:tcW w:w="798" w:type="pct"/>
                  <w:shd w:val="clear" w:color="auto" w:fill="auto"/>
                  <w:noWrap w:val="0"/>
                  <w:vAlign w:val="center"/>
                </w:tcPr>
                <w:p>
                  <w:pPr>
                    <w:adjustRightInd w:val="0"/>
                    <w:snapToGrid w:val="0"/>
                    <w:jc w:val="center"/>
                    <w:rPr>
                      <w:rFonts w:hint="eastAsia" w:ascii="Times New Roman" w:hAnsi="Times New Roman" w:eastAsia="宋体" w:cs="Times New Roman"/>
                      <w:color w:val="auto"/>
                      <w:kern w:val="2"/>
                      <w:sz w:val="18"/>
                      <w:szCs w:val="18"/>
                      <w:shd w:val="clear" w:color="auto" w:fill="auto"/>
                      <w:lang w:val="en-US" w:eastAsia="zh-CN" w:bidi="ar-SA"/>
                    </w:rPr>
                  </w:pPr>
                  <w:r>
                    <w:rPr>
                      <w:rFonts w:hint="eastAsia" w:ascii="Times New Roman" w:hAnsi="Times New Roman" w:eastAsia="宋体" w:cs="Times New Roman"/>
                      <w:color w:val="auto"/>
                      <w:sz w:val="18"/>
                      <w:szCs w:val="18"/>
                      <w:shd w:val="clear" w:color="auto" w:fill="auto"/>
                      <w:lang w:val="en-US" w:eastAsia="zh-CN"/>
                    </w:rPr>
                    <w:t>5x5.4x3.6m</w:t>
                  </w:r>
                </w:p>
              </w:tc>
              <w:tc>
                <w:tcPr>
                  <w:tcW w:w="492" w:type="pct"/>
                  <w:vMerge w:val="continue"/>
                  <w:shd w:val="clear" w:color="auto" w:fill="auto"/>
                  <w:noWrap w:val="0"/>
                  <w:vAlign w:val="center"/>
                </w:tcPr>
                <w:p>
                  <w:pPr>
                    <w:adjustRightInd w:val="0"/>
                    <w:snapToGrid w:val="0"/>
                    <w:jc w:val="center"/>
                    <w:rPr>
                      <w:rFonts w:hint="eastAsia" w:ascii="Times New Roman" w:hAnsi="Times New Roman" w:eastAsia="宋体" w:cs="Times New Roman"/>
                      <w:color w:val="auto"/>
                      <w:kern w:val="2"/>
                      <w:sz w:val="18"/>
                      <w:szCs w:val="18"/>
                      <w:shd w:val="clear" w:color="auto" w:fill="auto"/>
                      <w:lang w:val="en-US" w:eastAsia="zh-CN" w:bidi="ar-SA"/>
                    </w:rPr>
                  </w:pPr>
                </w:p>
              </w:tc>
              <w:tc>
                <w:tcPr>
                  <w:tcW w:w="871" w:type="dxa"/>
                  <w:shd w:val="clear" w:color="auto" w:fill="auto"/>
                  <w:noWrap w:val="0"/>
                  <w:vAlign w:val="center"/>
                </w:tcPr>
                <w:p>
                  <w:pPr>
                    <w:adjustRightInd w:val="0"/>
                    <w:snapToGrid w:val="0"/>
                    <w:jc w:val="center"/>
                    <w:rPr>
                      <w:rFonts w:hint="eastAsia" w:ascii="Times New Roman" w:hAnsi="Times New Roman" w:eastAsia="宋体" w:cs="Times New Roman"/>
                      <w:color w:val="auto"/>
                      <w:kern w:val="2"/>
                      <w:sz w:val="18"/>
                      <w:szCs w:val="18"/>
                      <w:shd w:val="clear" w:color="auto" w:fill="auto"/>
                      <w:lang w:val="en-US" w:eastAsia="zh-CN" w:bidi="ar-SA"/>
                    </w:rPr>
                  </w:pPr>
                  <w:r>
                    <w:rPr>
                      <w:rFonts w:hint="eastAsia" w:ascii="Times New Roman" w:hAnsi="Times New Roman" w:eastAsia="宋体" w:cs="Times New Roman"/>
                      <w:color w:val="auto"/>
                      <w:sz w:val="18"/>
                      <w:szCs w:val="18"/>
                      <w:shd w:val="clear" w:color="auto" w:fill="auto"/>
                      <w:lang w:val="en-US" w:eastAsia="zh-CN"/>
                    </w:rPr>
                    <w:t>4</w:t>
                  </w:r>
                </w:p>
              </w:tc>
              <w:tc>
                <w:tcPr>
                  <w:tcW w:w="923"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shd w:val="clear" w:color="auto" w:fill="auto"/>
                      <w:lang w:val="en-US" w:eastAsia="zh-CN" w:bidi="ar-SA"/>
                    </w:rPr>
                  </w:pPr>
                  <w:r>
                    <w:rPr>
                      <w:rFonts w:hint="default" w:ascii="Times New Roman" w:hAnsi="Times New Roman" w:eastAsia="宋体" w:cs="Times New Roman"/>
                      <w:i w:val="0"/>
                      <w:iCs w:val="0"/>
                      <w:color w:val="auto"/>
                      <w:kern w:val="0"/>
                      <w:sz w:val="18"/>
                      <w:szCs w:val="18"/>
                      <w:u w:val="none"/>
                      <w:shd w:val="clear" w:color="auto" w:fill="auto"/>
                      <w:lang w:val="en-US" w:eastAsia="zh-CN" w:bidi="ar"/>
                    </w:rPr>
                    <w:t>180</w:t>
                  </w:r>
                </w:p>
              </w:tc>
              <w:tc>
                <w:tcPr>
                  <w:tcW w:w="808" w:type="dxa"/>
                  <w:shd w:val="clear" w:color="auto" w:fill="auto"/>
                  <w:noWrap w:val="0"/>
                  <w:vAlign w:val="center"/>
                </w:tcPr>
                <w:p>
                  <w:pPr>
                    <w:pStyle w:val="9"/>
                    <w:snapToGrid w:val="0"/>
                    <w:jc w:val="center"/>
                    <w:rPr>
                      <w:rFonts w:hint="eastAsia" w:ascii="Times New Roman" w:hAnsi="Times New Roman" w:eastAsia="宋体" w:cs="Times New Roman"/>
                      <w:color w:val="auto"/>
                      <w:kern w:val="2"/>
                      <w:sz w:val="18"/>
                      <w:szCs w:val="18"/>
                      <w:shd w:val="clear" w:color="auto" w:fill="auto"/>
                      <w:lang w:val="en-US" w:eastAsia="zh-CN" w:bidi="ar-SA"/>
                    </w:rPr>
                  </w:pPr>
                  <w:r>
                    <w:rPr>
                      <w:rFonts w:hint="eastAsia" w:ascii="Times New Roman" w:hAnsi="Times New Roman"/>
                      <w:color w:val="auto"/>
                      <w:sz w:val="18"/>
                      <w:szCs w:val="18"/>
                      <w:shd w:val="clear" w:color="auto" w:fill="auto"/>
                    </w:rPr>
                    <w:t>300</w:t>
                  </w:r>
                </w:p>
              </w:tc>
              <w:tc>
                <w:tcPr>
                  <w:tcW w:w="766" w:type="dxa"/>
                  <w:shd w:val="clear" w:color="auto" w:fill="auto"/>
                  <w:noWrap w:val="0"/>
                  <w:vAlign w:val="center"/>
                </w:tcPr>
                <w:p>
                  <w:pPr>
                    <w:pStyle w:val="9"/>
                    <w:snapToGrid w:val="0"/>
                    <w:jc w:val="center"/>
                    <w:rPr>
                      <w:rFonts w:hint="eastAsia" w:ascii="Times New Roman" w:hAnsi="Times New Roman" w:eastAsia="宋体" w:cs="Times New Roman"/>
                      <w:color w:val="auto"/>
                      <w:kern w:val="2"/>
                      <w:sz w:val="18"/>
                      <w:szCs w:val="18"/>
                      <w:shd w:val="clear" w:color="auto" w:fill="auto"/>
                      <w:lang w:val="en-US" w:eastAsia="zh-CN" w:bidi="ar-SA"/>
                    </w:rPr>
                  </w:pPr>
                  <w:r>
                    <w:rPr>
                      <w:rFonts w:hint="eastAsia" w:ascii="Times New Roman" w:hAnsi="Times New Roman" w:eastAsia="宋体"/>
                      <w:color w:val="auto"/>
                      <w:sz w:val="18"/>
                      <w:szCs w:val="18"/>
                      <w:shd w:val="clear" w:color="auto" w:fill="auto"/>
                      <w:lang w:val="en-US" w:eastAsia="zh-CN"/>
                    </w:rPr>
                    <w:t>24</w:t>
                  </w:r>
                </w:p>
              </w:tc>
              <w:tc>
                <w:tcPr>
                  <w:tcW w:w="971"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shd w:val="clear" w:color="auto" w:fill="auto"/>
                      <w:lang w:val="en-US" w:eastAsia="zh-CN" w:bidi="ar-SA"/>
                    </w:rPr>
                  </w:pPr>
                  <w:r>
                    <w:rPr>
                      <w:rFonts w:hint="default" w:ascii="Times New Roman" w:hAnsi="Times New Roman" w:eastAsia="宋体" w:cs="Times New Roman"/>
                      <w:i w:val="0"/>
                      <w:iCs w:val="0"/>
                      <w:color w:val="auto"/>
                      <w:kern w:val="0"/>
                      <w:sz w:val="18"/>
                      <w:szCs w:val="18"/>
                      <w:u w:val="none"/>
                      <w:shd w:val="clear" w:color="auto" w:fill="auto"/>
                      <w:lang w:val="en-US" w:eastAsia="zh-CN" w:bidi="ar"/>
                    </w:rPr>
                    <w:t xml:space="preserve">518.4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8" w:type="pct"/>
                  <w:shd w:val="clear" w:color="auto" w:fill="auto"/>
                  <w:noWrap w:val="0"/>
                  <w:vAlign w:val="center"/>
                </w:tcPr>
                <w:p>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室式加热炉</w:t>
                  </w:r>
                </w:p>
              </w:tc>
              <w:tc>
                <w:tcPr>
                  <w:tcW w:w="798" w:type="pct"/>
                  <w:shd w:val="clear" w:color="auto" w:fill="auto"/>
                  <w:noWrap w:val="0"/>
                  <w:vAlign w:val="center"/>
                </w:tcPr>
                <w:p>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4x4x1.6m</w:t>
                  </w:r>
                </w:p>
              </w:tc>
              <w:tc>
                <w:tcPr>
                  <w:tcW w:w="492" w:type="pct"/>
                  <w:vMerge w:val="restart"/>
                  <w:shd w:val="clear" w:color="auto" w:fill="auto"/>
                  <w:noWrap w:val="0"/>
                  <w:vAlign w:val="center"/>
                </w:tcPr>
                <w:p>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DA003</w:t>
                  </w:r>
                </w:p>
              </w:tc>
              <w:tc>
                <w:tcPr>
                  <w:tcW w:w="552" w:type="pct"/>
                  <w:shd w:val="clear" w:color="auto" w:fill="auto"/>
                  <w:noWrap w:val="0"/>
                  <w:vAlign w:val="center"/>
                </w:tcPr>
                <w:p>
                  <w:pPr>
                    <w:adjustRightInd w:val="0"/>
                    <w:snapToGrid w:val="0"/>
                    <w:jc w:val="center"/>
                    <w:rPr>
                      <w:rFonts w:hint="eastAsia" w:ascii="Times New Roman" w:hAnsi="Times New Roman" w:eastAsia="宋体" w:cs="Times New Roman"/>
                      <w:color w:val="auto"/>
                      <w:kern w:val="2"/>
                      <w:sz w:val="18"/>
                      <w:szCs w:val="18"/>
                      <w:shd w:val="clear" w:color="auto" w:fill="auto"/>
                      <w:lang w:val="en-US" w:eastAsia="zh-CN" w:bidi="ar-SA"/>
                    </w:rPr>
                  </w:pPr>
                  <w:r>
                    <w:rPr>
                      <w:rFonts w:hint="eastAsia" w:ascii="Times New Roman" w:hAnsi="Times New Roman" w:eastAsia="宋体" w:cs="Times New Roman"/>
                      <w:color w:val="auto"/>
                      <w:sz w:val="18"/>
                      <w:szCs w:val="18"/>
                      <w:shd w:val="clear" w:color="auto" w:fill="auto"/>
                      <w:lang w:val="en-US" w:eastAsia="zh-CN"/>
                    </w:rPr>
                    <w:t>1</w:t>
                  </w:r>
                </w:p>
              </w:tc>
              <w:tc>
                <w:tcPr>
                  <w:tcW w:w="585" w:type="pct"/>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shd w:val="clear" w:color="auto" w:fill="auto"/>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100</w:t>
                  </w:r>
                </w:p>
              </w:tc>
              <w:tc>
                <w:tcPr>
                  <w:tcW w:w="512" w:type="pct"/>
                  <w:shd w:val="clear" w:color="auto" w:fill="auto"/>
                  <w:noWrap w:val="0"/>
                  <w:vAlign w:val="center"/>
                </w:tcPr>
                <w:p>
                  <w:pPr>
                    <w:pStyle w:val="9"/>
                    <w:snapToGrid w:val="0"/>
                    <w:jc w:val="center"/>
                    <w:rPr>
                      <w:rFonts w:hint="eastAsia" w:ascii="Times New Roman" w:hAnsi="Times New Roman" w:eastAsia="宋体" w:cs="Times New Roman"/>
                      <w:color w:val="auto"/>
                      <w:kern w:val="2"/>
                      <w:sz w:val="18"/>
                      <w:szCs w:val="18"/>
                      <w:shd w:val="clear" w:color="auto" w:fill="auto"/>
                      <w:lang w:val="en-US" w:eastAsia="zh-CN" w:bidi="ar-SA"/>
                    </w:rPr>
                  </w:pPr>
                  <w:r>
                    <w:rPr>
                      <w:rFonts w:hint="eastAsia" w:ascii="Times New Roman" w:hAnsi="Times New Roman"/>
                      <w:color w:val="auto"/>
                      <w:sz w:val="18"/>
                      <w:szCs w:val="18"/>
                    </w:rPr>
                    <w:t>300</w:t>
                  </w:r>
                </w:p>
              </w:tc>
              <w:tc>
                <w:tcPr>
                  <w:tcW w:w="485" w:type="pct"/>
                  <w:shd w:val="clear" w:color="auto" w:fill="auto"/>
                  <w:noWrap w:val="0"/>
                  <w:vAlign w:val="center"/>
                </w:tcPr>
                <w:p>
                  <w:pPr>
                    <w:pStyle w:val="9"/>
                    <w:snapToGrid w:val="0"/>
                    <w:jc w:val="center"/>
                    <w:rPr>
                      <w:rFonts w:hint="eastAsia" w:ascii="Times New Roman" w:hAnsi="Times New Roman" w:eastAsia="宋体" w:cs="Times New Roman"/>
                      <w:color w:val="auto"/>
                      <w:kern w:val="2"/>
                      <w:sz w:val="18"/>
                      <w:szCs w:val="18"/>
                      <w:shd w:val="clear" w:color="auto" w:fill="auto"/>
                      <w:lang w:val="en-US" w:eastAsia="zh-CN" w:bidi="ar-SA"/>
                    </w:rPr>
                  </w:pPr>
                  <w:r>
                    <w:rPr>
                      <w:rFonts w:hint="eastAsia" w:ascii="Times New Roman" w:hAnsi="Times New Roman" w:eastAsia="宋体"/>
                      <w:color w:val="auto"/>
                      <w:sz w:val="18"/>
                      <w:szCs w:val="18"/>
                      <w:lang w:val="en-US" w:eastAsia="zh-CN"/>
                    </w:rPr>
                    <w:t>24</w:t>
                  </w:r>
                </w:p>
              </w:tc>
              <w:tc>
                <w:tcPr>
                  <w:tcW w:w="615" w:type="pct"/>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shd w:val="clear" w:color="auto" w:fill="auto"/>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8" w:type="pct"/>
                  <w:shd w:val="clear" w:color="auto" w:fill="auto"/>
                  <w:noWrap w:val="0"/>
                  <w:vAlign w:val="center"/>
                </w:tcPr>
                <w:p>
                  <w:pPr>
                    <w:adjustRightInd w:val="0"/>
                    <w:snapToGrid w:val="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蓄热室式加热炉</w:t>
                  </w:r>
                </w:p>
              </w:tc>
              <w:tc>
                <w:tcPr>
                  <w:tcW w:w="798" w:type="pct"/>
                  <w:shd w:val="clear" w:color="auto" w:fill="auto"/>
                  <w:noWrap w:val="0"/>
                  <w:vAlign w:val="center"/>
                </w:tcPr>
                <w:p>
                  <w:pPr>
                    <w:adjustRightInd w:val="0"/>
                    <w:snapToGrid w:val="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5.2x3.6x3m</w:t>
                  </w:r>
                </w:p>
              </w:tc>
              <w:tc>
                <w:tcPr>
                  <w:tcW w:w="492" w:type="pct"/>
                  <w:vMerge w:val="continue"/>
                  <w:shd w:val="clear" w:color="auto" w:fill="auto"/>
                  <w:noWrap w:val="0"/>
                  <w:vAlign w:val="center"/>
                </w:tcPr>
                <w:p>
                  <w:pPr>
                    <w:adjustRightInd w:val="0"/>
                    <w:snapToGrid w:val="0"/>
                    <w:jc w:val="center"/>
                    <w:rPr>
                      <w:rFonts w:hint="eastAsia" w:ascii="Times New Roman" w:hAnsi="Times New Roman" w:eastAsia="宋体" w:cs="Times New Roman"/>
                      <w:color w:val="auto"/>
                      <w:sz w:val="18"/>
                      <w:szCs w:val="18"/>
                      <w:lang w:val="en-US" w:eastAsia="zh-CN"/>
                    </w:rPr>
                  </w:pPr>
                </w:p>
              </w:tc>
              <w:tc>
                <w:tcPr>
                  <w:tcW w:w="552" w:type="pct"/>
                  <w:noWrap w:val="0"/>
                  <w:vAlign w:val="center"/>
                </w:tcPr>
                <w:p>
                  <w:pPr>
                    <w:adjustRightInd w:val="0"/>
                    <w:snapToGrid w:val="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w:t>
                  </w:r>
                </w:p>
              </w:tc>
              <w:tc>
                <w:tcPr>
                  <w:tcW w:w="58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260</w:t>
                  </w:r>
                </w:p>
              </w:tc>
              <w:tc>
                <w:tcPr>
                  <w:tcW w:w="512" w:type="pct"/>
                  <w:noWrap w:val="0"/>
                  <w:vAlign w:val="center"/>
                </w:tcPr>
                <w:p>
                  <w:pPr>
                    <w:pStyle w:val="9"/>
                    <w:snapToGrid w:val="0"/>
                    <w:jc w:val="center"/>
                    <w:rPr>
                      <w:rFonts w:hint="eastAsia" w:ascii="Times New Roman" w:hAnsi="Times New Roman" w:eastAsia="宋体" w:cs="Times New Roman"/>
                      <w:color w:val="auto"/>
                      <w:sz w:val="18"/>
                      <w:szCs w:val="18"/>
                      <w:lang w:val="en-US" w:eastAsia="zh-CN"/>
                    </w:rPr>
                  </w:pPr>
                  <w:r>
                    <w:rPr>
                      <w:rFonts w:hint="eastAsia" w:ascii="Times New Roman" w:hAnsi="Times New Roman"/>
                      <w:color w:val="auto"/>
                      <w:sz w:val="18"/>
                      <w:szCs w:val="18"/>
                    </w:rPr>
                    <w:t>300</w:t>
                  </w:r>
                </w:p>
              </w:tc>
              <w:tc>
                <w:tcPr>
                  <w:tcW w:w="485" w:type="pct"/>
                  <w:noWrap w:val="0"/>
                  <w:vAlign w:val="center"/>
                </w:tcPr>
                <w:p>
                  <w:pPr>
                    <w:pStyle w:val="9"/>
                    <w:snapToGrid w:val="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olor w:val="auto"/>
                      <w:sz w:val="18"/>
                      <w:szCs w:val="18"/>
                      <w:lang w:val="en-US" w:eastAsia="zh-CN"/>
                    </w:rPr>
                    <w:t>24</w:t>
                  </w:r>
                </w:p>
              </w:tc>
              <w:tc>
                <w:tcPr>
                  <w:tcW w:w="61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187.2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8" w:type="pct"/>
                  <w:shd w:val="clear" w:color="auto" w:fill="auto"/>
                  <w:noWrap w:val="0"/>
                  <w:vAlign w:val="center"/>
                </w:tcPr>
                <w:p>
                  <w:pPr>
                    <w:adjustRightInd w:val="0"/>
                    <w:snapToGrid w:val="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蓄热室式加热炉</w:t>
                  </w:r>
                </w:p>
              </w:tc>
              <w:tc>
                <w:tcPr>
                  <w:tcW w:w="798" w:type="pct"/>
                  <w:shd w:val="clear" w:color="auto" w:fill="auto"/>
                  <w:noWrap w:val="0"/>
                  <w:vAlign w:val="center"/>
                </w:tcPr>
                <w:p>
                  <w:pPr>
                    <w:adjustRightInd w:val="0"/>
                    <w:snapToGrid w:val="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5.3x5x3.5m</w:t>
                  </w:r>
                </w:p>
              </w:tc>
              <w:tc>
                <w:tcPr>
                  <w:tcW w:w="492" w:type="pct"/>
                  <w:vMerge w:val="continue"/>
                  <w:shd w:val="clear" w:color="auto" w:fill="auto"/>
                  <w:noWrap w:val="0"/>
                  <w:vAlign w:val="center"/>
                </w:tcPr>
                <w:p>
                  <w:pPr>
                    <w:adjustRightInd w:val="0"/>
                    <w:snapToGrid w:val="0"/>
                    <w:jc w:val="center"/>
                    <w:rPr>
                      <w:rFonts w:hint="eastAsia" w:ascii="Times New Roman" w:hAnsi="Times New Roman" w:eastAsia="宋体" w:cs="Times New Roman"/>
                      <w:color w:val="auto"/>
                      <w:sz w:val="18"/>
                      <w:szCs w:val="18"/>
                      <w:lang w:val="en-US" w:eastAsia="zh-CN"/>
                    </w:rPr>
                  </w:pPr>
                </w:p>
              </w:tc>
              <w:tc>
                <w:tcPr>
                  <w:tcW w:w="552" w:type="pct"/>
                  <w:noWrap w:val="0"/>
                  <w:vAlign w:val="center"/>
                </w:tcPr>
                <w:p>
                  <w:pPr>
                    <w:adjustRightInd w:val="0"/>
                    <w:snapToGrid w:val="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w:t>
                  </w:r>
                </w:p>
              </w:tc>
              <w:tc>
                <w:tcPr>
                  <w:tcW w:w="58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300</w:t>
                  </w:r>
                </w:p>
              </w:tc>
              <w:tc>
                <w:tcPr>
                  <w:tcW w:w="512" w:type="pct"/>
                  <w:noWrap w:val="0"/>
                  <w:vAlign w:val="center"/>
                </w:tcPr>
                <w:p>
                  <w:pPr>
                    <w:pStyle w:val="9"/>
                    <w:snapToGrid w:val="0"/>
                    <w:jc w:val="center"/>
                    <w:rPr>
                      <w:rFonts w:hint="eastAsia" w:ascii="Times New Roman" w:hAnsi="Times New Roman" w:eastAsia="宋体" w:cs="Times New Roman"/>
                      <w:color w:val="auto"/>
                      <w:sz w:val="18"/>
                      <w:szCs w:val="18"/>
                      <w:lang w:val="en-US" w:eastAsia="zh-CN"/>
                    </w:rPr>
                  </w:pPr>
                  <w:r>
                    <w:rPr>
                      <w:rFonts w:hint="eastAsia" w:ascii="Times New Roman" w:hAnsi="Times New Roman"/>
                      <w:color w:val="auto"/>
                      <w:sz w:val="18"/>
                      <w:szCs w:val="18"/>
                    </w:rPr>
                    <w:t>300</w:t>
                  </w:r>
                </w:p>
              </w:tc>
              <w:tc>
                <w:tcPr>
                  <w:tcW w:w="485" w:type="pct"/>
                  <w:noWrap w:val="0"/>
                  <w:vAlign w:val="center"/>
                </w:tcPr>
                <w:p>
                  <w:pPr>
                    <w:pStyle w:val="9"/>
                    <w:snapToGrid w:val="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olor w:val="auto"/>
                      <w:sz w:val="18"/>
                      <w:szCs w:val="18"/>
                      <w:lang w:val="en-US" w:eastAsia="zh-CN"/>
                    </w:rPr>
                    <w:t>24</w:t>
                  </w:r>
                </w:p>
              </w:tc>
              <w:tc>
                <w:tcPr>
                  <w:tcW w:w="615"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1080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8" w:type="pct"/>
                  <w:shd w:val="clear" w:color="auto" w:fill="auto"/>
                  <w:noWrap w:val="0"/>
                  <w:vAlign w:val="center"/>
                </w:tcPr>
                <w:p>
                  <w:pPr>
                    <w:jc w:val="center"/>
                    <w:rPr>
                      <w:rFonts w:hint="default" w:ascii="Times New Roman" w:hAnsi="Times New Roman" w:eastAsia="宋体" w:cs="Times New Roman"/>
                      <w:color w:val="auto"/>
                      <w:kern w:val="2"/>
                      <w:sz w:val="18"/>
                      <w:szCs w:val="18"/>
                      <w:shd w:val="clear" w:color="auto" w:fill="auto"/>
                      <w:lang w:val="en-US" w:eastAsia="zh-CN" w:bidi="ar-SA"/>
                    </w:rPr>
                  </w:pPr>
                  <w:r>
                    <w:rPr>
                      <w:rFonts w:hint="default" w:ascii="Times New Roman" w:hAnsi="Times New Roman" w:eastAsia="宋体" w:cs="Times New Roman"/>
                      <w:color w:val="auto"/>
                      <w:sz w:val="18"/>
                      <w:szCs w:val="18"/>
                      <w:shd w:val="clear" w:color="auto" w:fill="auto"/>
                      <w:lang w:val="en-US" w:eastAsia="zh-CN"/>
                    </w:rPr>
                    <w:t>天然气室式炉</w:t>
                  </w:r>
                </w:p>
              </w:tc>
              <w:tc>
                <w:tcPr>
                  <w:tcW w:w="798" w:type="pct"/>
                  <w:shd w:val="clear" w:color="auto" w:fill="auto"/>
                  <w:noWrap w:val="0"/>
                  <w:vAlign w:val="center"/>
                </w:tcPr>
                <w:p>
                  <w:pPr>
                    <w:jc w:val="center"/>
                    <w:rPr>
                      <w:rFonts w:hint="default" w:ascii="Times New Roman" w:hAnsi="Times New Roman" w:eastAsia="宋体" w:cs="Times New Roman"/>
                      <w:color w:val="auto"/>
                      <w:kern w:val="2"/>
                      <w:sz w:val="18"/>
                      <w:szCs w:val="18"/>
                      <w:shd w:val="clear" w:color="auto" w:fill="auto"/>
                      <w:lang w:val="en-US" w:eastAsia="zh-CN" w:bidi="ar-SA"/>
                    </w:rPr>
                  </w:pPr>
                  <w:r>
                    <w:rPr>
                      <w:rFonts w:hint="default" w:ascii="Times New Roman" w:hAnsi="Times New Roman" w:eastAsia="宋体" w:cs="Times New Roman"/>
                      <w:color w:val="auto"/>
                      <w:sz w:val="18"/>
                      <w:szCs w:val="18"/>
                      <w:shd w:val="clear" w:color="auto" w:fill="auto"/>
                      <w:lang w:val="en-US" w:eastAsia="zh-CN"/>
                    </w:rPr>
                    <w:t>5.3x5.3x3.8m</w:t>
                  </w:r>
                </w:p>
              </w:tc>
              <w:tc>
                <w:tcPr>
                  <w:tcW w:w="492" w:type="pct"/>
                  <w:shd w:val="clear" w:color="auto" w:fill="auto"/>
                  <w:noWrap w:val="0"/>
                  <w:vAlign w:val="center"/>
                </w:tcPr>
                <w:p>
                  <w:pPr>
                    <w:jc w:val="center"/>
                    <w:rPr>
                      <w:rFonts w:hint="default" w:ascii="Times New Roman" w:hAnsi="Times New Roman" w:eastAsia="宋体" w:cs="Times New Roman"/>
                      <w:color w:val="auto"/>
                      <w:sz w:val="18"/>
                      <w:szCs w:val="18"/>
                      <w:shd w:val="clear" w:color="auto" w:fill="auto"/>
                      <w:lang w:val="en-US" w:eastAsia="zh-CN"/>
                    </w:rPr>
                  </w:pPr>
                  <w:r>
                    <w:rPr>
                      <w:rFonts w:hint="eastAsia" w:cs="Times New Roman"/>
                      <w:color w:val="auto"/>
                      <w:sz w:val="18"/>
                      <w:szCs w:val="18"/>
                      <w:lang w:val="en-US" w:eastAsia="zh-CN"/>
                    </w:rPr>
                    <w:t>DA008</w:t>
                  </w:r>
                </w:p>
              </w:tc>
              <w:tc>
                <w:tcPr>
                  <w:tcW w:w="552" w:type="pct"/>
                  <w:noWrap w:val="0"/>
                  <w:vAlign w:val="center"/>
                </w:tcPr>
                <w:p>
                  <w:pPr>
                    <w:adjustRightInd w:val="0"/>
                    <w:snapToGrid w:val="0"/>
                    <w:jc w:val="center"/>
                    <w:rPr>
                      <w:rFonts w:hint="default" w:ascii="Times New Roman" w:hAnsi="Times New Roman" w:eastAsia="宋体" w:cs="Times New Roman"/>
                      <w:color w:val="auto"/>
                      <w:sz w:val="18"/>
                      <w:szCs w:val="18"/>
                      <w:shd w:val="clear" w:color="auto" w:fill="auto"/>
                      <w:lang w:val="en-US" w:eastAsia="zh-CN"/>
                    </w:rPr>
                  </w:pPr>
                  <w:r>
                    <w:rPr>
                      <w:rFonts w:hint="default" w:ascii="Times New Roman" w:hAnsi="Times New Roman" w:eastAsia="宋体" w:cs="Times New Roman"/>
                      <w:color w:val="auto"/>
                      <w:sz w:val="18"/>
                      <w:szCs w:val="18"/>
                      <w:shd w:val="clear" w:color="auto" w:fill="auto"/>
                      <w:lang w:val="en-US" w:eastAsia="zh-CN"/>
                    </w:rPr>
                    <w:t>1</w:t>
                  </w:r>
                </w:p>
              </w:tc>
              <w:tc>
                <w:tcPr>
                  <w:tcW w:w="58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shd w:val="clear" w:color="auto" w:fill="auto"/>
                      <w:lang w:val="en-US" w:eastAsia="zh-CN"/>
                    </w:rPr>
                  </w:pPr>
                  <w:r>
                    <w:rPr>
                      <w:rFonts w:hint="default" w:ascii="Times New Roman" w:hAnsi="Times New Roman" w:eastAsia="宋体" w:cs="Times New Roman"/>
                      <w:i w:val="0"/>
                      <w:iCs w:val="0"/>
                      <w:color w:val="auto"/>
                      <w:kern w:val="0"/>
                      <w:sz w:val="18"/>
                      <w:szCs w:val="18"/>
                      <w:u w:val="none"/>
                      <w:shd w:val="clear" w:color="auto" w:fill="auto"/>
                      <w:lang w:val="en-US" w:eastAsia="zh-CN" w:bidi="ar"/>
                    </w:rPr>
                    <w:t>320</w:t>
                  </w:r>
                </w:p>
              </w:tc>
              <w:tc>
                <w:tcPr>
                  <w:tcW w:w="512" w:type="pct"/>
                  <w:noWrap w:val="0"/>
                  <w:vAlign w:val="center"/>
                </w:tcPr>
                <w:p>
                  <w:pPr>
                    <w:pStyle w:val="9"/>
                    <w:snapToGrid w:val="0"/>
                    <w:jc w:val="center"/>
                    <w:rPr>
                      <w:rFonts w:hint="default" w:ascii="Times New Roman" w:hAnsi="Times New Roman" w:eastAsia="宋体" w:cs="Times New Roman"/>
                      <w:color w:val="auto"/>
                      <w:sz w:val="18"/>
                      <w:szCs w:val="18"/>
                      <w:shd w:val="clear" w:color="auto" w:fill="auto"/>
                      <w:lang w:val="en-US" w:eastAsia="zh-CN"/>
                    </w:rPr>
                  </w:pPr>
                  <w:r>
                    <w:rPr>
                      <w:rFonts w:hint="default" w:ascii="Times New Roman" w:hAnsi="Times New Roman" w:cs="Times New Roman"/>
                      <w:color w:val="auto"/>
                      <w:sz w:val="18"/>
                      <w:szCs w:val="18"/>
                      <w:shd w:val="clear" w:color="auto" w:fill="auto"/>
                    </w:rPr>
                    <w:t>300</w:t>
                  </w:r>
                </w:p>
              </w:tc>
              <w:tc>
                <w:tcPr>
                  <w:tcW w:w="485" w:type="pct"/>
                  <w:noWrap w:val="0"/>
                  <w:vAlign w:val="center"/>
                </w:tcPr>
                <w:p>
                  <w:pPr>
                    <w:pStyle w:val="9"/>
                    <w:snapToGrid w:val="0"/>
                    <w:jc w:val="center"/>
                    <w:rPr>
                      <w:rFonts w:hint="default" w:ascii="Times New Roman" w:hAnsi="Times New Roman" w:eastAsia="宋体" w:cs="Times New Roman"/>
                      <w:color w:val="auto"/>
                      <w:sz w:val="18"/>
                      <w:szCs w:val="18"/>
                      <w:shd w:val="clear" w:color="auto" w:fill="auto"/>
                      <w:lang w:val="en-US" w:eastAsia="zh-CN"/>
                    </w:rPr>
                  </w:pPr>
                  <w:r>
                    <w:rPr>
                      <w:rFonts w:hint="default" w:ascii="Times New Roman" w:hAnsi="Times New Roman" w:eastAsia="宋体" w:cs="Times New Roman"/>
                      <w:color w:val="auto"/>
                      <w:sz w:val="18"/>
                      <w:szCs w:val="18"/>
                      <w:shd w:val="clear" w:color="auto" w:fill="auto"/>
                      <w:lang w:val="en-US" w:eastAsia="zh-CN"/>
                    </w:rPr>
                    <w:t>24</w:t>
                  </w:r>
                </w:p>
              </w:tc>
              <w:tc>
                <w:tcPr>
                  <w:tcW w:w="61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shd w:val="clear" w:color="auto" w:fill="auto"/>
                      <w:lang w:val="en-US" w:eastAsia="zh-CN"/>
                    </w:rPr>
                  </w:pPr>
                  <w:r>
                    <w:rPr>
                      <w:rFonts w:hint="default" w:ascii="Times New Roman" w:hAnsi="Times New Roman" w:eastAsia="宋体" w:cs="Times New Roman"/>
                      <w:i w:val="0"/>
                      <w:iCs w:val="0"/>
                      <w:color w:val="auto"/>
                      <w:kern w:val="0"/>
                      <w:sz w:val="18"/>
                      <w:szCs w:val="18"/>
                      <w:u w:val="none"/>
                      <w:shd w:val="clear" w:color="auto" w:fill="auto"/>
                      <w:lang w:val="en-US" w:eastAsia="zh-CN" w:bidi="ar"/>
                    </w:rPr>
                    <w:t xml:space="preserve">230.4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8" w:type="pct"/>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2"/>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台车式退火炉</w:t>
                  </w:r>
                </w:p>
              </w:tc>
              <w:tc>
                <w:tcPr>
                  <w:tcW w:w="798"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15x3.2x2.1m</w:t>
                  </w:r>
                </w:p>
              </w:tc>
              <w:tc>
                <w:tcPr>
                  <w:tcW w:w="776" w:type="dxa"/>
                  <w:vMerge w:val="restart"/>
                  <w:shd w:val="clear" w:color="auto" w:fill="auto"/>
                  <w:noWrap w:val="0"/>
                  <w:vAlign w:val="center"/>
                </w:tcPr>
                <w:p>
                  <w:pPr>
                    <w:jc w:val="center"/>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DA004</w:t>
                  </w:r>
                </w:p>
              </w:tc>
              <w:tc>
                <w:tcPr>
                  <w:tcW w:w="552" w:type="pct"/>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85"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300</w:t>
                  </w:r>
                </w:p>
              </w:tc>
              <w:tc>
                <w:tcPr>
                  <w:tcW w:w="512" w:type="pct"/>
                  <w:noWrap w:val="0"/>
                  <w:vAlign w:val="center"/>
                </w:tcPr>
                <w:p>
                  <w:pPr>
                    <w:pStyle w:val="9"/>
                    <w:snapToGrid w:val="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300</w:t>
                  </w:r>
                </w:p>
              </w:tc>
              <w:tc>
                <w:tcPr>
                  <w:tcW w:w="485" w:type="pct"/>
                  <w:noWrap w:val="0"/>
                  <w:vAlign w:val="center"/>
                </w:tcPr>
                <w:p>
                  <w:pPr>
                    <w:pStyle w:val="9"/>
                    <w:snapToGrid w:val="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24</w:t>
                  </w:r>
                </w:p>
              </w:tc>
              <w:tc>
                <w:tcPr>
                  <w:tcW w:w="615"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216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8" w:type="pct"/>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台车式退火炉</w:t>
                  </w:r>
                </w:p>
              </w:tc>
              <w:tc>
                <w:tcPr>
                  <w:tcW w:w="798"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12x3.2x2.1m</w:t>
                  </w:r>
                </w:p>
              </w:tc>
              <w:tc>
                <w:tcPr>
                  <w:tcW w:w="492" w:type="pct"/>
                  <w:vMerge w:val="continue"/>
                  <w:shd w:val="clear" w:color="auto" w:fill="auto"/>
                  <w:noWrap w:val="0"/>
                  <w:vAlign w:val="center"/>
                </w:tcPr>
                <w:p>
                  <w:pPr>
                    <w:jc w:val="center"/>
                    <w:rPr>
                      <w:rFonts w:hint="eastAsia" w:ascii="Times New Roman" w:hAnsi="Times New Roman" w:eastAsia="宋体" w:cs="Times New Roman"/>
                      <w:color w:val="auto"/>
                      <w:sz w:val="18"/>
                      <w:szCs w:val="18"/>
                      <w:lang w:val="en-US" w:eastAsia="zh-CN"/>
                    </w:rPr>
                  </w:pPr>
                </w:p>
              </w:tc>
              <w:tc>
                <w:tcPr>
                  <w:tcW w:w="552" w:type="pct"/>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85"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400</w:t>
                  </w:r>
                </w:p>
              </w:tc>
              <w:tc>
                <w:tcPr>
                  <w:tcW w:w="512" w:type="pct"/>
                  <w:noWrap w:val="0"/>
                  <w:vAlign w:val="center"/>
                </w:tcPr>
                <w:p>
                  <w:pPr>
                    <w:pStyle w:val="9"/>
                    <w:snapToGrid w:val="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300</w:t>
                  </w:r>
                </w:p>
              </w:tc>
              <w:tc>
                <w:tcPr>
                  <w:tcW w:w="485" w:type="pct"/>
                  <w:noWrap w:val="0"/>
                  <w:vAlign w:val="center"/>
                </w:tcPr>
                <w:p>
                  <w:pPr>
                    <w:pStyle w:val="9"/>
                    <w:snapToGrid w:val="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24</w:t>
                  </w:r>
                </w:p>
              </w:tc>
              <w:tc>
                <w:tcPr>
                  <w:tcW w:w="615"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288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8" w:type="pct"/>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台车式退火炉</w:t>
                  </w:r>
                </w:p>
              </w:tc>
              <w:tc>
                <w:tcPr>
                  <w:tcW w:w="798"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12x3.2x2.1m</w:t>
                  </w:r>
                </w:p>
              </w:tc>
              <w:tc>
                <w:tcPr>
                  <w:tcW w:w="492" w:type="pct"/>
                  <w:vMerge w:val="continue"/>
                  <w:shd w:val="clear" w:color="auto" w:fill="auto"/>
                  <w:noWrap w:val="0"/>
                  <w:vAlign w:val="center"/>
                </w:tcPr>
                <w:p>
                  <w:pPr>
                    <w:jc w:val="center"/>
                    <w:rPr>
                      <w:rFonts w:hint="eastAsia" w:ascii="Times New Roman" w:hAnsi="Times New Roman" w:eastAsia="宋体" w:cs="Times New Roman"/>
                      <w:color w:val="auto"/>
                      <w:sz w:val="18"/>
                      <w:szCs w:val="18"/>
                      <w:lang w:val="en-US" w:eastAsia="zh-CN"/>
                    </w:rPr>
                  </w:pPr>
                </w:p>
              </w:tc>
              <w:tc>
                <w:tcPr>
                  <w:tcW w:w="552" w:type="pct"/>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85"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400</w:t>
                  </w:r>
                </w:p>
              </w:tc>
              <w:tc>
                <w:tcPr>
                  <w:tcW w:w="512" w:type="pct"/>
                  <w:noWrap w:val="0"/>
                  <w:vAlign w:val="center"/>
                </w:tcPr>
                <w:p>
                  <w:pPr>
                    <w:pStyle w:val="9"/>
                    <w:snapToGrid w:val="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300</w:t>
                  </w:r>
                </w:p>
              </w:tc>
              <w:tc>
                <w:tcPr>
                  <w:tcW w:w="485" w:type="pct"/>
                  <w:noWrap w:val="0"/>
                  <w:vAlign w:val="center"/>
                </w:tcPr>
                <w:p>
                  <w:pPr>
                    <w:pStyle w:val="9"/>
                    <w:snapToGrid w:val="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24</w:t>
                  </w:r>
                </w:p>
              </w:tc>
              <w:tc>
                <w:tcPr>
                  <w:tcW w:w="615"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288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8" w:type="pct"/>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台车式退火炉</w:t>
                  </w:r>
                </w:p>
              </w:tc>
              <w:tc>
                <w:tcPr>
                  <w:tcW w:w="798"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9x3.2x1.5m</w:t>
                  </w:r>
                </w:p>
              </w:tc>
              <w:tc>
                <w:tcPr>
                  <w:tcW w:w="776" w:type="dxa"/>
                  <w:vMerge w:val="restart"/>
                  <w:shd w:val="clear" w:color="auto" w:fill="auto"/>
                  <w:noWrap w:val="0"/>
                  <w:vAlign w:val="center"/>
                </w:tcPr>
                <w:p>
                  <w:pPr>
                    <w:jc w:val="center"/>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DA005</w:t>
                  </w:r>
                </w:p>
              </w:tc>
              <w:tc>
                <w:tcPr>
                  <w:tcW w:w="552" w:type="pct"/>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585"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300</w:t>
                  </w:r>
                </w:p>
              </w:tc>
              <w:tc>
                <w:tcPr>
                  <w:tcW w:w="512" w:type="pct"/>
                  <w:noWrap w:val="0"/>
                  <w:vAlign w:val="center"/>
                </w:tcPr>
                <w:p>
                  <w:pPr>
                    <w:pStyle w:val="9"/>
                    <w:snapToGrid w:val="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300</w:t>
                  </w:r>
                </w:p>
              </w:tc>
              <w:tc>
                <w:tcPr>
                  <w:tcW w:w="485" w:type="pct"/>
                  <w:noWrap w:val="0"/>
                  <w:vAlign w:val="center"/>
                </w:tcPr>
                <w:p>
                  <w:pPr>
                    <w:pStyle w:val="9"/>
                    <w:snapToGrid w:val="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24</w:t>
                  </w:r>
                </w:p>
              </w:tc>
              <w:tc>
                <w:tcPr>
                  <w:tcW w:w="615"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432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8" w:type="pct"/>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台车式退火炉</w:t>
                  </w:r>
                </w:p>
              </w:tc>
              <w:tc>
                <w:tcPr>
                  <w:tcW w:w="798"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9x4x1.8m</w:t>
                  </w:r>
                </w:p>
              </w:tc>
              <w:tc>
                <w:tcPr>
                  <w:tcW w:w="492" w:type="pct"/>
                  <w:vMerge w:val="continue"/>
                  <w:shd w:val="clear" w:color="auto" w:fill="auto"/>
                  <w:noWrap w:val="0"/>
                  <w:vAlign w:val="center"/>
                </w:tcPr>
                <w:p>
                  <w:pPr>
                    <w:jc w:val="center"/>
                    <w:rPr>
                      <w:rFonts w:hint="eastAsia" w:ascii="Times New Roman" w:hAnsi="Times New Roman" w:eastAsia="宋体" w:cs="Times New Roman"/>
                      <w:color w:val="auto"/>
                      <w:sz w:val="18"/>
                      <w:szCs w:val="18"/>
                      <w:lang w:val="en-US" w:eastAsia="zh-CN"/>
                    </w:rPr>
                  </w:pPr>
                </w:p>
              </w:tc>
              <w:tc>
                <w:tcPr>
                  <w:tcW w:w="552" w:type="pct"/>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85"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300</w:t>
                  </w:r>
                </w:p>
              </w:tc>
              <w:tc>
                <w:tcPr>
                  <w:tcW w:w="512" w:type="pct"/>
                  <w:noWrap w:val="0"/>
                  <w:vAlign w:val="center"/>
                </w:tcPr>
                <w:p>
                  <w:pPr>
                    <w:pStyle w:val="9"/>
                    <w:snapToGrid w:val="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300</w:t>
                  </w:r>
                </w:p>
              </w:tc>
              <w:tc>
                <w:tcPr>
                  <w:tcW w:w="485" w:type="pct"/>
                  <w:noWrap w:val="0"/>
                  <w:vAlign w:val="center"/>
                </w:tcPr>
                <w:p>
                  <w:pPr>
                    <w:pStyle w:val="9"/>
                    <w:snapToGrid w:val="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24</w:t>
                  </w:r>
                </w:p>
              </w:tc>
              <w:tc>
                <w:tcPr>
                  <w:tcW w:w="615"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216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84" w:type="pct"/>
                  <w:gridSpan w:val="7"/>
                  <w:shd w:val="clear" w:color="auto" w:fill="auto"/>
                  <w:noWrap w:val="0"/>
                  <w:vAlign w:val="center"/>
                </w:tcPr>
                <w:p>
                  <w:pPr>
                    <w:adjustRightInd w:val="0"/>
                    <w:snapToGrid w:val="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合计</w:t>
                  </w:r>
                </w:p>
              </w:tc>
              <w:tc>
                <w:tcPr>
                  <w:tcW w:w="615" w:type="pct"/>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4110</w:t>
                  </w:r>
                </w:p>
              </w:tc>
            </w:tr>
          </w:tbl>
          <w:p>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jc w:val="left"/>
              <w:textAlignment w:val="auto"/>
              <w:rPr>
                <w:rFonts w:hint="eastAsia" w:ascii="Times New Roman" w:hAnsi="Times New Roman" w:eastAsia="宋体" w:cs="Times New Roman"/>
                <w:b w:val="0"/>
                <w:bCs w:val="0"/>
                <w:color w:val="auto"/>
                <w:szCs w:val="21"/>
                <w:lang w:eastAsia="zh-CN"/>
              </w:rPr>
            </w:pPr>
            <w:r>
              <w:rPr>
                <w:rFonts w:hint="eastAsia" w:ascii="Times New Roman" w:hAnsi="Times New Roman" w:eastAsia="宋体" w:cs="Times New Roman"/>
                <w:b w:val="0"/>
                <w:bCs w:val="0"/>
                <w:color w:val="auto"/>
                <w:szCs w:val="21"/>
                <w:lang w:eastAsia="zh-CN"/>
              </w:rPr>
              <w:t>综上所述，</w:t>
            </w:r>
            <w:r>
              <w:rPr>
                <w:rFonts w:hint="eastAsia" w:ascii="Times New Roman" w:hAnsi="Times New Roman" w:eastAsia="宋体" w:cs="Times New Roman"/>
                <w:b w:val="0"/>
                <w:bCs/>
                <w:color w:val="auto"/>
                <w:kern w:val="2"/>
                <w:sz w:val="21"/>
                <w:szCs w:val="21"/>
                <w:lang w:val="en-US" w:eastAsia="zh-CN" w:bidi="ar-SA"/>
              </w:rPr>
              <w:t>由于产能的扩建，新增设备导致天然气能耗增加了864.72万</w:t>
            </w:r>
            <w:r>
              <w:rPr>
                <w:rFonts w:hint="default" w:ascii="Times New Roman" w:hAnsi="Times New Roman" w:eastAsia="宋体" w:cs="Times New Roman"/>
                <w:b w:val="0"/>
                <w:bCs/>
                <w:color w:val="auto"/>
                <w:kern w:val="2"/>
                <w:sz w:val="21"/>
                <w:szCs w:val="21"/>
                <w:lang w:val="en-US" w:eastAsia="zh-CN" w:bidi="ar-SA"/>
              </w:rPr>
              <w:t>m³/a</w:t>
            </w:r>
            <w:r>
              <w:rPr>
                <w:rFonts w:hint="eastAsia" w:ascii="Times New Roman" w:hAnsi="Times New Roman" w:eastAsia="宋体" w:cs="Times New Roman"/>
                <w:b w:val="0"/>
                <w:bCs/>
                <w:color w:val="auto"/>
                <w:kern w:val="2"/>
                <w:sz w:val="21"/>
                <w:szCs w:val="21"/>
                <w:lang w:val="en-US" w:eastAsia="zh-CN" w:bidi="ar-SA"/>
              </w:rPr>
              <w:t>，</w:t>
            </w:r>
            <w:r>
              <w:rPr>
                <w:rFonts w:hint="default" w:ascii="Times New Roman" w:hAnsi="Times New Roman" w:eastAsia="宋体" w:cs="Times New Roman"/>
                <w:b w:val="0"/>
                <w:bCs w:val="0"/>
                <w:color w:val="auto"/>
                <w:szCs w:val="21"/>
                <w:lang w:eastAsia="zh-CN"/>
              </w:rPr>
              <w:t>‌现有锻件能耗</w:t>
            </w:r>
            <w:r>
              <w:rPr>
                <w:rFonts w:hint="eastAsia" w:ascii="Times New Roman" w:hAnsi="Times New Roman" w:eastAsia="宋体" w:cs="Times New Roman"/>
                <w:b w:val="0"/>
                <w:bCs/>
                <w:color w:val="auto"/>
                <w:kern w:val="2"/>
                <w:sz w:val="21"/>
                <w:szCs w:val="21"/>
                <w:lang w:val="en-US" w:eastAsia="zh-CN" w:bidi="ar-SA"/>
              </w:rPr>
              <w:t>则</w:t>
            </w:r>
            <w:r>
              <w:rPr>
                <w:rFonts w:hint="default" w:ascii="Times New Roman" w:hAnsi="Times New Roman" w:eastAsia="宋体" w:cs="Times New Roman"/>
                <w:b w:val="0"/>
                <w:bCs/>
                <w:color w:val="auto"/>
                <w:kern w:val="2"/>
                <w:sz w:val="21"/>
                <w:szCs w:val="21"/>
                <w:lang w:val="en-US" w:eastAsia="zh-CN" w:bidi="ar-SA"/>
              </w:rPr>
              <w:t>降</w:t>
            </w:r>
            <w:r>
              <w:rPr>
                <w:rFonts w:hint="default" w:ascii="Times New Roman" w:hAnsi="Times New Roman" w:eastAsia="宋体" w:cs="Times New Roman"/>
                <w:b w:val="0"/>
                <w:bCs w:val="0"/>
                <w:color w:val="auto"/>
                <w:szCs w:val="21"/>
                <w:lang w:eastAsia="zh-CN"/>
              </w:rPr>
              <w:t>幅</w:t>
            </w:r>
            <w:r>
              <w:rPr>
                <w:rFonts w:hint="eastAsia" w:ascii="Times New Roman" w:hAnsi="Times New Roman" w:eastAsia="宋体" w:cs="Times New Roman"/>
                <w:b w:val="0"/>
                <w:bCs w:val="0"/>
                <w:color w:val="auto"/>
                <w:szCs w:val="21"/>
                <w:lang w:val="en-US" w:eastAsia="zh-CN"/>
              </w:rPr>
              <w:t>714.72</w:t>
            </w:r>
            <w:r>
              <w:rPr>
                <w:rFonts w:hint="default" w:ascii="Times New Roman" w:hAnsi="Times New Roman" w:eastAsia="宋体" w:cs="Times New Roman"/>
                <w:b w:val="0"/>
                <w:bCs w:val="0"/>
                <w:color w:val="auto"/>
                <w:szCs w:val="21"/>
                <w:lang w:eastAsia="zh-CN"/>
              </w:rPr>
              <w:t>万m³/a</w:t>
            </w:r>
            <w:r>
              <w:rPr>
                <w:rFonts w:hint="eastAsia" w:cs="Times New Roman"/>
                <w:b w:val="0"/>
                <w:bCs w:val="0"/>
                <w:color w:val="auto"/>
                <w:szCs w:val="21"/>
                <w:lang w:eastAsia="zh-CN"/>
              </w:rPr>
              <w:t>。</w:t>
            </w:r>
            <w:r>
              <w:rPr>
                <w:rFonts w:hint="eastAsia" w:ascii="Times New Roman" w:hAnsi="Times New Roman" w:eastAsia="宋体" w:cs="Times New Roman"/>
                <w:b w:val="0"/>
                <w:bCs/>
                <w:color w:val="auto"/>
                <w:kern w:val="2"/>
                <w:sz w:val="21"/>
                <w:szCs w:val="21"/>
                <w:lang w:val="en-US" w:eastAsia="zh-CN" w:bidi="ar-SA"/>
              </w:rPr>
              <w:t>经计算，本</w:t>
            </w:r>
            <w:r>
              <w:rPr>
                <w:rFonts w:hint="eastAsia" w:ascii="Times New Roman" w:hAnsi="Times New Roman" w:eastAsia="宋体" w:cs="Times New Roman"/>
                <w:b w:val="0"/>
                <w:bCs w:val="0"/>
                <w:color w:val="auto"/>
                <w:szCs w:val="21"/>
                <w:lang w:eastAsia="zh-CN"/>
              </w:rPr>
              <w:t>项目改扩建后，天然气消耗总量</w:t>
            </w:r>
            <w:r>
              <w:rPr>
                <w:rFonts w:hint="eastAsia" w:ascii="Times New Roman" w:hAnsi="Times New Roman" w:eastAsia="宋体" w:cs="Times New Roman"/>
                <w:b w:val="0"/>
                <w:bCs/>
                <w:color w:val="auto"/>
                <w:kern w:val="2"/>
                <w:sz w:val="21"/>
                <w:szCs w:val="21"/>
                <w:lang w:val="en-US" w:eastAsia="zh-CN" w:bidi="ar-SA"/>
              </w:rPr>
              <w:t>最终增加</w:t>
            </w:r>
            <w:r>
              <w:rPr>
                <w:rFonts w:hint="eastAsia" w:ascii="Times New Roman" w:hAnsi="Times New Roman" w:eastAsia="宋体" w:cs="Times New Roman"/>
                <w:b w:val="0"/>
                <w:bCs w:val="0"/>
                <w:color w:val="auto"/>
                <w:szCs w:val="21"/>
                <w:lang w:eastAsia="zh-CN"/>
              </w:rPr>
              <w:t>‌</w:t>
            </w:r>
            <w:r>
              <w:rPr>
                <w:rFonts w:hint="default" w:ascii="Times New Roman" w:hAnsi="Times New Roman" w:eastAsia="宋体" w:cs="Times New Roman"/>
                <w:b w:val="0"/>
                <w:bCs w:val="0"/>
                <w:color w:val="auto"/>
                <w:szCs w:val="21"/>
                <w:lang w:eastAsia="zh-CN"/>
              </w:rPr>
              <w:t>150万m³/a</w:t>
            </w:r>
            <w:r>
              <w:rPr>
                <w:rFonts w:hint="eastAsia" w:ascii="Times New Roman" w:hAnsi="Times New Roman" w:eastAsia="宋体" w:cs="Times New Roman"/>
                <w:b w:val="0"/>
                <w:bCs w:val="0"/>
                <w:color w:val="auto"/>
                <w:szCs w:val="21"/>
                <w:lang w:eastAsia="zh-CN"/>
              </w:rPr>
              <w:t>。</w:t>
            </w:r>
            <w:r>
              <w:rPr>
                <w:rFonts w:hint="eastAsia" w:ascii="Times New Roman" w:hAnsi="Times New Roman" w:eastAsia="宋体" w:cs="Times New Roman"/>
                <w:b w:val="0"/>
                <w:bCs/>
                <w:color w:val="auto"/>
                <w:kern w:val="2"/>
                <w:sz w:val="21"/>
                <w:szCs w:val="21"/>
                <w:lang w:val="en-US" w:eastAsia="zh-CN" w:bidi="ar-SA"/>
              </w:rPr>
              <w:t>这一</w:t>
            </w:r>
            <w:r>
              <w:rPr>
                <w:rFonts w:hint="default" w:ascii="Times New Roman" w:hAnsi="Times New Roman" w:eastAsia="宋体" w:cs="Times New Roman"/>
                <w:b w:val="0"/>
                <w:bCs w:val="0"/>
                <w:color w:val="auto"/>
                <w:szCs w:val="21"/>
                <w:lang w:eastAsia="zh-CN"/>
              </w:rPr>
              <w:t>‌计算逻辑的合理性，符合实际能效提升水平</w:t>
            </w:r>
            <w:r>
              <w:rPr>
                <w:rFonts w:hint="eastAsia" w:ascii="Times New Roman" w:hAnsi="Times New Roman" w:eastAsia="宋体" w:cs="Times New Roman"/>
                <w:b w:val="0"/>
                <w:bCs w:val="0"/>
                <w:color w:val="auto"/>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500" w:lineRule="exact"/>
              <w:ind w:firstLine="422" w:firstLineChars="200"/>
              <w:jc w:val="left"/>
              <w:textAlignment w:val="auto"/>
              <w:rPr>
                <w:rFonts w:hint="eastAsia" w:ascii="Times New Roman" w:hAnsi="Times New Roman" w:eastAsia="宋体" w:cs="Times New Roman"/>
                <w:b/>
                <w:bCs/>
                <w:color w:val="auto"/>
                <w:szCs w:val="21"/>
                <w:lang w:eastAsia="zh-CN"/>
              </w:rPr>
            </w:pPr>
            <w:r>
              <w:rPr>
                <w:rFonts w:hint="eastAsia" w:ascii="Times New Roman" w:hAnsi="Times New Roman" w:eastAsia="宋体" w:cs="Times New Roman"/>
                <w:b/>
                <w:bCs/>
                <w:color w:val="auto"/>
                <w:szCs w:val="21"/>
                <w:lang w:eastAsia="zh-CN"/>
              </w:rPr>
              <w:t>本项目</w:t>
            </w:r>
            <w:r>
              <w:rPr>
                <w:rFonts w:hint="eastAsia" w:ascii="Times New Roman" w:hAnsi="Times New Roman" w:eastAsia="宋体" w:cs="Times New Roman"/>
                <w:b/>
                <w:bCs/>
                <w:color w:val="auto"/>
                <w:lang w:val="en-US" w:eastAsia="zh-CN"/>
              </w:rPr>
              <w:t>改扩建</w:t>
            </w:r>
            <w:r>
              <w:rPr>
                <w:rFonts w:hint="eastAsia" w:ascii="Times New Roman" w:hAnsi="Times New Roman" w:eastAsia="宋体" w:cs="Times New Roman"/>
                <w:b/>
                <w:bCs/>
                <w:color w:val="auto"/>
                <w:szCs w:val="21"/>
                <w:lang w:eastAsia="zh-CN"/>
              </w:rPr>
              <w:t>前后产能分析</w:t>
            </w:r>
          </w:p>
          <w:p>
            <w:pPr>
              <w:keepNext w:val="0"/>
              <w:keepLines w:val="0"/>
              <w:pageBreakBefore w:val="0"/>
              <w:widowControl w:val="0"/>
              <w:kinsoku/>
              <w:wordWrap/>
              <w:overflowPunct/>
              <w:topLinePunct w:val="0"/>
              <w:autoSpaceDE/>
              <w:autoSpaceDN/>
              <w:bidi w:val="0"/>
              <w:adjustRightInd/>
              <w:snapToGrid/>
              <w:spacing w:line="500" w:lineRule="exact"/>
              <w:ind w:firstLine="422" w:firstLineChars="200"/>
              <w:jc w:val="left"/>
              <w:textAlignment w:val="auto"/>
              <w:rPr>
                <w:rFonts w:hint="eastAsia" w:ascii="Times New Roman" w:hAnsi="Times New Roman" w:eastAsia="宋体" w:cs="Times New Roman"/>
                <w:b/>
                <w:bCs/>
                <w:color w:val="auto"/>
                <w:lang w:eastAsia="zh-CN"/>
              </w:rPr>
            </w:pPr>
            <w:r>
              <w:rPr>
                <w:rFonts w:hint="eastAsia" w:cs="Times New Roman"/>
                <w:b/>
                <w:bCs/>
                <w:color w:val="auto"/>
                <w:lang w:eastAsia="zh-CN"/>
              </w:rPr>
              <w:t>锻造工序主要设备为压机、加热炉，对主要设备进行产能分析见下表。</w:t>
            </w:r>
          </w:p>
          <w:p>
            <w:pPr>
              <w:spacing w:line="500" w:lineRule="exact"/>
              <w:jc w:val="center"/>
              <w:rPr>
                <w:rFonts w:ascii="Times New Roman" w:hAnsi="Times New Roman" w:eastAsia="宋体" w:cs="Times New Roman"/>
                <w:b/>
                <w:bCs/>
                <w:color w:val="auto"/>
              </w:rPr>
            </w:pPr>
            <w:r>
              <w:rPr>
                <w:rFonts w:ascii="Times New Roman" w:hAnsi="Times New Roman" w:eastAsia="宋体" w:cs="Times New Roman"/>
                <w:b/>
                <w:bCs/>
                <w:color w:val="auto"/>
              </w:rPr>
              <w:t>表</w:t>
            </w:r>
            <w:r>
              <w:rPr>
                <w:rFonts w:hint="eastAsia" w:ascii="Times New Roman" w:hAnsi="Times New Roman" w:eastAsia="宋体" w:cs="Times New Roman"/>
                <w:b/>
                <w:bCs/>
                <w:color w:val="auto"/>
              </w:rPr>
              <w:t>2</w:t>
            </w:r>
            <w:r>
              <w:rPr>
                <w:rFonts w:ascii="Times New Roman" w:hAnsi="Times New Roman" w:eastAsia="宋体" w:cs="Times New Roman"/>
                <w:b/>
                <w:bCs/>
                <w:color w:val="auto"/>
              </w:rPr>
              <w:t>-</w:t>
            </w:r>
            <w:r>
              <w:rPr>
                <w:rFonts w:hint="eastAsia" w:cs="Times New Roman"/>
                <w:b/>
                <w:bCs/>
                <w:color w:val="auto"/>
                <w:lang w:val="en-US" w:eastAsia="zh-CN"/>
              </w:rPr>
              <w:t>11</w:t>
            </w:r>
            <w:r>
              <w:rPr>
                <w:rFonts w:ascii="Times New Roman" w:hAnsi="Times New Roman" w:eastAsia="宋体" w:cs="Times New Roman"/>
                <w:b/>
                <w:bCs/>
                <w:color w:val="auto"/>
              </w:rPr>
              <w:t xml:space="preserve">  </w:t>
            </w:r>
            <w:r>
              <w:rPr>
                <w:rFonts w:hint="eastAsia" w:ascii="Times New Roman" w:hAnsi="Times New Roman" w:eastAsia="宋体" w:cs="Times New Roman"/>
                <w:b/>
                <w:bCs/>
                <w:color w:val="auto"/>
                <w:lang w:eastAsia="zh-CN"/>
              </w:rPr>
              <w:t>锻造工序</w:t>
            </w:r>
            <w:r>
              <w:rPr>
                <w:rFonts w:hint="eastAsia" w:cs="Times New Roman"/>
                <w:b/>
                <w:bCs/>
                <w:color w:val="auto"/>
                <w:lang w:eastAsia="zh-CN"/>
              </w:rPr>
              <w:t>压机</w:t>
            </w:r>
            <w:r>
              <w:rPr>
                <w:rFonts w:hint="eastAsia" w:ascii="Times New Roman" w:hAnsi="Times New Roman" w:eastAsia="宋体" w:cs="Times New Roman"/>
                <w:b/>
                <w:bCs/>
                <w:color w:val="auto"/>
                <w:lang w:val="en-US" w:eastAsia="zh-CN"/>
              </w:rPr>
              <w:t>改扩建前</w:t>
            </w:r>
            <w:r>
              <w:rPr>
                <w:rFonts w:hint="eastAsia" w:ascii="Times New Roman" w:hAnsi="Times New Roman" w:eastAsia="宋体" w:cs="Times New Roman"/>
                <w:b/>
                <w:bCs/>
                <w:color w:val="auto"/>
                <w:lang w:eastAsia="zh-CN"/>
              </w:rPr>
              <w:t>设计产能</w:t>
            </w:r>
            <w:r>
              <w:rPr>
                <w:rFonts w:hint="eastAsia" w:ascii="Times New Roman" w:hAnsi="Times New Roman" w:eastAsia="宋体" w:cs="Times New Roman"/>
                <w:b/>
                <w:bCs/>
                <w:color w:val="auto"/>
              </w:rPr>
              <w:t>表</w:t>
            </w:r>
          </w:p>
          <w:tbl>
            <w:tblPr>
              <w:tblStyle w:val="21"/>
              <w:tblW w:w="4902"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47"/>
              <w:gridCol w:w="1466"/>
              <w:gridCol w:w="925"/>
              <w:gridCol w:w="925"/>
              <w:gridCol w:w="981"/>
              <w:gridCol w:w="958"/>
              <w:gridCol w:w="10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9" w:type="pct"/>
                  <w:noWrap w:val="0"/>
                  <w:vAlign w:val="center"/>
                </w:tcPr>
                <w:p>
                  <w:pPr>
                    <w:jc w:val="center"/>
                    <w:rPr>
                      <w:color w:val="auto"/>
                      <w:sz w:val="18"/>
                      <w:szCs w:val="18"/>
                    </w:rPr>
                  </w:pPr>
                  <w:r>
                    <w:rPr>
                      <w:rFonts w:hint="eastAsia"/>
                      <w:color w:val="auto"/>
                      <w:sz w:val="18"/>
                      <w:szCs w:val="18"/>
                    </w:rPr>
                    <w:t>设备</w:t>
                  </w:r>
                  <w:r>
                    <w:rPr>
                      <w:color w:val="auto"/>
                      <w:sz w:val="18"/>
                      <w:szCs w:val="18"/>
                    </w:rPr>
                    <w:t>名称</w:t>
                  </w:r>
                </w:p>
              </w:tc>
              <w:tc>
                <w:tcPr>
                  <w:tcW w:w="937" w:type="pct"/>
                  <w:noWrap w:val="0"/>
                  <w:vAlign w:val="center"/>
                </w:tcPr>
                <w:p>
                  <w:pPr>
                    <w:jc w:val="center"/>
                    <w:rPr>
                      <w:color w:val="auto"/>
                      <w:sz w:val="18"/>
                      <w:szCs w:val="18"/>
                    </w:rPr>
                  </w:pPr>
                  <w:r>
                    <w:rPr>
                      <w:color w:val="auto"/>
                      <w:sz w:val="18"/>
                      <w:szCs w:val="18"/>
                    </w:rPr>
                    <w:t>型号</w:t>
                  </w:r>
                </w:p>
              </w:tc>
              <w:tc>
                <w:tcPr>
                  <w:tcW w:w="591" w:type="pct"/>
                  <w:noWrap w:val="0"/>
                  <w:vAlign w:val="center"/>
                </w:tcPr>
                <w:p>
                  <w:pPr>
                    <w:jc w:val="center"/>
                    <w:rPr>
                      <w:color w:val="auto"/>
                      <w:sz w:val="18"/>
                      <w:szCs w:val="18"/>
                    </w:rPr>
                  </w:pPr>
                  <w:r>
                    <w:rPr>
                      <w:color w:val="auto"/>
                      <w:sz w:val="18"/>
                      <w:szCs w:val="18"/>
                    </w:rPr>
                    <w:t>数量</w:t>
                  </w:r>
                  <w:r>
                    <w:rPr>
                      <w:rFonts w:hint="eastAsia"/>
                      <w:color w:val="auto"/>
                      <w:sz w:val="18"/>
                      <w:szCs w:val="18"/>
                    </w:rPr>
                    <w:t>（台/套）</w:t>
                  </w:r>
                </w:p>
              </w:tc>
              <w:tc>
                <w:tcPr>
                  <w:tcW w:w="591" w:type="pct"/>
                  <w:noWrap w:val="0"/>
                  <w:vAlign w:val="center"/>
                </w:tcPr>
                <w:p>
                  <w:pPr>
                    <w:jc w:val="center"/>
                    <w:rPr>
                      <w:rFonts w:hint="eastAsia"/>
                      <w:color w:val="auto"/>
                      <w:sz w:val="18"/>
                      <w:szCs w:val="18"/>
                    </w:rPr>
                  </w:pPr>
                  <w:r>
                    <w:rPr>
                      <w:rFonts w:hint="eastAsia"/>
                      <w:color w:val="auto"/>
                      <w:sz w:val="18"/>
                      <w:szCs w:val="18"/>
                      <w:lang w:eastAsia="zh-CN"/>
                    </w:rPr>
                    <w:t>锻压</w:t>
                  </w:r>
                  <w:r>
                    <w:rPr>
                      <w:rFonts w:hint="eastAsia"/>
                      <w:color w:val="auto"/>
                      <w:sz w:val="18"/>
                      <w:szCs w:val="18"/>
                    </w:rPr>
                    <w:t>能力（</w:t>
                  </w:r>
                  <w:r>
                    <w:rPr>
                      <w:rFonts w:hint="eastAsia"/>
                      <w:color w:val="auto"/>
                      <w:sz w:val="18"/>
                      <w:szCs w:val="18"/>
                      <w:lang w:val="en-US" w:eastAsia="zh-CN"/>
                    </w:rPr>
                    <w:t>t/h</w:t>
                  </w:r>
                  <w:r>
                    <w:rPr>
                      <w:rFonts w:hint="eastAsia"/>
                      <w:color w:val="auto"/>
                      <w:sz w:val="18"/>
                      <w:szCs w:val="18"/>
                    </w:rPr>
                    <w:t>）</w:t>
                  </w:r>
                </w:p>
              </w:tc>
              <w:tc>
                <w:tcPr>
                  <w:tcW w:w="627" w:type="pct"/>
                  <w:noWrap w:val="0"/>
                  <w:vAlign w:val="center"/>
                </w:tcPr>
                <w:p>
                  <w:pPr>
                    <w:jc w:val="center"/>
                    <w:rPr>
                      <w:rFonts w:hint="eastAsia"/>
                      <w:color w:val="auto"/>
                      <w:sz w:val="18"/>
                      <w:szCs w:val="18"/>
                    </w:rPr>
                  </w:pPr>
                  <w:r>
                    <w:rPr>
                      <w:rFonts w:hint="eastAsia"/>
                      <w:color w:val="auto"/>
                      <w:sz w:val="18"/>
                      <w:szCs w:val="18"/>
                    </w:rPr>
                    <w:t>工作天数（天）</w:t>
                  </w:r>
                </w:p>
              </w:tc>
              <w:tc>
                <w:tcPr>
                  <w:tcW w:w="612" w:type="pct"/>
                  <w:noWrap w:val="0"/>
                  <w:vAlign w:val="center"/>
                </w:tcPr>
                <w:p>
                  <w:pPr>
                    <w:jc w:val="center"/>
                    <w:rPr>
                      <w:rFonts w:hint="eastAsia"/>
                      <w:color w:val="auto"/>
                      <w:sz w:val="18"/>
                      <w:szCs w:val="18"/>
                    </w:rPr>
                  </w:pPr>
                  <w:r>
                    <w:rPr>
                      <w:rFonts w:hint="eastAsia"/>
                      <w:color w:val="auto"/>
                      <w:sz w:val="18"/>
                      <w:szCs w:val="18"/>
                    </w:rPr>
                    <w:t>工作</w:t>
                  </w:r>
                  <w:r>
                    <w:rPr>
                      <w:rFonts w:hint="eastAsia"/>
                      <w:color w:val="auto"/>
                      <w:sz w:val="18"/>
                      <w:szCs w:val="18"/>
                      <w:lang w:eastAsia="zh-CN"/>
                    </w:rPr>
                    <w:t>时间</w:t>
                  </w:r>
                  <w:r>
                    <w:rPr>
                      <w:rFonts w:hint="eastAsia"/>
                      <w:color w:val="auto"/>
                      <w:sz w:val="18"/>
                      <w:szCs w:val="18"/>
                    </w:rPr>
                    <w:t>（</w:t>
                  </w:r>
                  <w:r>
                    <w:rPr>
                      <w:rFonts w:hint="eastAsia"/>
                      <w:color w:val="auto"/>
                      <w:sz w:val="18"/>
                      <w:szCs w:val="18"/>
                      <w:lang w:val="en-US" w:eastAsia="zh-CN"/>
                    </w:rPr>
                    <w:t>h</w:t>
                  </w:r>
                  <w:r>
                    <w:rPr>
                      <w:rFonts w:hint="eastAsia"/>
                      <w:color w:val="auto"/>
                      <w:sz w:val="18"/>
                      <w:szCs w:val="18"/>
                    </w:rPr>
                    <w:t>）</w:t>
                  </w:r>
                </w:p>
              </w:tc>
              <w:tc>
                <w:tcPr>
                  <w:tcW w:w="649" w:type="pct"/>
                  <w:noWrap w:val="0"/>
                  <w:vAlign w:val="center"/>
                </w:tcPr>
                <w:p>
                  <w:pPr>
                    <w:jc w:val="center"/>
                    <w:rPr>
                      <w:color w:val="auto"/>
                      <w:sz w:val="18"/>
                      <w:szCs w:val="18"/>
                    </w:rPr>
                  </w:pPr>
                  <w:r>
                    <w:rPr>
                      <w:rFonts w:hint="eastAsia"/>
                      <w:color w:val="auto"/>
                      <w:sz w:val="18"/>
                      <w:szCs w:val="18"/>
                    </w:rPr>
                    <w:t>设备产能</w:t>
                  </w:r>
                </w:p>
                <w:p>
                  <w:pPr>
                    <w:jc w:val="center"/>
                    <w:rPr>
                      <w:rFonts w:hint="eastAsia" w:eastAsia="宋体"/>
                      <w:color w:val="auto"/>
                      <w:sz w:val="18"/>
                      <w:szCs w:val="18"/>
                      <w:lang w:eastAsia="zh-CN"/>
                    </w:rPr>
                  </w:pPr>
                  <w:r>
                    <w:rPr>
                      <w:color w:val="auto"/>
                      <w:sz w:val="18"/>
                      <w:szCs w:val="18"/>
                    </w:rPr>
                    <w:t>（</w:t>
                  </w:r>
                  <w:r>
                    <w:rPr>
                      <w:rFonts w:hint="eastAsia"/>
                      <w:color w:val="auto"/>
                      <w:sz w:val="18"/>
                      <w:szCs w:val="18"/>
                    </w:rPr>
                    <w:t>t/a</w:t>
                  </w:r>
                  <w:r>
                    <w:rPr>
                      <w:color w:val="auto"/>
                      <w:sz w:val="18"/>
                      <w:szCs w:val="1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989" w:type="pct"/>
                  <w:noWrap w:val="0"/>
                  <w:vAlign w:val="center"/>
                </w:tcPr>
                <w:p>
                  <w:pPr>
                    <w:adjustRightInd w:val="0"/>
                    <w:snapToGrid w:val="0"/>
                    <w:jc w:val="center"/>
                    <w:rPr>
                      <w:rFonts w:hint="eastAsia"/>
                      <w:bCs/>
                      <w:color w:val="auto"/>
                      <w:sz w:val="18"/>
                      <w:szCs w:val="18"/>
                    </w:rPr>
                  </w:pPr>
                  <w:r>
                    <w:rPr>
                      <w:rFonts w:hint="eastAsia" w:ascii="Times New Roman" w:hAnsi="Times New Roman" w:cs="Times New Roman"/>
                      <w:color w:val="auto"/>
                      <w:sz w:val="18"/>
                      <w:szCs w:val="18"/>
                      <w:lang w:val="en-US" w:eastAsia="zh-CN"/>
                    </w:rPr>
                    <w:t>45-50MN快锻压机</w:t>
                  </w:r>
                </w:p>
              </w:tc>
              <w:tc>
                <w:tcPr>
                  <w:tcW w:w="937" w:type="pct"/>
                  <w:noWrap w:val="0"/>
                  <w:vAlign w:val="center"/>
                </w:tcPr>
                <w:p>
                  <w:pPr>
                    <w:adjustRightInd w:val="0"/>
                    <w:snapToGrid w:val="0"/>
                    <w:jc w:val="center"/>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预应力双柱斜置上压式</w:t>
                  </w:r>
                </w:p>
              </w:tc>
              <w:tc>
                <w:tcPr>
                  <w:tcW w:w="591" w:type="pct"/>
                  <w:noWrap w:val="0"/>
                  <w:vAlign w:val="center"/>
                </w:tcPr>
                <w:p>
                  <w:pPr>
                    <w:adjustRightInd w:val="0"/>
                    <w:snapToGrid w:val="0"/>
                    <w:jc w:val="center"/>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1</w:t>
                  </w:r>
                </w:p>
              </w:tc>
              <w:tc>
                <w:tcPr>
                  <w:tcW w:w="591" w:type="pct"/>
                  <w:noWrap w:val="0"/>
                  <w:vAlign w:val="center"/>
                </w:tcPr>
                <w:p>
                  <w:pPr>
                    <w:adjustRightInd w:val="0"/>
                    <w:snapToGrid w:val="0"/>
                    <w:jc w:val="center"/>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7.3</w:t>
                  </w:r>
                </w:p>
              </w:tc>
              <w:tc>
                <w:tcPr>
                  <w:tcW w:w="627" w:type="pct"/>
                  <w:noWrap w:val="0"/>
                  <w:vAlign w:val="center"/>
                </w:tcPr>
                <w:p>
                  <w:pPr>
                    <w:pStyle w:val="9"/>
                    <w:snapToGrid w:val="0"/>
                    <w:jc w:val="center"/>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300</w:t>
                  </w:r>
                </w:p>
              </w:tc>
              <w:tc>
                <w:tcPr>
                  <w:tcW w:w="612" w:type="pct"/>
                  <w:noWrap w:val="0"/>
                  <w:vAlign w:val="center"/>
                </w:tcPr>
                <w:p>
                  <w:pPr>
                    <w:pStyle w:val="9"/>
                    <w:snapToGrid w:val="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24</w:t>
                  </w:r>
                </w:p>
              </w:tc>
              <w:tc>
                <w:tcPr>
                  <w:tcW w:w="649" w:type="pct"/>
                  <w:noWrap w:val="0"/>
                  <w:vAlign w:val="center"/>
                </w:tcPr>
                <w:p>
                  <w:pPr>
                    <w:snapToGrid w:val="0"/>
                    <w:jc w:val="center"/>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52560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9" w:type="pct"/>
                  <w:shd w:val="clear" w:color="auto" w:fill="auto"/>
                  <w:noWrap w:val="0"/>
                  <w:vAlign w:val="center"/>
                </w:tcPr>
                <w:p>
                  <w:pPr>
                    <w:adjustRightInd w:val="0"/>
                    <w:snapToGrid w:val="0"/>
                    <w:jc w:val="center"/>
                    <w:rPr>
                      <w:rFonts w:hint="eastAsia" w:ascii="Times New Roman" w:hAnsi="Times New Roman" w:eastAsia="宋体" w:cs="Times New Roman"/>
                      <w:color w:val="auto"/>
                      <w:kern w:val="2"/>
                      <w:sz w:val="18"/>
                      <w:szCs w:val="18"/>
                      <w:shd w:val="clear" w:color="auto" w:fill="auto"/>
                      <w:lang w:val="en-US" w:eastAsia="zh-CN" w:bidi="ar-SA"/>
                    </w:rPr>
                  </w:pPr>
                  <w:r>
                    <w:rPr>
                      <w:rFonts w:hint="eastAsia" w:ascii="Times New Roman" w:hAnsi="Times New Roman" w:cs="Times New Roman"/>
                      <w:color w:val="auto"/>
                      <w:sz w:val="18"/>
                      <w:szCs w:val="18"/>
                      <w:lang w:val="en-US" w:eastAsia="zh-CN"/>
                    </w:rPr>
                    <w:t>36MN压机</w:t>
                  </w:r>
                </w:p>
              </w:tc>
              <w:tc>
                <w:tcPr>
                  <w:tcW w:w="937" w:type="pct"/>
                  <w:shd w:val="clear" w:color="auto" w:fill="auto"/>
                  <w:noWrap w:val="0"/>
                  <w:vAlign w:val="center"/>
                </w:tcPr>
                <w:p>
                  <w:pPr>
                    <w:adjustRightInd w:val="0"/>
                    <w:snapToGrid w:val="0"/>
                    <w:jc w:val="center"/>
                    <w:rPr>
                      <w:rFonts w:hint="eastAsia" w:ascii="Times New Roman" w:hAnsi="Times New Roman" w:eastAsia="宋体" w:cs="Times New Roman"/>
                      <w:color w:val="auto"/>
                      <w:kern w:val="2"/>
                      <w:sz w:val="18"/>
                      <w:szCs w:val="18"/>
                      <w:shd w:val="clear" w:color="auto" w:fill="auto"/>
                      <w:lang w:val="en-US" w:eastAsia="zh-CN" w:bidi="ar-SA"/>
                    </w:rPr>
                  </w:pPr>
                  <w:r>
                    <w:rPr>
                      <w:rFonts w:hint="eastAsia" w:ascii="Times New Roman" w:hAnsi="Times New Roman" w:cs="Times New Roman"/>
                      <w:color w:val="auto"/>
                      <w:sz w:val="18"/>
                      <w:szCs w:val="18"/>
                      <w:lang w:val="en-US" w:eastAsia="zh-CN"/>
                    </w:rPr>
                    <w:t>三梁四柱、上传动</w:t>
                  </w:r>
                </w:p>
              </w:tc>
              <w:tc>
                <w:tcPr>
                  <w:tcW w:w="591" w:type="pct"/>
                  <w:shd w:val="clear" w:color="auto" w:fill="auto"/>
                  <w:noWrap w:val="0"/>
                  <w:vAlign w:val="center"/>
                </w:tcPr>
                <w:p>
                  <w:pPr>
                    <w:adjustRightInd w:val="0"/>
                    <w:snapToGrid w:val="0"/>
                    <w:jc w:val="center"/>
                    <w:rPr>
                      <w:rFonts w:hint="default" w:ascii="Times New Roman" w:hAnsi="Times New Roman" w:eastAsia="宋体" w:cs="Times New Roman"/>
                      <w:color w:val="auto"/>
                      <w:kern w:val="2"/>
                      <w:sz w:val="18"/>
                      <w:szCs w:val="18"/>
                      <w:shd w:val="clear" w:color="auto" w:fill="auto"/>
                      <w:lang w:val="en-US" w:eastAsia="zh-CN" w:bidi="ar-SA"/>
                    </w:rPr>
                  </w:pPr>
                  <w:r>
                    <w:rPr>
                      <w:rFonts w:hint="eastAsia" w:eastAsia="宋体" w:cs="Times New Roman"/>
                      <w:color w:val="auto"/>
                      <w:kern w:val="2"/>
                      <w:sz w:val="18"/>
                      <w:szCs w:val="18"/>
                      <w:shd w:val="clear" w:color="auto" w:fill="auto"/>
                      <w:lang w:val="en-US" w:eastAsia="zh-CN" w:bidi="ar-SA"/>
                    </w:rPr>
                    <w:t>1</w:t>
                  </w:r>
                </w:p>
              </w:tc>
              <w:tc>
                <w:tcPr>
                  <w:tcW w:w="591" w:type="pct"/>
                  <w:noWrap w:val="0"/>
                  <w:vAlign w:val="center"/>
                </w:tcPr>
                <w:p>
                  <w:pPr>
                    <w:adjustRightInd w:val="0"/>
                    <w:snapToGrid w:val="0"/>
                    <w:jc w:val="center"/>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2.7</w:t>
                  </w:r>
                </w:p>
              </w:tc>
              <w:tc>
                <w:tcPr>
                  <w:tcW w:w="627" w:type="pct"/>
                  <w:noWrap w:val="0"/>
                  <w:vAlign w:val="center"/>
                </w:tcPr>
                <w:p>
                  <w:pPr>
                    <w:pStyle w:val="9"/>
                    <w:snapToGrid w:val="0"/>
                    <w:jc w:val="center"/>
                    <w:rPr>
                      <w:rFonts w:hint="eastAsia" w:ascii="Times New Roman" w:hAnsi="Times New Roman"/>
                      <w:color w:val="auto"/>
                      <w:sz w:val="18"/>
                      <w:szCs w:val="18"/>
                      <w:shd w:val="clear" w:color="auto" w:fill="auto"/>
                    </w:rPr>
                  </w:pPr>
                  <w:r>
                    <w:rPr>
                      <w:rFonts w:hint="eastAsia" w:ascii="Times New Roman" w:hAnsi="Times New Roman"/>
                      <w:color w:val="auto"/>
                      <w:sz w:val="18"/>
                      <w:szCs w:val="18"/>
                      <w:lang w:val="en-US" w:eastAsia="zh-CN"/>
                    </w:rPr>
                    <w:t>300</w:t>
                  </w:r>
                </w:p>
              </w:tc>
              <w:tc>
                <w:tcPr>
                  <w:tcW w:w="612" w:type="pct"/>
                  <w:noWrap w:val="0"/>
                  <w:vAlign w:val="center"/>
                </w:tcPr>
                <w:p>
                  <w:pPr>
                    <w:pStyle w:val="9"/>
                    <w:snapToGrid w:val="0"/>
                    <w:jc w:val="center"/>
                    <w:rPr>
                      <w:rFonts w:hint="eastAsia" w:ascii="Times New Roman" w:hAnsi="Times New Roman"/>
                      <w:color w:val="auto"/>
                      <w:sz w:val="18"/>
                      <w:szCs w:val="18"/>
                      <w:shd w:val="clear" w:color="auto" w:fill="auto"/>
                    </w:rPr>
                  </w:pPr>
                  <w:r>
                    <w:rPr>
                      <w:rFonts w:hint="eastAsia" w:ascii="Times New Roman" w:hAnsi="Times New Roman" w:eastAsia="宋体"/>
                      <w:color w:val="auto"/>
                      <w:sz w:val="18"/>
                      <w:szCs w:val="18"/>
                      <w:lang w:val="en-US" w:eastAsia="zh-CN"/>
                    </w:rPr>
                    <w:t>24</w:t>
                  </w:r>
                </w:p>
              </w:tc>
              <w:tc>
                <w:tcPr>
                  <w:tcW w:w="649" w:type="pct"/>
                  <w:noWrap w:val="0"/>
                  <w:vAlign w:val="center"/>
                </w:tcPr>
                <w:p>
                  <w:pPr>
                    <w:snapToGrid w:val="0"/>
                    <w:jc w:val="center"/>
                    <w:rPr>
                      <w:rFonts w:hint="default" w:ascii="Times New Roman" w:hAnsi="Times New Roman" w:eastAsia="宋体" w:cs="Times New Roman"/>
                      <w:color w:val="auto"/>
                      <w:sz w:val="18"/>
                      <w:szCs w:val="18"/>
                      <w:shd w:val="clear" w:color="auto" w:fill="auto"/>
                      <w:lang w:val="en-US" w:eastAsia="zh-CN"/>
                    </w:rPr>
                  </w:pPr>
                  <w:r>
                    <w:rPr>
                      <w:rFonts w:hint="eastAsia" w:eastAsia="宋体" w:cs="Times New Roman"/>
                      <w:color w:val="auto"/>
                      <w:sz w:val="18"/>
                      <w:szCs w:val="18"/>
                      <w:shd w:val="clear" w:color="auto" w:fill="auto"/>
                      <w:lang w:val="en-US" w:eastAsia="zh-CN"/>
                    </w:rPr>
                    <w:t>19440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50" w:type="pct"/>
                  <w:gridSpan w:val="6"/>
                  <w:shd w:val="clear" w:color="auto" w:fill="auto"/>
                  <w:noWrap w:val="0"/>
                  <w:vAlign w:val="center"/>
                </w:tcPr>
                <w:p>
                  <w:pPr>
                    <w:snapToGrid w:val="0"/>
                    <w:jc w:val="center"/>
                    <w:rPr>
                      <w:rFonts w:hint="eastAsia" w:ascii="Times New Roman" w:hAnsi="Times New Roman"/>
                      <w:color w:val="auto"/>
                      <w:sz w:val="18"/>
                      <w:szCs w:val="18"/>
                      <w:lang w:val="en-US" w:eastAsia="zh-CN"/>
                    </w:rPr>
                  </w:pPr>
                  <w:r>
                    <w:rPr>
                      <w:rFonts w:hint="eastAsia" w:ascii="Times New Roman" w:hAnsi="Times New Roman"/>
                      <w:color w:val="auto"/>
                      <w:sz w:val="18"/>
                      <w:szCs w:val="18"/>
                      <w:lang w:val="en-US" w:eastAsia="zh-CN"/>
                    </w:rPr>
                    <w:t>合计</w:t>
                  </w:r>
                </w:p>
              </w:tc>
              <w:tc>
                <w:tcPr>
                  <w:tcW w:w="649" w:type="pct"/>
                  <w:noWrap w:val="0"/>
                  <w:vAlign w:val="center"/>
                </w:tcPr>
                <w:p>
                  <w:pPr>
                    <w:snapToGrid w:val="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7</w:t>
                  </w:r>
                  <w:r>
                    <w:rPr>
                      <w:rFonts w:hint="eastAsia" w:cs="Times New Roman"/>
                      <w:color w:val="auto"/>
                      <w:sz w:val="18"/>
                      <w:szCs w:val="18"/>
                      <w:lang w:val="en-US" w:eastAsia="zh-CN"/>
                    </w:rPr>
                    <w:t>5600</w:t>
                  </w:r>
                </w:p>
              </w:tc>
            </w:tr>
          </w:tbl>
          <w:p>
            <w:pPr>
              <w:spacing w:line="500" w:lineRule="exact"/>
              <w:jc w:val="center"/>
              <w:rPr>
                <w:rFonts w:ascii="Times New Roman" w:hAnsi="Times New Roman" w:eastAsia="宋体" w:cs="Times New Roman"/>
                <w:b/>
                <w:bCs/>
                <w:color w:val="auto"/>
              </w:rPr>
            </w:pPr>
            <w:r>
              <w:rPr>
                <w:rFonts w:ascii="Times New Roman" w:hAnsi="Times New Roman" w:eastAsia="宋体" w:cs="Times New Roman"/>
                <w:b/>
                <w:bCs/>
                <w:color w:val="auto"/>
              </w:rPr>
              <w:t>表</w:t>
            </w:r>
            <w:r>
              <w:rPr>
                <w:rFonts w:hint="eastAsia" w:ascii="Times New Roman" w:hAnsi="Times New Roman" w:eastAsia="宋体" w:cs="Times New Roman"/>
                <w:b/>
                <w:bCs/>
                <w:color w:val="auto"/>
              </w:rPr>
              <w:t>2</w:t>
            </w:r>
            <w:r>
              <w:rPr>
                <w:rFonts w:ascii="Times New Roman" w:hAnsi="Times New Roman" w:eastAsia="宋体" w:cs="Times New Roman"/>
                <w:b/>
                <w:bCs/>
                <w:color w:val="auto"/>
              </w:rPr>
              <w:t>-</w:t>
            </w:r>
            <w:r>
              <w:rPr>
                <w:rFonts w:hint="eastAsia" w:cs="Times New Roman"/>
                <w:b/>
                <w:bCs/>
                <w:color w:val="auto"/>
                <w:lang w:val="en-US" w:eastAsia="zh-CN"/>
              </w:rPr>
              <w:t>12</w:t>
            </w:r>
            <w:r>
              <w:rPr>
                <w:rFonts w:ascii="Times New Roman" w:hAnsi="Times New Roman" w:eastAsia="宋体" w:cs="Times New Roman"/>
                <w:b/>
                <w:bCs/>
                <w:color w:val="auto"/>
              </w:rPr>
              <w:t xml:space="preserve">  </w:t>
            </w:r>
            <w:r>
              <w:rPr>
                <w:rFonts w:hint="eastAsia" w:ascii="Times New Roman" w:hAnsi="Times New Roman" w:eastAsia="宋体" w:cs="Times New Roman"/>
                <w:b/>
                <w:bCs/>
                <w:color w:val="auto"/>
                <w:lang w:eastAsia="zh-CN"/>
              </w:rPr>
              <w:t>锻造工序</w:t>
            </w:r>
            <w:r>
              <w:rPr>
                <w:rFonts w:hint="eastAsia" w:cs="Times New Roman"/>
                <w:b/>
                <w:bCs/>
                <w:color w:val="auto"/>
                <w:lang w:eastAsia="zh-CN"/>
              </w:rPr>
              <w:t>压机</w:t>
            </w:r>
            <w:r>
              <w:rPr>
                <w:rFonts w:hint="eastAsia" w:ascii="Times New Roman" w:hAnsi="Times New Roman" w:eastAsia="宋体" w:cs="Times New Roman"/>
                <w:b/>
                <w:bCs/>
                <w:color w:val="auto"/>
                <w:lang w:val="en-US" w:eastAsia="zh-CN"/>
              </w:rPr>
              <w:t>改扩建</w:t>
            </w:r>
            <w:r>
              <w:rPr>
                <w:rFonts w:hint="eastAsia" w:eastAsia="宋体" w:cs="Times New Roman"/>
                <w:b/>
                <w:bCs/>
                <w:color w:val="auto"/>
                <w:lang w:eastAsia="zh-CN"/>
              </w:rPr>
              <w:t>后</w:t>
            </w:r>
            <w:r>
              <w:rPr>
                <w:rFonts w:hint="eastAsia" w:ascii="Times New Roman" w:hAnsi="Times New Roman" w:eastAsia="宋体" w:cs="Times New Roman"/>
                <w:b/>
                <w:bCs/>
                <w:color w:val="auto"/>
                <w:lang w:eastAsia="zh-CN"/>
              </w:rPr>
              <w:t>设计产能</w:t>
            </w:r>
            <w:r>
              <w:rPr>
                <w:rFonts w:hint="eastAsia" w:ascii="Times New Roman" w:hAnsi="Times New Roman" w:eastAsia="宋体" w:cs="Times New Roman"/>
                <w:b/>
                <w:bCs/>
                <w:color w:val="auto"/>
              </w:rPr>
              <w:t>表</w:t>
            </w:r>
          </w:p>
          <w:tbl>
            <w:tblPr>
              <w:tblStyle w:val="21"/>
              <w:tblW w:w="4902"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47"/>
              <w:gridCol w:w="1466"/>
              <w:gridCol w:w="925"/>
              <w:gridCol w:w="925"/>
              <w:gridCol w:w="981"/>
              <w:gridCol w:w="958"/>
              <w:gridCol w:w="10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9" w:type="pct"/>
                  <w:noWrap w:val="0"/>
                  <w:vAlign w:val="center"/>
                </w:tcPr>
                <w:p>
                  <w:pPr>
                    <w:jc w:val="center"/>
                    <w:rPr>
                      <w:color w:val="auto"/>
                      <w:sz w:val="18"/>
                      <w:szCs w:val="18"/>
                    </w:rPr>
                  </w:pPr>
                  <w:r>
                    <w:rPr>
                      <w:rFonts w:hint="eastAsia"/>
                      <w:color w:val="auto"/>
                      <w:sz w:val="18"/>
                      <w:szCs w:val="18"/>
                    </w:rPr>
                    <w:t>设备</w:t>
                  </w:r>
                  <w:r>
                    <w:rPr>
                      <w:color w:val="auto"/>
                      <w:sz w:val="18"/>
                      <w:szCs w:val="18"/>
                    </w:rPr>
                    <w:t>名称</w:t>
                  </w:r>
                </w:p>
              </w:tc>
              <w:tc>
                <w:tcPr>
                  <w:tcW w:w="937" w:type="pct"/>
                  <w:noWrap w:val="0"/>
                  <w:vAlign w:val="center"/>
                </w:tcPr>
                <w:p>
                  <w:pPr>
                    <w:jc w:val="center"/>
                    <w:rPr>
                      <w:color w:val="auto"/>
                      <w:sz w:val="18"/>
                      <w:szCs w:val="18"/>
                    </w:rPr>
                  </w:pPr>
                  <w:r>
                    <w:rPr>
                      <w:color w:val="auto"/>
                      <w:sz w:val="18"/>
                      <w:szCs w:val="18"/>
                    </w:rPr>
                    <w:t>型号</w:t>
                  </w:r>
                </w:p>
              </w:tc>
              <w:tc>
                <w:tcPr>
                  <w:tcW w:w="591" w:type="pct"/>
                  <w:noWrap w:val="0"/>
                  <w:vAlign w:val="center"/>
                </w:tcPr>
                <w:p>
                  <w:pPr>
                    <w:jc w:val="center"/>
                    <w:rPr>
                      <w:color w:val="auto"/>
                      <w:sz w:val="18"/>
                      <w:szCs w:val="18"/>
                    </w:rPr>
                  </w:pPr>
                  <w:r>
                    <w:rPr>
                      <w:color w:val="auto"/>
                      <w:sz w:val="18"/>
                      <w:szCs w:val="18"/>
                    </w:rPr>
                    <w:t>数量</w:t>
                  </w:r>
                  <w:r>
                    <w:rPr>
                      <w:rFonts w:hint="eastAsia"/>
                      <w:color w:val="auto"/>
                      <w:sz w:val="18"/>
                      <w:szCs w:val="18"/>
                    </w:rPr>
                    <w:t>（台/套）</w:t>
                  </w:r>
                </w:p>
              </w:tc>
              <w:tc>
                <w:tcPr>
                  <w:tcW w:w="591" w:type="pct"/>
                  <w:noWrap w:val="0"/>
                  <w:vAlign w:val="center"/>
                </w:tcPr>
                <w:p>
                  <w:pPr>
                    <w:jc w:val="center"/>
                    <w:rPr>
                      <w:rFonts w:hint="eastAsia"/>
                      <w:color w:val="auto"/>
                      <w:sz w:val="18"/>
                      <w:szCs w:val="18"/>
                    </w:rPr>
                  </w:pPr>
                  <w:r>
                    <w:rPr>
                      <w:rFonts w:hint="eastAsia"/>
                      <w:color w:val="auto"/>
                      <w:sz w:val="18"/>
                      <w:szCs w:val="18"/>
                      <w:lang w:eastAsia="zh-CN"/>
                    </w:rPr>
                    <w:t>锻压</w:t>
                  </w:r>
                  <w:r>
                    <w:rPr>
                      <w:rFonts w:hint="eastAsia"/>
                      <w:color w:val="auto"/>
                      <w:sz w:val="18"/>
                      <w:szCs w:val="18"/>
                    </w:rPr>
                    <w:t>能力（</w:t>
                  </w:r>
                  <w:r>
                    <w:rPr>
                      <w:rFonts w:hint="eastAsia"/>
                      <w:color w:val="auto"/>
                      <w:sz w:val="18"/>
                      <w:szCs w:val="18"/>
                      <w:lang w:val="en-US" w:eastAsia="zh-CN"/>
                    </w:rPr>
                    <w:t>t/h</w:t>
                  </w:r>
                  <w:r>
                    <w:rPr>
                      <w:rFonts w:hint="eastAsia"/>
                      <w:color w:val="auto"/>
                      <w:sz w:val="18"/>
                      <w:szCs w:val="18"/>
                    </w:rPr>
                    <w:t>）</w:t>
                  </w:r>
                </w:p>
              </w:tc>
              <w:tc>
                <w:tcPr>
                  <w:tcW w:w="627" w:type="pct"/>
                  <w:noWrap w:val="0"/>
                  <w:vAlign w:val="center"/>
                </w:tcPr>
                <w:p>
                  <w:pPr>
                    <w:jc w:val="center"/>
                    <w:rPr>
                      <w:rFonts w:hint="eastAsia"/>
                      <w:color w:val="auto"/>
                      <w:sz w:val="18"/>
                      <w:szCs w:val="18"/>
                    </w:rPr>
                  </w:pPr>
                  <w:r>
                    <w:rPr>
                      <w:rFonts w:hint="eastAsia"/>
                      <w:color w:val="auto"/>
                      <w:sz w:val="18"/>
                      <w:szCs w:val="18"/>
                    </w:rPr>
                    <w:t>工作天数（天）</w:t>
                  </w:r>
                </w:p>
              </w:tc>
              <w:tc>
                <w:tcPr>
                  <w:tcW w:w="612" w:type="pct"/>
                  <w:noWrap w:val="0"/>
                  <w:vAlign w:val="center"/>
                </w:tcPr>
                <w:p>
                  <w:pPr>
                    <w:jc w:val="center"/>
                    <w:rPr>
                      <w:rFonts w:hint="eastAsia"/>
                      <w:color w:val="auto"/>
                      <w:sz w:val="18"/>
                      <w:szCs w:val="18"/>
                    </w:rPr>
                  </w:pPr>
                  <w:r>
                    <w:rPr>
                      <w:rFonts w:hint="eastAsia"/>
                      <w:color w:val="auto"/>
                      <w:sz w:val="18"/>
                      <w:szCs w:val="18"/>
                    </w:rPr>
                    <w:t>工作</w:t>
                  </w:r>
                  <w:r>
                    <w:rPr>
                      <w:rFonts w:hint="eastAsia"/>
                      <w:color w:val="auto"/>
                      <w:sz w:val="18"/>
                      <w:szCs w:val="18"/>
                      <w:lang w:eastAsia="zh-CN"/>
                    </w:rPr>
                    <w:t>时间</w:t>
                  </w:r>
                  <w:r>
                    <w:rPr>
                      <w:rFonts w:hint="eastAsia"/>
                      <w:color w:val="auto"/>
                      <w:sz w:val="18"/>
                      <w:szCs w:val="18"/>
                    </w:rPr>
                    <w:t>（</w:t>
                  </w:r>
                  <w:r>
                    <w:rPr>
                      <w:rFonts w:hint="eastAsia"/>
                      <w:color w:val="auto"/>
                      <w:sz w:val="18"/>
                      <w:szCs w:val="18"/>
                      <w:lang w:val="en-US" w:eastAsia="zh-CN"/>
                    </w:rPr>
                    <w:t>h</w:t>
                  </w:r>
                  <w:r>
                    <w:rPr>
                      <w:rFonts w:hint="eastAsia"/>
                      <w:color w:val="auto"/>
                      <w:sz w:val="18"/>
                      <w:szCs w:val="18"/>
                    </w:rPr>
                    <w:t>）</w:t>
                  </w:r>
                </w:p>
              </w:tc>
              <w:tc>
                <w:tcPr>
                  <w:tcW w:w="649" w:type="pct"/>
                  <w:noWrap w:val="0"/>
                  <w:vAlign w:val="center"/>
                </w:tcPr>
                <w:p>
                  <w:pPr>
                    <w:jc w:val="center"/>
                    <w:rPr>
                      <w:color w:val="auto"/>
                      <w:sz w:val="18"/>
                      <w:szCs w:val="18"/>
                    </w:rPr>
                  </w:pPr>
                  <w:r>
                    <w:rPr>
                      <w:rFonts w:hint="eastAsia"/>
                      <w:color w:val="auto"/>
                      <w:sz w:val="18"/>
                      <w:szCs w:val="18"/>
                    </w:rPr>
                    <w:t>设备产能</w:t>
                  </w:r>
                </w:p>
                <w:p>
                  <w:pPr>
                    <w:jc w:val="center"/>
                    <w:rPr>
                      <w:rFonts w:hint="eastAsia" w:eastAsia="宋体"/>
                      <w:color w:val="auto"/>
                      <w:sz w:val="18"/>
                      <w:szCs w:val="18"/>
                      <w:lang w:eastAsia="zh-CN"/>
                    </w:rPr>
                  </w:pPr>
                  <w:r>
                    <w:rPr>
                      <w:color w:val="auto"/>
                      <w:sz w:val="18"/>
                      <w:szCs w:val="18"/>
                    </w:rPr>
                    <w:t>（</w:t>
                  </w:r>
                  <w:r>
                    <w:rPr>
                      <w:rFonts w:hint="eastAsia"/>
                      <w:color w:val="auto"/>
                      <w:sz w:val="18"/>
                      <w:szCs w:val="18"/>
                    </w:rPr>
                    <w:t>t/a</w:t>
                  </w:r>
                  <w:r>
                    <w:rPr>
                      <w:color w:val="auto"/>
                      <w:sz w:val="18"/>
                      <w:szCs w:val="1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989" w:type="pct"/>
                  <w:noWrap w:val="0"/>
                  <w:vAlign w:val="center"/>
                </w:tcPr>
                <w:p>
                  <w:pPr>
                    <w:adjustRightInd w:val="0"/>
                    <w:snapToGrid w:val="0"/>
                    <w:jc w:val="center"/>
                    <w:rPr>
                      <w:rFonts w:hint="eastAsia"/>
                      <w:bCs/>
                      <w:color w:val="auto"/>
                      <w:sz w:val="18"/>
                      <w:szCs w:val="18"/>
                    </w:rPr>
                  </w:pPr>
                  <w:r>
                    <w:rPr>
                      <w:rFonts w:hint="eastAsia" w:ascii="Times New Roman" w:hAnsi="Times New Roman" w:cs="Times New Roman"/>
                      <w:color w:val="auto"/>
                      <w:sz w:val="18"/>
                      <w:szCs w:val="18"/>
                      <w:lang w:val="en-US" w:eastAsia="zh-CN"/>
                    </w:rPr>
                    <w:t>45-50MN快锻压机</w:t>
                  </w:r>
                </w:p>
              </w:tc>
              <w:tc>
                <w:tcPr>
                  <w:tcW w:w="937" w:type="pct"/>
                  <w:noWrap w:val="0"/>
                  <w:vAlign w:val="center"/>
                </w:tcPr>
                <w:p>
                  <w:pPr>
                    <w:adjustRightInd w:val="0"/>
                    <w:snapToGrid w:val="0"/>
                    <w:jc w:val="center"/>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预应力双柱斜置上压式</w:t>
                  </w:r>
                </w:p>
              </w:tc>
              <w:tc>
                <w:tcPr>
                  <w:tcW w:w="591" w:type="pct"/>
                  <w:noWrap w:val="0"/>
                  <w:vAlign w:val="center"/>
                </w:tcPr>
                <w:p>
                  <w:pPr>
                    <w:adjustRightInd w:val="0"/>
                    <w:snapToGrid w:val="0"/>
                    <w:jc w:val="center"/>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1</w:t>
                  </w:r>
                </w:p>
              </w:tc>
              <w:tc>
                <w:tcPr>
                  <w:tcW w:w="92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7.5</w:t>
                  </w:r>
                </w:p>
              </w:tc>
              <w:tc>
                <w:tcPr>
                  <w:tcW w:w="981" w:type="dxa"/>
                  <w:noWrap w:val="0"/>
                  <w:vAlign w:val="center"/>
                </w:tcPr>
                <w:p>
                  <w:pPr>
                    <w:keepNext w:val="0"/>
                    <w:keepLines w:val="0"/>
                    <w:widowControl/>
                    <w:suppressLineNumbers w:val="0"/>
                    <w:jc w:val="center"/>
                    <w:textAlignment w:val="center"/>
                    <w:rPr>
                      <w:rFonts w:hint="default" w:ascii="Times New Roman" w:hAnsi="Times New Roman" w:eastAsia="宋体"/>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300</w:t>
                  </w:r>
                </w:p>
              </w:tc>
              <w:tc>
                <w:tcPr>
                  <w:tcW w:w="958" w:type="dxa"/>
                  <w:noWrap w:val="0"/>
                  <w:vAlign w:val="center"/>
                </w:tcPr>
                <w:p>
                  <w:pPr>
                    <w:keepNext w:val="0"/>
                    <w:keepLines w:val="0"/>
                    <w:widowControl/>
                    <w:suppressLineNumbers w:val="0"/>
                    <w:jc w:val="center"/>
                    <w:textAlignment w:val="center"/>
                    <w:rPr>
                      <w:rFonts w:hint="default" w:ascii="Times New Roman" w:hAnsi="Times New Roman" w:eastAsia="宋体"/>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24</w:t>
                  </w:r>
                </w:p>
              </w:tc>
              <w:tc>
                <w:tcPr>
                  <w:tcW w:w="101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54000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9" w:type="pct"/>
                  <w:shd w:val="clear" w:color="auto" w:fill="auto"/>
                  <w:noWrap w:val="0"/>
                  <w:vAlign w:val="center"/>
                </w:tcPr>
                <w:p>
                  <w:pPr>
                    <w:adjustRightInd w:val="0"/>
                    <w:snapToGrid w:val="0"/>
                    <w:jc w:val="center"/>
                    <w:rPr>
                      <w:rFonts w:hint="eastAsia" w:ascii="Times New Roman" w:hAnsi="Times New Roman" w:eastAsia="宋体" w:cs="Times New Roman"/>
                      <w:color w:val="auto"/>
                      <w:kern w:val="2"/>
                      <w:sz w:val="18"/>
                      <w:szCs w:val="18"/>
                      <w:shd w:val="clear" w:color="auto" w:fill="auto"/>
                      <w:lang w:val="en-US" w:eastAsia="zh-CN" w:bidi="ar-SA"/>
                    </w:rPr>
                  </w:pPr>
                  <w:r>
                    <w:rPr>
                      <w:rFonts w:hint="eastAsia" w:ascii="Times New Roman" w:hAnsi="Times New Roman" w:cs="Times New Roman"/>
                      <w:color w:val="auto"/>
                      <w:sz w:val="18"/>
                      <w:szCs w:val="18"/>
                      <w:lang w:val="en-US" w:eastAsia="zh-CN"/>
                    </w:rPr>
                    <w:t>36MN压机</w:t>
                  </w:r>
                </w:p>
              </w:tc>
              <w:tc>
                <w:tcPr>
                  <w:tcW w:w="937" w:type="pct"/>
                  <w:shd w:val="clear" w:color="auto" w:fill="auto"/>
                  <w:noWrap w:val="0"/>
                  <w:vAlign w:val="center"/>
                </w:tcPr>
                <w:p>
                  <w:pPr>
                    <w:adjustRightInd w:val="0"/>
                    <w:snapToGrid w:val="0"/>
                    <w:jc w:val="center"/>
                    <w:rPr>
                      <w:rFonts w:hint="eastAsia" w:ascii="Times New Roman" w:hAnsi="Times New Roman" w:eastAsia="宋体" w:cs="Times New Roman"/>
                      <w:color w:val="auto"/>
                      <w:kern w:val="2"/>
                      <w:sz w:val="18"/>
                      <w:szCs w:val="18"/>
                      <w:shd w:val="clear" w:color="auto" w:fill="auto"/>
                      <w:lang w:val="en-US" w:eastAsia="zh-CN" w:bidi="ar-SA"/>
                    </w:rPr>
                  </w:pPr>
                  <w:r>
                    <w:rPr>
                      <w:rFonts w:hint="eastAsia" w:ascii="Times New Roman" w:hAnsi="Times New Roman" w:cs="Times New Roman"/>
                      <w:color w:val="auto"/>
                      <w:sz w:val="18"/>
                      <w:szCs w:val="18"/>
                      <w:lang w:val="en-US" w:eastAsia="zh-CN"/>
                    </w:rPr>
                    <w:t>三梁四柱、上传动</w:t>
                  </w:r>
                </w:p>
              </w:tc>
              <w:tc>
                <w:tcPr>
                  <w:tcW w:w="591" w:type="pct"/>
                  <w:shd w:val="clear" w:color="auto" w:fill="auto"/>
                  <w:noWrap w:val="0"/>
                  <w:vAlign w:val="center"/>
                </w:tcPr>
                <w:p>
                  <w:pPr>
                    <w:adjustRightInd w:val="0"/>
                    <w:snapToGrid w:val="0"/>
                    <w:jc w:val="center"/>
                    <w:rPr>
                      <w:rFonts w:hint="default" w:ascii="Times New Roman" w:hAnsi="Times New Roman" w:eastAsia="宋体" w:cs="Times New Roman"/>
                      <w:color w:val="auto"/>
                      <w:kern w:val="2"/>
                      <w:sz w:val="18"/>
                      <w:szCs w:val="18"/>
                      <w:shd w:val="clear" w:color="auto" w:fill="auto"/>
                      <w:lang w:val="en-US" w:eastAsia="zh-CN" w:bidi="ar-SA"/>
                    </w:rPr>
                  </w:pPr>
                  <w:r>
                    <w:rPr>
                      <w:rFonts w:hint="eastAsia" w:eastAsia="宋体" w:cs="Times New Roman"/>
                      <w:color w:val="auto"/>
                      <w:kern w:val="2"/>
                      <w:sz w:val="18"/>
                      <w:szCs w:val="18"/>
                      <w:shd w:val="clear" w:color="auto" w:fill="auto"/>
                      <w:lang w:val="en-US" w:eastAsia="zh-CN" w:bidi="ar-SA"/>
                    </w:rPr>
                    <w:t>1</w:t>
                  </w:r>
                </w:p>
              </w:tc>
              <w:tc>
                <w:tcPr>
                  <w:tcW w:w="92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3</w:t>
                  </w:r>
                </w:p>
              </w:tc>
              <w:tc>
                <w:tcPr>
                  <w:tcW w:w="981" w:type="dxa"/>
                  <w:noWrap w:val="0"/>
                  <w:vAlign w:val="center"/>
                </w:tcPr>
                <w:p>
                  <w:pPr>
                    <w:keepNext w:val="0"/>
                    <w:keepLines w:val="0"/>
                    <w:widowControl/>
                    <w:suppressLineNumbers w:val="0"/>
                    <w:jc w:val="center"/>
                    <w:textAlignment w:val="center"/>
                    <w:rPr>
                      <w:rFonts w:hint="eastAsia" w:ascii="Times New Roman" w:hAnsi="Times New Roman"/>
                      <w:color w:val="auto"/>
                      <w:sz w:val="18"/>
                      <w:szCs w:val="18"/>
                      <w:shd w:val="clear" w:color="auto" w:fill="auto"/>
                    </w:rPr>
                  </w:pPr>
                  <w:r>
                    <w:rPr>
                      <w:rFonts w:hint="default" w:ascii="Times New Roman" w:hAnsi="Times New Roman" w:eastAsia="宋体" w:cs="Times New Roman"/>
                      <w:i w:val="0"/>
                      <w:iCs w:val="0"/>
                      <w:color w:val="auto"/>
                      <w:kern w:val="0"/>
                      <w:sz w:val="18"/>
                      <w:szCs w:val="18"/>
                      <w:u w:val="none"/>
                      <w:lang w:val="en-US" w:eastAsia="zh-CN" w:bidi="ar"/>
                    </w:rPr>
                    <w:t>300</w:t>
                  </w:r>
                </w:p>
              </w:tc>
              <w:tc>
                <w:tcPr>
                  <w:tcW w:w="958" w:type="dxa"/>
                  <w:noWrap w:val="0"/>
                  <w:vAlign w:val="center"/>
                </w:tcPr>
                <w:p>
                  <w:pPr>
                    <w:keepNext w:val="0"/>
                    <w:keepLines w:val="0"/>
                    <w:widowControl/>
                    <w:suppressLineNumbers w:val="0"/>
                    <w:jc w:val="center"/>
                    <w:textAlignment w:val="center"/>
                    <w:rPr>
                      <w:rFonts w:hint="eastAsia" w:ascii="Times New Roman" w:hAnsi="Times New Roman"/>
                      <w:color w:val="auto"/>
                      <w:sz w:val="18"/>
                      <w:szCs w:val="18"/>
                      <w:shd w:val="clear" w:color="auto" w:fill="auto"/>
                    </w:rPr>
                  </w:pPr>
                  <w:r>
                    <w:rPr>
                      <w:rFonts w:hint="default" w:ascii="Times New Roman" w:hAnsi="Times New Roman" w:eastAsia="宋体" w:cs="Times New Roman"/>
                      <w:i w:val="0"/>
                      <w:iCs w:val="0"/>
                      <w:color w:val="auto"/>
                      <w:kern w:val="0"/>
                      <w:sz w:val="18"/>
                      <w:szCs w:val="18"/>
                      <w:u w:val="none"/>
                      <w:lang w:val="en-US" w:eastAsia="zh-CN" w:bidi="ar"/>
                    </w:rPr>
                    <w:t>24</w:t>
                  </w:r>
                </w:p>
              </w:tc>
              <w:tc>
                <w:tcPr>
                  <w:tcW w:w="101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shd w:val="clear" w:color="auto" w:fill="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21600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9" w:type="pct"/>
                  <w:shd w:val="clear" w:color="auto" w:fill="auto"/>
                  <w:noWrap w:val="0"/>
                  <w:vAlign w:val="center"/>
                </w:tcPr>
                <w:p>
                  <w:pPr>
                    <w:adjustRightInd w:val="0"/>
                    <w:snapToGrid w:val="0"/>
                    <w:jc w:val="center"/>
                    <w:rPr>
                      <w:rFonts w:hint="eastAsia" w:ascii="Times New Roman" w:hAnsi="Times New Roman" w:cs="Times New Roman"/>
                      <w:color w:val="auto"/>
                      <w:sz w:val="18"/>
                      <w:szCs w:val="18"/>
                      <w:lang w:val="en-US" w:eastAsia="zh-CN"/>
                    </w:rPr>
                  </w:pPr>
                  <w:r>
                    <w:rPr>
                      <w:rFonts w:hint="eastAsia" w:cs="Times New Roman"/>
                      <w:color w:val="auto"/>
                      <w:sz w:val="18"/>
                      <w:szCs w:val="18"/>
                      <w:lang w:val="en-US" w:eastAsia="zh-CN"/>
                    </w:rPr>
                    <w:t>4500T</w:t>
                  </w:r>
                  <w:r>
                    <w:rPr>
                      <w:rFonts w:hint="eastAsia" w:ascii="Times New Roman" w:hAnsi="Times New Roman" w:eastAsia="宋体" w:cs="Times New Roman"/>
                      <w:color w:val="auto"/>
                      <w:sz w:val="18"/>
                      <w:szCs w:val="18"/>
                      <w:lang w:val="en-US" w:eastAsia="zh-CN"/>
                    </w:rPr>
                    <w:t>压机</w:t>
                  </w:r>
                </w:p>
              </w:tc>
              <w:tc>
                <w:tcPr>
                  <w:tcW w:w="1466" w:type="dxa"/>
                  <w:shd w:val="clear" w:color="auto" w:fill="auto"/>
                  <w:noWrap w:val="0"/>
                  <w:vAlign w:val="center"/>
                </w:tcPr>
                <w:p>
                  <w:pPr>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YPD96-450</w:t>
                  </w:r>
                  <w:r>
                    <w:rPr>
                      <w:rFonts w:hint="eastAsia" w:cs="Times New Roman"/>
                      <w:color w:val="auto"/>
                      <w:sz w:val="18"/>
                      <w:szCs w:val="18"/>
                      <w:lang w:val="en-US" w:eastAsia="zh-CN"/>
                    </w:rPr>
                    <w:t>0</w:t>
                  </w:r>
                </w:p>
              </w:tc>
              <w:tc>
                <w:tcPr>
                  <w:tcW w:w="591" w:type="pct"/>
                  <w:shd w:val="clear" w:color="auto" w:fill="auto"/>
                  <w:noWrap w:val="0"/>
                  <w:vAlign w:val="center"/>
                </w:tcPr>
                <w:p>
                  <w:pPr>
                    <w:adjustRightInd w:val="0"/>
                    <w:snapToGrid w:val="0"/>
                    <w:jc w:val="center"/>
                    <w:rPr>
                      <w:rFonts w:hint="eastAsia" w:eastAsia="宋体" w:cs="Times New Roman"/>
                      <w:color w:val="auto"/>
                      <w:kern w:val="2"/>
                      <w:sz w:val="18"/>
                      <w:szCs w:val="18"/>
                      <w:shd w:val="clear" w:color="auto" w:fill="auto"/>
                      <w:lang w:val="en-US" w:eastAsia="zh-CN" w:bidi="ar-SA"/>
                    </w:rPr>
                  </w:pPr>
                  <w:r>
                    <w:rPr>
                      <w:rFonts w:hint="eastAsia" w:eastAsia="宋体" w:cs="Times New Roman"/>
                      <w:color w:val="auto"/>
                      <w:kern w:val="2"/>
                      <w:sz w:val="18"/>
                      <w:szCs w:val="18"/>
                      <w:shd w:val="clear" w:color="auto" w:fill="auto"/>
                      <w:lang w:val="en-US" w:eastAsia="zh-CN" w:bidi="ar-SA"/>
                    </w:rPr>
                    <w:t>1</w:t>
                  </w:r>
                </w:p>
              </w:tc>
              <w:tc>
                <w:tcPr>
                  <w:tcW w:w="925" w:type="dxa"/>
                  <w:noWrap w:val="0"/>
                  <w:vAlign w:val="center"/>
                </w:tcPr>
                <w:p>
                  <w:pPr>
                    <w:keepNext w:val="0"/>
                    <w:keepLines w:val="0"/>
                    <w:widowControl/>
                    <w:suppressLineNumbers w:val="0"/>
                    <w:jc w:val="center"/>
                    <w:textAlignment w:val="center"/>
                    <w:rPr>
                      <w:rFonts w:hint="default"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5.5</w:t>
                  </w:r>
                </w:p>
              </w:tc>
              <w:tc>
                <w:tcPr>
                  <w:tcW w:w="981" w:type="dxa"/>
                  <w:noWrap w:val="0"/>
                  <w:vAlign w:val="center"/>
                </w:tcPr>
                <w:p>
                  <w:pPr>
                    <w:keepNext w:val="0"/>
                    <w:keepLines w:val="0"/>
                    <w:widowControl/>
                    <w:suppressLineNumbers w:val="0"/>
                    <w:jc w:val="center"/>
                    <w:textAlignment w:val="center"/>
                    <w:rPr>
                      <w:rFonts w:hint="eastAsia" w:ascii="Times New Roman" w:hAnsi="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300</w:t>
                  </w:r>
                </w:p>
              </w:tc>
              <w:tc>
                <w:tcPr>
                  <w:tcW w:w="958" w:type="dxa"/>
                  <w:noWrap w:val="0"/>
                  <w:vAlign w:val="center"/>
                </w:tcPr>
                <w:p>
                  <w:pPr>
                    <w:keepNext w:val="0"/>
                    <w:keepLines w:val="0"/>
                    <w:widowControl/>
                    <w:suppressLineNumbers w:val="0"/>
                    <w:jc w:val="center"/>
                    <w:textAlignment w:val="center"/>
                    <w:rPr>
                      <w:rFonts w:hint="eastAsia" w:ascii="Times New Roman" w:hAnsi="Times New Roman" w:eastAsia="宋体"/>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24</w:t>
                  </w:r>
                </w:p>
              </w:tc>
              <w:tc>
                <w:tcPr>
                  <w:tcW w:w="1015" w:type="dxa"/>
                  <w:noWrap w:val="0"/>
                  <w:vAlign w:val="center"/>
                </w:tcPr>
                <w:p>
                  <w:pPr>
                    <w:keepNext w:val="0"/>
                    <w:keepLines w:val="0"/>
                    <w:widowControl/>
                    <w:suppressLineNumbers w:val="0"/>
                    <w:jc w:val="center"/>
                    <w:textAlignment w:val="center"/>
                    <w:rPr>
                      <w:rFonts w:hint="default" w:ascii="Times New Roman" w:hAnsi="Times New Roman" w:eastAsia="宋体"/>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39600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9" w:type="pct"/>
                  <w:shd w:val="clear" w:color="auto" w:fill="auto"/>
                  <w:noWrap w:val="0"/>
                  <w:vAlign w:val="center"/>
                </w:tcPr>
                <w:p>
                  <w:pPr>
                    <w:adjustRightInd w:val="0"/>
                    <w:snapToGrid w:val="0"/>
                    <w:jc w:val="center"/>
                    <w:rPr>
                      <w:rFonts w:hint="eastAsia" w:ascii="Times New Roman" w:hAnsi="Times New Roman" w:cs="Times New Roman"/>
                      <w:color w:val="auto"/>
                      <w:sz w:val="18"/>
                      <w:szCs w:val="18"/>
                      <w:lang w:val="en-US" w:eastAsia="zh-CN"/>
                    </w:rPr>
                  </w:pPr>
                  <w:r>
                    <w:rPr>
                      <w:rFonts w:hint="eastAsia" w:cs="Times New Roman"/>
                      <w:color w:val="auto"/>
                      <w:sz w:val="18"/>
                      <w:szCs w:val="18"/>
                      <w:lang w:val="en-US" w:eastAsia="zh-CN"/>
                    </w:rPr>
                    <w:t>8000T</w:t>
                  </w:r>
                  <w:r>
                    <w:rPr>
                      <w:rFonts w:hint="eastAsia" w:ascii="Times New Roman" w:hAnsi="Times New Roman" w:eastAsia="宋体" w:cs="Times New Roman"/>
                      <w:color w:val="auto"/>
                      <w:sz w:val="18"/>
                      <w:szCs w:val="18"/>
                      <w:lang w:val="en-US" w:eastAsia="zh-CN"/>
                    </w:rPr>
                    <w:t>压机</w:t>
                  </w:r>
                </w:p>
              </w:tc>
              <w:tc>
                <w:tcPr>
                  <w:tcW w:w="1466" w:type="dxa"/>
                  <w:shd w:val="clear" w:color="auto" w:fill="auto"/>
                  <w:noWrap w:val="0"/>
                  <w:vAlign w:val="center"/>
                </w:tcPr>
                <w:p>
                  <w:pPr>
                    <w:jc w:val="center"/>
                    <w:rPr>
                      <w:rFonts w:hint="default" w:ascii="Times New Roman" w:hAnsi="Times New Roman"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75/80MN</w:t>
                  </w:r>
                </w:p>
              </w:tc>
              <w:tc>
                <w:tcPr>
                  <w:tcW w:w="591" w:type="pct"/>
                  <w:shd w:val="clear" w:color="auto" w:fill="auto"/>
                  <w:noWrap w:val="0"/>
                  <w:vAlign w:val="center"/>
                </w:tcPr>
                <w:p>
                  <w:pPr>
                    <w:adjustRightInd w:val="0"/>
                    <w:snapToGrid w:val="0"/>
                    <w:jc w:val="center"/>
                    <w:rPr>
                      <w:rFonts w:hint="eastAsia" w:eastAsia="宋体" w:cs="Times New Roman"/>
                      <w:color w:val="auto"/>
                      <w:kern w:val="2"/>
                      <w:sz w:val="18"/>
                      <w:szCs w:val="18"/>
                      <w:shd w:val="clear" w:color="auto" w:fill="auto"/>
                      <w:lang w:val="en-US" w:eastAsia="zh-CN" w:bidi="ar-SA"/>
                    </w:rPr>
                  </w:pPr>
                  <w:r>
                    <w:rPr>
                      <w:rFonts w:hint="eastAsia" w:eastAsia="宋体" w:cs="Times New Roman"/>
                      <w:color w:val="auto"/>
                      <w:kern w:val="2"/>
                      <w:sz w:val="18"/>
                      <w:szCs w:val="18"/>
                      <w:shd w:val="clear" w:color="auto" w:fill="auto"/>
                      <w:lang w:val="en-US" w:eastAsia="zh-CN" w:bidi="ar-SA"/>
                    </w:rPr>
                    <w:t>1</w:t>
                  </w:r>
                </w:p>
              </w:tc>
              <w:tc>
                <w:tcPr>
                  <w:tcW w:w="925" w:type="dxa"/>
                  <w:noWrap w:val="0"/>
                  <w:vAlign w:val="center"/>
                </w:tcPr>
                <w:p>
                  <w:pPr>
                    <w:keepNext w:val="0"/>
                    <w:keepLines w:val="0"/>
                    <w:widowControl/>
                    <w:suppressLineNumbers w:val="0"/>
                    <w:jc w:val="center"/>
                    <w:textAlignment w:val="center"/>
                    <w:rPr>
                      <w:rFonts w:hint="default"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10</w:t>
                  </w:r>
                </w:p>
              </w:tc>
              <w:tc>
                <w:tcPr>
                  <w:tcW w:w="981" w:type="dxa"/>
                  <w:noWrap w:val="0"/>
                  <w:vAlign w:val="center"/>
                </w:tcPr>
                <w:p>
                  <w:pPr>
                    <w:keepNext w:val="0"/>
                    <w:keepLines w:val="0"/>
                    <w:widowControl/>
                    <w:suppressLineNumbers w:val="0"/>
                    <w:jc w:val="center"/>
                    <w:textAlignment w:val="center"/>
                    <w:rPr>
                      <w:rFonts w:hint="eastAsia" w:ascii="Times New Roman" w:hAnsi="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300</w:t>
                  </w:r>
                </w:p>
              </w:tc>
              <w:tc>
                <w:tcPr>
                  <w:tcW w:w="958" w:type="dxa"/>
                  <w:noWrap w:val="0"/>
                  <w:vAlign w:val="center"/>
                </w:tcPr>
                <w:p>
                  <w:pPr>
                    <w:keepNext w:val="0"/>
                    <w:keepLines w:val="0"/>
                    <w:widowControl/>
                    <w:suppressLineNumbers w:val="0"/>
                    <w:jc w:val="center"/>
                    <w:textAlignment w:val="center"/>
                    <w:rPr>
                      <w:rFonts w:hint="eastAsia" w:ascii="Times New Roman" w:hAnsi="Times New Roman" w:eastAsia="宋体"/>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24</w:t>
                  </w:r>
                </w:p>
              </w:tc>
              <w:tc>
                <w:tcPr>
                  <w:tcW w:w="1015" w:type="dxa"/>
                  <w:noWrap w:val="0"/>
                  <w:vAlign w:val="center"/>
                </w:tcPr>
                <w:p>
                  <w:pPr>
                    <w:keepNext w:val="0"/>
                    <w:keepLines w:val="0"/>
                    <w:widowControl/>
                    <w:suppressLineNumbers w:val="0"/>
                    <w:jc w:val="center"/>
                    <w:textAlignment w:val="center"/>
                    <w:rPr>
                      <w:rFonts w:hint="default" w:eastAsia="宋体" w:cs="Times New Roman"/>
                      <w:color w:val="auto"/>
                      <w:sz w:val="18"/>
                      <w:szCs w:val="18"/>
                      <w:shd w:val="clear" w:color="auto" w:fill="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72000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50" w:type="pct"/>
                  <w:gridSpan w:val="6"/>
                  <w:shd w:val="clear" w:color="auto" w:fill="auto"/>
                  <w:noWrap w:val="0"/>
                  <w:vAlign w:val="center"/>
                </w:tcPr>
                <w:p>
                  <w:pPr>
                    <w:snapToGrid w:val="0"/>
                    <w:jc w:val="center"/>
                    <w:rPr>
                      <w:rFonts w:hint="eastAsia" w:ascii="Times New Roman" w:hAnsi="Times New Roman"/>
                      <w:color w:val="auto"/>
                      <w:sz w:val="18"/>
                      <w:szCs w:val="18"/>
                      <w:lang w:val="en-US" w:eastAsia="zh-CN"/>
                    </w:rPr>
                  </w:pPr>
                  <w:r>
                    <w:rPr>
                      <w:rFonts w:hint="eastAsia" w:ascii="Times New Roman" w:hAnsi="Times New Roman"/>
                      <w:color w:val="auto"/>
                      <w:sz w:val="18"/>
                      <w:szCs w:val="18"/>
                      <w:lang w:val="en-US" w:eastAsia="zh-CN"/>
                    </w:rPr>
                    <w:t>合计</w:t>
                  </w:r>
                </w:p>
              </w:tc>
              <w:tc>
                <w:tcPr>
                  <w:tcW w:w="649" w:type="pct"/>
                  <w:noWrap w:val="0"/>
                  <w:vAlign w:val="center"/>
                </w:tcPr>
                <w:p>
                  <w:pPr>
                    <w:snapToGrid w:val="0"/>
                    <w:jc w:val="center"/>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1</w:t>
                  </w:r>
                  <w:r>
                    <w:rPr>
                      <w:rFonts w:hint="eastAsia" w:cs="Times New Roman"/>
                      <w:color w:val="auto"/>
                      <w:sz w:val="18"/>
                      <w:szCs w:val="18"/>
                      <w:lang w:val="en-US" w:eastAsia="zh-CN"/>
                    </w:rPr>
                    <w:t>872</w:t>
                  </w:r>
                  <w:r>
                    <w:rPr>
                      <w:rFonts w:hint="eastAsia" w:eastAsia="宋体" w:cs="Times New Roman"/>
                      <w:color w:val="auto"/>
                      <w:sz w:val="18"/>
                      <w:szCs w:val="18"/>
                      <w:lang w:val="en-US" w:eastAsia="zh-CN"/>
                    </w:rPr>
                    <w:t>00</w:t>
                  </w:r>
                </w:p>
              </w:tc>
            </w:tr>
          </w:tbl>
          <w:p>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left"/>
              <w:textAlignment w:val="auto"/>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本项目高端风电主轴及零部件</w:t>
            </w:r>
            <w:r>
              <w:rPr>
                <w:rFonts w:hint="eastAsia" w:eastAsia="宋体" w:cs="Times New Roman"/>
                <w:b w:val="0"/>
                <w:bCs/>
                <w:color w:val="auto"/>
                <w:kern w:val="2"/>
                <w:sz w:val="21"/>
                <w:szCs w:val="21"/>
                <w:lang w:val="en-US" w:eastAsia="zh-CN" w:bidi="ar-SA"/>
              </w:rPr>
              <w:t>锻造工序</w:t>
            </w:r>
            <w:r>
              <w:rPr>
                <w:rFonts w:hint="eastAsia" w:ascii="Times New Roman" w:hAnsi="Times New Roman" w:eastAsia="宋体" w:cs="Times New Roman"/>
                <w:b w:val="0"/>
                <w:bCs/>
                <w:color w:val="auto"/>
                <w:kern w:val="2"/>
                <w:sz w:val="21"/>
                <w:szCs w:val="21"/>
                <w:lang w:val="en-US" w:eastAsia="zh-CN" w:bidi="ar-SA"/>
              </w:rPr>
              <w:t>主要设备</w:t>
            </w:r>
            <w:r>
              <w:rPr>
                <w:rFonts w:hint="eastAsia" w:eastAsia="宋体" w:cs="Times New Roman"/>
                <w:b w:val="0"/>
                <w:bCs/>
                <w:color w:val="auto"/>
                <w:kern w:val="2"/>
                <w:sz w:val="21"/>
                <w:szCs w:val="21"/>
                <w:lang w:val="en-US" w:eastAsia="zh-CN" w:bidi="ar-SA"/>
              </w:rPr>
              <w:t>压机</w:t>
            </w:r>
            <w:r>
              <w:rPr>
                <w:rFonts w:hint="eastAsia" w:ascii="Times New Roman" w:hAnsi="Times New Roman" w:eastAsia="宋体" w:cs="Times New Roman"/>
                <w:b w:val="0"/>
                <w:bCs/>
                <w:color w:val="auto"/>
                <w:kern w:val="2"/>
                <w:sz w:val="21"/>
                <w:szCs w:val="21"/>
                <w:lang w:val="en-US" w:eastAsia="zh-CN" w:bidi="ar-SA"/>
              </w:rPr>
              <w:t>设计产能为1</w:t>
            </w:r>
            <w:r>
              <w:rPr>
                <w:rFonts w:hint="eastAsia" w:cs="Times New Roman"/>
                <w:b w:val="0"/>
                <w:bCs/>
                <w:color w:val="auto"/>
                <w:kern w:val="2"/>
                <w:sz w:val="21"/>
                <w:szCs w:val="21"/>
                <w:lang w:val="en-US" w:eastAsia="zh-CN" w:bidi="ar-SA"/>
              </w:rPr>
              <w:t>872</w:t>
            </w:r>
            <w:r>
              <w:rPr>
                <w:rFonts w:hint="eastAsia" w:ascii="Times New Roman" w:hAnsi="Times New Roman" w:eastAsia="宋体" w:cs="Times New Roman"/>
                <w:b w:val="0"/>
                <w:bCs/>
                <w:color w:val="auto"/>
                <w:kern w:val="2"/>
                <w:sz w:val="21"/>
                <w:szCs w:val="21"/>
                <w:lang w:val="en-US" w:eastAsia="zh-CN" w:bidi="ar-SA"/>
              </w:rPr>
              <w:t>00t/a，改扩建后申报产能为171000t/a在其范围内，因此设备与产能相符。</w:t>
            </w:r>
          </w:p>
          <w:p>
            <w:pPr>
              <w:spacing w:line="500" w:lineRule="exact"/>
              <w:jc w:val="center"/>
              <w:rPr>
                <w:rFonts w:ascii="Times New Roman" w:hAnsi="Times New Roman" w:eastAsia="宋体" w:cs="Times New Roman"/>
                <w:b/>
                <w:bCs/>
                <w:color w:val="auto"/>
              </w:rPr>
            </w:pPr>
            <w:r>
              <w:rPr>
                <w:rFonts w:ascii="Times New Roman" w:hAnsi="Times New Roman" w:eastAsia="宋体" w:cs="Times New Roman"/>
                <w:b/>
                <w:bCs/>
                <w:color w:val="auto"/>
              </w:rPr>
              <w:t>表</w:t>
            </w:r>
            <w:r>
              <w:rPr>
                <w:rFonts w:hint="eastAsia" w:ascii="Times New Roman" w:hAnsi="Times New Roman" w:eastAsia="宋体" w:cs="Times New Roman"/>
                <w:b/>
                <w:bCs/>
                <w:color w:val="auto"/>
              </w:rPr>
              <w:t>2</w:t>
            </w:r>
            <w:r>
              <w:rPr>
                <w:rFonts w:ascii="Times New Roman" w:hAnsi="Times New Roman" w:eastAsia="宋体" w:cs="Times New Roman"/>
                <w:b/>
                <w:bCs/>
                <w:color w:val="auto"/>
              </w:rPr>
              <w:t>-</w:t>
            </w:r>
            <w:r>
              <w:rPr>
                <w:rFonts w:hint="eastAsia" w:cs="Times New Roman"/>
                <w:b/>
                <w:bCs/>
                <w:color w:val="auto"/>
                <w:lang w:val="en-US" w:eastAsia="zh-CN"/>
              </w:rPr>
              <w:t>13</w:t>
            </w:r>
            <w:r>
              <w:rPr>
                <w:rFonts w:ascii="Times New Roman" w:hAnsi="Times New Roman" w:eastAsia="宋体" w:cs="Times New Roman"/>
                <w:b/>
                <w:bCs/>
                <w:color w:val="auto"/>
              </w:rPr>
              <w:t xml:space="preserve">  </w:t>
            </w:r>
            <w:r>
              <w:rPr>
                <w:rFonts w:hint="eastAsia" w:ascii="Times New Roman" w:hAnsi="Times New Roman" w:eastAsia="宋体" w:cs="Times New Roman"/>
                <w:b/>
                <w:bCs/>
                <w:color w:val="auto"/>
                <w:lang w:eastAsia="zh-CN"/>
              </w:rPr>
              <w:t>锻造工序</w:t>
            </w:r>
            <w:r>
              <w:rPr>
                <w:rFonts w:hint="eastAsia" w:cs="Times New Roman"/>
                <w:b/>
                <w:bCs/>
                <w:color w:val="auto"/>
                <w:lang w:eastAsia="zh-CN"/>
              </w:rPr>
              <w:t>加热炉</w:t>
            </w:r>
            <w:r>
              <w:rPr>
                <w:rFonts w:hint="eastAsia" w:ascii="Times New Roman" w:hAnsi="Times New Roman" w:eastAsia="宋体" w:cs="Times New Roman"/>
                <w:b/>
                <w:bCs/>
                <w:color w:val="auto"/>
                <w:lang w:val="en-US" w:eastAsia="zh-CN"/>
              </w:rPr>
              <w:t>改扩建</w:t>
            </w:r>
            <w:r>
              <w:rPr>
                <w:rFonts w:hint="eastAsia" w:ascii="Times New Roman" w:hAnsi="Times New Roman" w:eastAsia="宋体" w:cs="Times New Roman"/>
                <w:b/>
                <w:bCs/>
                <w:color w:val="auto"/>
                <w:lang w:eastAsia="zh-CN"/>
              </w:rPr>
              <w:t>前设计产能</w:t>
            </w:r>
            <w:r>
              <w:rPr>
                <w:rFonts w:hint="eastAsia" w:ascii="Times New Roman" w:hAnsi="Times New Roman" w:eastAsia="宋体" w:cs="Times New Roman"/>
                <w:b/>
                <w:bCs/>
                <w:color w:val="auto"/>
              </w:rPr>
              <w:t>表</w:t>
            </w:r>
          </w:p>
          <w:tbl>
            <w:tblPr>
              <w:tblStyle w:val="21"/>
              <w:tblW w:w="4902"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47"/>
              <w:gridCol w:w="1466"/>
              <w:gridCol w:w="925"/>
              <w:gridCol w:w="925"/>
              <w:gridCol w:w="981"/>
              <w:gridCol w:w="958"/>
              <w:gridCol w:w="10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9" w:type="pct"/>
                  <w:noWrap w:val="0"/>
                  <w:vAlign w:val="center"/>
                </w:tcPr>
                <w:p>
                  <w:pPr>
                    <w:jc w:val="center"/>
                    <w:rPr>
                      <w:color w:val="auto"/>
                      <w:sz w:val="18"/>
                      <w:szCs w:val="18"/>
                    </w:rPr>
                  </w:pPr>
                  <w:r>
                    <w:rPr>
                      <w:rFonts w:hint="eastAsia"/>
                      <w:color w:val="auto"/>
                      <w:sz w:val="18"/>
                      <w:szCs w:val="18"/>
                    </w:rPr>
                    <w:t>设备</w:t>
                  </w:r>
                  <w:r>
                    <w:rPr>
                      <w:color w:val="auto"/>
                      <w:sz w:val="18"/>
                      <w:szCs w:val="18"/>
                    </w:rPr>
                    <w:t>名称</w:t>
                  </w:r>
                </w:p>
              </w:tc>
              <w:tc>
                <w:tcPr>
                  <w:tcW w:w="937" w:type="pct"/>
                  <w:noWrap w:val="0"/>
                  <w:vAlign w:val="center"/>
                </w:tcPr>
                <w:p>
                  <w:pPr>
                    <w:jc w:val="center"/>
                    <w:rPr>
                      <w:color w:val="auto"/>
                      <w:sz w:val="18"/>
                      <w:szCs w:val="18"/>
                    </w:rPr>
                  </w:pPr>
                  <w:r>
                    <w:rPr>
                      <w:color w:val="auto"/>
                      <w:sz w:val="18"/>
                      <w:szCs w:val="18"/>
                    </w:rPr>
                    <w:t>型号</w:t>
                  </w:r>
                </w:p>
              </w:tc>
              <w:tc>
                <w:tcPr>
                  <w:tcW w:w="591" w:type="pct"/>
                  <w:noWrap w:val="0"/>
                  <w:vAlign w:val="center"/>
                </w:tcPr>
                <w:p>
                  <w:pPr>
                    <w:jc w:val="center"/>
                    <w:rPr>
                      <w:color w:val="auto"/>
                      <w:sz w:val="18"/>
                      <w:szCs w:val="18"/>
                    </w:rPr>
                  </w:pPr>
                  <w:r>
                    <w:rPr>
                      <w:color w:val="auto"/>
                      <w:sz w:val="18"/>
                      <w:szCs w:val="18"/>
                    </w:rPr>
                    <w:t>数量</w:t>
                  </w:r>
                  <w:r>
                    <w:rPr>
                      <w:rFonts w:hint="eastAsia"/>
                      <w:color w:val="auto"/>
                      <w:sz w:val="18"/>
                      <w:szCs w:val="18"/>
                    </w:rPr>
                    <w:t>（台/套）</w:t>
                  </w:r>
                </w:p>
              </w:tc>
              <w:tc>
                <w:tcPr>
                  <w:tcW w:w="591" w:type="pct"/>
                  <w:noWrap w:val="0"/>
                  <w:vAlign w:val="center"/>
                </w:tcPr>
                <w:p>
                  <w:pPr>
                    <w:jc w:val="center"/>
                    <w:rPr>
                      <w:rFonts w:hint="eastAsia"/>
                      <w:color w:val="auto"/>
                      <w:sz w:val="18"/>
                      <w:szCs w:val="18"/>
                    </w:rPr>
                  </w:pPr>
                  <w:r>
                    <w:rPr>
                      <w:rFonts w:hint="eastAsia"/>
                      <w:color w:val="auto"/>
                      <w:sz w:val="18"/>
                      <w:szCs w:val="18"/>
                      <w:lang w:eastAsia="zh-CN"/>
                    </w:rPr>
                    <w:t>加热</w:t>
                  </w:r>
                  <w:r>
                    <w:rPr>
                      <w:rFonts w:hint="eastAsia"/>
                      <w:color w:val="auto"/>
                      <w:sz w:val="18"/>
                      <w:szCs w:val="18"/>
                    </w:rPr>
                    <w:t>能力（</w:t>
                  </w:r>
                  <w:r>
                    <w:rPr>
                      <w:rFonts w:hint="eastAsia"/>
                      <w:color w:val="auto"/>
                      <w:sz w:val="18"/>
                      <w:szCs w:val="18"/>
                      <w:lang w:val="en-US" w:eastAsia="zh-CN"/>
                    </w:rPr>
                    <w:t>t/次</w:t>
                  </w:r>
                  <w:r>
                    <w:rPr>
                      <w:rFonts w:hint="eastAsia"/>
                      <w:color w:val="auto"/>
                      <w:sz w:val="18"/>
                      <w:szCs w:val="18"/>
                    </w:rPr>
                    <w:t>）</w:t>
                  </w:r>
                </w:p>
              </w:tc>
              <w:tc>
                <w:tcPr>
                  <w:tcW w:w="627" w:type="pct"/>
                  <w:noWrap w:val="0"/>
                  <w:vAlign w:val="center"/>
                </w:tcPr>
                <w:p>
                  <w:pPr>
                    <w:jc w:val="center"/>
                    <w:rPr>
                      <w:color w:val="auto"/>
                      <w:sz w:val="18"/>
                      <w:szCs w:val="18"/>
                    </w:rPr>
                  </w:pPr>
                  <w:r>
                    <w:rPr>
                      <w:rFonts w:hint="eastAsia"/>
                      <w:color w:val="auto"/>
                      <w:sz w:val="18"/>
                      <w:szCs w:val="18"/>
                    </w:rPr>
                    <w:t>工作天数</w:t>
                  </w:r>
                </w:p>
                <w:p>
                  <w:pPr>
                    <w:jc w:val="center"/>
                    <w:rPr>
                      <w:rFonts w:hint="eastAsia"/>
                      <w:color w:val="auto"/>
                      <w:sz w:val="18"/>
                      <w:szCs w:val="18"/>
                    </w:rPr>
                  </w:pPr>
                  <w:r>
                    <w:rPr>
                      <w:rFonts w:hint="eastAsia"/>
                      <w:color w:val="auto"/>
                      <w:sz w:val="18"/>
                      <w:szCs w:val="18"/>
                    </w:rPr>
                    <w:t>（天）</w:t>
                  </w:r>
                </w:p>
              </w:tc>
              <w:tc>
                <w:tcPr>
                  <w:tcW w:w="612" w:type="pct"/>
                  <w:noWrap w:val="0"/>
                  <w:vAlign w:val="center"/>
                </w:tcPr>
                <w:p>
                  <w:pPr>
                    <w:jc w:val="center"/>
                    <w:rPr>
                      <w:rFonts w:hint="eastAsia"/>
                      <w:color w:val="auto"/>
                      <w:sz w:val="18"/>
                      <w:szCs w:val="18"/>
                    </w:rPr>
                  </w:pPr>
                  <w:r>
                    <w:rPr>
                      <w:rFonts w:hint="eastAsia"/>
                      <w:color w:val="auto"/>
                      <w:sz w:val="18"/>
                      <w:szCs w:val="18"/>
                      <w:lang w:eastAsia="zh-CN"/>
                    </w:rPr>
                    <w:t>加热周期</w:t>
                  </w:r>
                  <w:r>
                    <w:rPr>
                      <w:rFonts w:hint="eastAsia"/>
                      <w:color w:val="auto"/>
                      <w:sz w:val="18"/>
                      <w:szCs w:val="18"/>
                    </w:rPr>
                    <w:t>（</w:t>
                  </w:r>
                  <w:r>
                    <w:rPr>
                      <w:color w:val="auto"/>
                      <w:sz w:val="18"/>
                      <w:szCs w:val="18"/>
                    </w:rPr>
                    <w:t>d</w:t>
                  </w:r>
                  <w:r>
                    <w:rPr>
                      <w:rFonts w:hint="eastAsia"/>
                      <w:color w:val="auto"/>
                      <w:sz w:val="18"/>
                      <w:szCs w:val="18"/>
                    </w:rPr>
                    <w:t>）</w:t>
                  </w:r>
                </w:p>
              </w:tc>
              <w:tc>
                <w:tcPr>
                  <w:tcW w:w="649" w:type="pct"/>
                  <w:noWrap w:val="0"/>
                  <w:vAlign w:val="center"/>
                </w:tcPr>
                <w:p>
                  <w:pPr>
                    <w:jc w:val="center"/>
                    <w:rPr>
                      <w:color w:val="auto"/>
                      <w:sz w:val="18"/>
                      <w:szCs w:val="18"/>
                    </w:rPr>
                  </w:pPr>
                  <w:r>
                    <w:rPr>
                      <w:rFonts w:hint="eastAsia"/>
                      <w:color w:val="auto"/>
                      <w:sz w:val="18"/>
                      <w:szCs w:val="18"/>
                    </w:rPr>
                    <w:t>设备产能</w:t>
                  </w:r>
                </w:p>
                <w:p>
                  <w:pPr>
                    <w:jc w:val="center"/>
                    <w:rPr>
                      <w:rFonts w:hint="eastAsia" w:eastAsia="宋体"/>
                      <w:color w:val="auto"/>
                      <w:sz w:val="18"/>
                      <w:szCs w:val="18"/>
                      <w:lang w:eastAsia="zh-CN"/>
                    </w:rPr>
                  </w:pPr>
                  <w:r>
                    <w:rPr>
                      <w:color w:val="auto"/>
                      <w:sz w:val="18"/>
                      <w:szCs w:val="18"/>
                    </w:rPr>
                    <w:t>（</w:t>
                  </w:r>
                  <w:r>
                    <w:rPr>
                      <w:rFonts w:hint="eastAsia"/>
                      <w:color w:val="auto"/>
                      <w:sz w:val="18"/>
                      <w:szCs w:val="18"/>
                    </w:rPr>
                    <w:t>t/a</w:t>
                  </w:r>
                  <w:r>
                    <w:rPr>
                      <w:color w:val="auto"/>
                      <w:sz w:val="18"/>
                      <w:szCs w:val="1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9" w:type="pct"/>
                  <w:noWrap w:val="0"/>
                  <w:vAlign w:val="center"/>
                </w:tcPr>
                <w:p>
                  <w:pPr>
                    <w:adjustRightInd w:val="0"/>
                    <w:snapToGrid w:val="0"/>
                    <w:jc w:val="center"/>
                    <w:rPr>
                      <w:rFonts w:hint="eastAsia"/>
                      <w:bCs/>
                      <w:color w:val="auto"/>
                      <w:sz w:val="18"/>
                      <w:szCs w:val="18"/>
                    </w:rPr>
                  </w:pPr>
                  <w:r>
                    <w:rPr>
                      <w:rFonts w:hint="eastAsia" w:ascii="Times New Roman" w:hAnsi="Times New Roman" w:cs="Times New Roman"/>
                      <w:color w:val="auto"/>
                      <w:sz w:val="18"/>
                      <w:szCs w:val="18"/>
                      <w:lang w:val="en-US" w:eastAsia="zh-CN"/>
                    </w:rPr>
                    <w:t>台车式加热炉</w:t>
                  </w:r>
                </w:p>
              </w:tc>
              <w:tc>
                <w:tcPr>
                  <w:tcW w:w="937" w:type="pct"/>
                  <w:noWrap w:val="0"/>
                  <w:vAlign w:val="center"/>
                </w:tcPr>
                <w:p>
                  <w:pPr>
                    <w:adjustRightInd w:val="0"/>
                    <w:snapToGrid w:val="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10mx4mx3m</w:t>
                  </w:r>
                </w:p>
              </w:tc>
              <w:tc>
                <w:tcPr>
                  <w:tcW w:w="591"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3</w:t>
                  </w:r>
                </w:p>
              </w:tc>
              <w:tc>
                <w:tcPr>
                  <w:tcW w:w="59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160</w:t>
                  </w:r>
                </w:p>
              </w:tc>
              <w:tc>
                <w:tcPr>
                  <w:tcW w:w="627" w:type="pct"/>
                  <w:noWrap w:val="0"/>
                  <w:vAlign w:val="center"/>
                </w:tcPr>
                <w:p>
                  <w:pPr>
                    <w:keepNext w:val="0"/>
                    <w:keepLines w:val="0"/>
                    <w:widowControl/>
                    <w:suppressLineNumbers w:val="0"/>
                    <w:jc w:val="center"/>
                    <w:textAlignment w:val="center"/>
                    <w:rPr>
                      <w:rFonts w:hint="eastAsia" w:ascii="Times New Roman" w:hAnsi="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300</w:t>
                  </w:r>
                </w:p>
              </w:tc>
              <w:tc>
                <w:tcPr>
                  <w:tcW w:w="612" w:type="pct"/>
                  <w:noWrap w:val="0"/>
                  <w:vAlign w:val="center"/>
                </w:tcPr>
                <w:p>
                  <w:pPr>
                    <w:keepNext w:val="0"/>
                    <w:keepLines w:val="0"/>
                    <w:widowControl/>
                    <w:suppressLineNumbers w:val="0"/>
                    <w:jc w:val="center"/>
                    <w:textAlignment w:val="center"/>
                    <w:rPr>
                      <w:rFonts w:hint="default" w:ascii="Times New Roman" w:hAnsi="Times New Roman" w:eastAsia="宋体"/>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5</w:t>
                  </w:r>
                </w:p>
              </w:tc>
              <w:tc>
                <w:tcPr>
                  <w:tcW w:w="64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28800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9" w:type="pct"/>
                  <w:shd w:val="clear" w:color="auto" w:fill="auto"/>
                  <w:noWrap w:val="0"/>
                  <w:vAlign w:val="center"/>
                </w:tcPr>
                <w:p>
                  <w:pPr>
                    <w:adjustRightInd w:val="0"/>
                    <w:snapToGrid w:val="0"/>
                    <w:jc w:val="center"/>
                    <w:rPr>
                      <w:rFonts w:hint="eastAsia" w:ascii="Times New Roman" w:hAnsi="Times New Roman" w:eastAsia="宋体" w:cs="Times New Roman"/>
                      <w:color w:val="auto"/>
                      <w:kern w:val="2"/>
                      <w:sz w:val="18"/>
                      <w:szCs w:val="18"/>
                      <w:shd w:val="clear" w:color="auto" w:fill="auto"/>
                      <w:lang w:val="en-US" w:eastAsia="zh-CN" w:bidi="ar-SA"/>
                    </w:rPr>
                  </w:pPr>
                  <w:r>
                    <w:rPr>
                      <w:rFonts w:hint="eastAsia" w:ascii="Times New Roman" w:hAnsi="Times New Roman" w:eastAsia="宋体" w:cs="Times New Roman"/>
                      <w:color w:val="auto"/>
                      <w:sz w:val="18"/>
                      <w:szCs w:val="18"/>
                      <w:shd w:val="clear" w:color="auto" w:fill="auto"/>
                      <w:lang w:val="en-US" w:eastAsia="zh-CN"/>
                    </w:rPr>
                    <w:t>室式加热炉</w:t>
                  </w:r>
                </w:p>
              </w:tc>
              <w:tc>
                <w:tcPr>
                  <w:tcW w:w="937" w:type="pct"/>
                  <w:shd w:val="clear" w:color="auto" w:fill="auto"/>
                  <w:noWrap w:val="0"/>
                  <w:vAlign w:val="center"/>
                </w:tcPr>
                <w:p>
                  <w:pPr>
                    <w:adjustRightInd w:val="0"/>
                    <w:snapToGrid w:val="0"/>
                    <w:jc w:val="center"/>
                    <w:rPr>
                      <w:rFonts w:hint="eastAsia" w:ascii="Times New Roman" w:hAnsi="Times New Roman" w:eastAsia="宋体" w:cs="Times New Roman"/>
                      <w:color w:val="auto"/>
                      <w:kern w:val="2"/>
                      <w:sz w:val="18"/>
                      <w:szCs w:val="18"/>
                      <w:shd w:val="clear" w:color="auto" w:fill="auto"/>
                      <w:lang w:val="en-US" w:eastAsia="zh-CN" w:bidi="ar-SA"/>
                    </w:rPr>
                  </w:pPr>
                  <w:r>
                    <w:rPr>
                      <w:rFonts w:hint="eastAsia" w:ascii="Times New Roman" w:hAnsi="Times New Roman" w:eastAsia="宋体" w:cs="Times New Roman"/>
                      <w:color w:val="auto"/>
                      <w:sz w:val="18"/>
                      <w:szCs w:val="18"/>
                      <w:shd w:val="clear" w:color="auto" w:fill="auto"/>
                      <w:lang w:val="en-US" w:eastAsia="zh-CN"/>
                    </w:rPr>
                    <w:t>5mx5mx3.5m</w:t>
                  </w:r>
                </w:p>
              </w:tc>
              <w:tc>
                <w:tcPr>
                  <w:tcW w:w="591" w:type="pct"/>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shd w:val="clear" w:color="auto" w:fill="auto"/>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2</w:t>
                  </w:r>
                </w:p>
              </w:tc>
              <w:tc>
                <w:tcPr>
                  <w:tcW w:w="591" w:type="pct"/>
                  <w:noWrap w:val="0"/>
                  <w:vAlign w:val="center"/>
                </w:tcPr>
                <w:p>
                  <w:pPr>
                    <w:keepNext w:val="0"/>
                    <w:keepLines w:val="0"/>
                    <w:widowControl/>
                    <w:suppressLineNumbers w:val="0"/>
                    <w:jc w:val="center"/>
                    <w:textAlignment w:val="center"/>
                    <w:rPr>
                      <w:rFonts w:hint="default" w:eastAsia="宋体"/>
                      <w:color w:val="auto"/>
                      <w:sz w:val="18"/>
                      <w:szCs w:val="18"/>
                      <w:shd w:val="clear" w:color="auto" w:fill="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80</w:t>
                  </w:r>
                </w:p>
              </w:tc>
              <w:tc>
                <w:tcPr>
                  <w:tcW w:w="627" w:type="pct"/>
                  <w:noWrap w:val="0"/>
                  <w:vAlign w:val="center"/>
                </w:tcPr>
                <w:p>
                  <w:pPr>
                    <w:keepNext w:val="0"/>
                    <w:keepLines w:val="0"/>
                    <w:widowControl/>
                    <w:suppressLineNumbers w:val="0"/>
                    <w:jc w:val="center"/>
                    <w:textAlignment w:val="center"/>
                    <w:rPr>
                      <w:rFonts w:hint="eastAsia" w:ascii="Times New Roman" w:hAnsi="Times New Roman"/>
                      <w:color w:val="auto"/>
                      <w:sz w:val="18"/>
                      <w:szCs w:val="18"/>
                      <w:shd w:val="clear" w:color="auto" w:fill="auto"/>
                    </w:rPr>
                  </w:pPr>
                  <w:r>
                    <w:rPr>
                      <w:rFonts w:hint="default" w:ascii="Times New Roman" w:hAnsi="Times New Roman" w:eastAsia="宋体" w:cs="Times New Roman"/>
                      <w:i w:val="0"/>
                      <w:iCs w:val="0"/>
                      <w:color w:val="auto"/>
                      <w:kern w:val="0"/>
                      <w:sz w:val="18"/>
                      <w:szCs w:val="18"/>
                      <w:u w:val="none"/>
                      <w:lang w:val="en-US" w:eastAsia="zh-CN" w:bidi="ar"/>
                    </w:rPr>
                    <w:t>300</w:t>
                  </w:r>
                </w:p>
              </w:tc>
              <w:tc>
                <w:tcPr>
                  <w:tcW w:w="612" w:type="pct"/>
                  <w:noWrap w:val="0"/>
                  <w:vAlign w:val="center"/>
                </w:tcPr>
                <w:p>
                  <w:pPr>
                    <w:keepNext w:val="0"/>
                    <w:keepLines w:val="0"/>
                    <w:widowControl/>
                    <w:suppressLineNumbers w:val="0"/>
                    <w:jc w:val="center"/>
                    <w:textAlignment w:val="center"/>
                    <w:rPr>
                      <w:rFonts w:hint="eastAsia" w:ascii="Times New Roman" w:hAnsi="Times New Roman"/>
                      <w:color w:val="auto"/>
                      <w:sz w:val="18"/>
                      <w:szCs w:val="18"/>
                      <w:shd w:val="clear" w:color="auto" w:fill="auto"/>
                    </w:rPr>
                  </w:pPr>
                  <w:r>
                    <w:rPr>
                      <w:rFonts w:hint="default" w:ascii="Times New Roman" w:hAnsi="Times New Roman" w:eastAsia="宋体" w:cs="Times New Roman"/>
                      <w:i w:val="0"/>
                      <w:iCs w:val="0"/>
                      <w:color w:val="auto"/>
                      <w:kern w:val="0"/>
                      <w:sz w:val="18"/>
                      <w:szCs w:val="18"/>
                      <w:u w:val="none"/>
                      <w:lang w:val="en-US" w:eastAsia="zh-CN" w:bidi="ar"/>
                    </w:rPr>
                    <w:t>5</w:t>
                  </w:r>
                </w:p>
              </w:tc>
              <w:tc>
                <w:tcPr>
                  <w:tcW w:w="64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shd w:val="clear" w:color="auto" w:fill="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9600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9" w:type="pct"/>
                  <w:shd w:val="clear" w:color="auto" w:fill="auto"/>
                  <w:noWrap w:val="0"/>
                  <w:vAlign w:val="center"/>
                </w:tcPr>
                <w:p>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室式加热炉</w:t>
                  </w:r>
                </w:p>
              </w:tc>
              <w:tc>
                <w:tcPr>
                  <w:tcW w:w="937" w:type="pct"/>
                  <w:shd w:val="clear" w:color="auto" w:fill="auto"/>
                  <w:noWrap w:val="0"/>
                  <w:vAlign w:val="center"/>
                </w:tcPr>
                <w:p>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4mx4mx1.6m</w:t>
                  </w:r>
                </w:p>
              </w:tc>
              <w:tc>
                <w:tcPr>
                  <w:tcW w:w="591" w:type="pct"/>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w:t>
                  </w:r>
                </w:p>
              </w:tc>
              <w:tc>
                <w:tcPr>
                  <w:tcW w:w="591" w:type="pct"/>
                  <w:noWrap w:val="0"/>
                  <w:vAlign w:val="center"/>
                </w:tcPr>
                <w:p>
                  <w:pPr>
                    <w:keepNext w:val="0"/>
                    <w:keepLines w:val="0"/>
                    <w:widowControl/>
                    <w:suppressLineNumbers w:val="0"/>
                    <w:jc w:val="center"/>
                    <w:textAlignment w:val="center"/>
                    <w:rPr>
                      <w:rFonts w:hint="default" w:eastAsia="宋体"/>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80</w:t>
                  </w:r>
                </w:p>
              </w:tc>
              <w:tc>
                <w:tcPr>
                  <w:tcW w:w="627" w:type="pct"/>
                  <w:noWrap w:val="0"/>
                  <w:vAlign w:val="center"/>
                </w:tcPr>
                <w:p>
                  <w:pPr>
                    <w:keepNext w:val="0"/>
                    <w:keepLines w:val="0"/>
                    <w:widowControl/>
                    <w:suppressLineNumbers w:val="0"/>
                    <w:jc w:val="center"/>
                    <w:textAlignment w:val="center"/>
                    <w:rPr>
                      <w:rFonts w:hint="eastAsia" w:ascii="Times New Roman" w:hAnsi="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300</w:t>
                  </w:r>
                </w:p>
              </w:tc>
              <w:tc>
                <w:tcPr>
                  <w:tcW w:w="612" w:type="pct"/>
                  <w:noWrap w:val="0"/>
                  <w:vAlign w:val="center"/>
                </w:tcPr>
                <w:p>
                  <w:pPr>
                    <w:keepNext w:val="0"/>
                    <w:keepLines w:val="0"/>
                    <w:widowControl/>
                    <w:suppressLineNumbers w:val="0"/>
                    <w:jc w:val="center"/>
                    <w:textAlignment w:val="center"/>
                    <w:rPr>
                      <w:rFonts w:hint="eastAsia" w:ascii="Times New Roman" w:hAnsi="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5</w:t>
                  </w:r>
                </w:p>
              </w:tc>
              <w:tc>
                <w:tcPr>
                  <w:tcW w:w="64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4800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9" w:type="pct"/>
                  <w:shd w:val="clear" w:color="auto" w:fill="auto"/>
                  <w:noWrap w:val="0"/>
                  <w:vAlign w:val="center"/>
                </w:tcPr>
                <w:p>
                  <w:pPr>
                    <w:adjustRightInd w:val="0"/>
                    <w:snapToGrid w:val="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蓄热室式加热炉</w:t>
                  </w:r>
                </w:p>
              </w:tc>
              <w:tc>
                <w:tcPr>
                  <w:tcW w:w="937" w:type="pct"/>
                  <w:shd w:val="clear" w:color="auto" w:fill="auto"/>
                  <w:noWrap w:val="0"/>
                  <w:vAlign w:val="center"/>
                </w:tcPr>
                <w:p>
                  <w:pPr>
                    <w:adjustRightInd w:val="0"/>
                    <w:snapToGrid w:val="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5.2m×3.6m×3m</w:t>
                  </w:r>
                </w:p>
              </w:tc>
              <w:tc>
                <w:tcPr>
                  <w:tcW w:w="59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1</w:t>
                  </w:r>
                </w:p>
              </w:tc>
              <w:tc>
                <w:tcPr>
                  <w:tcW w:w="591" w:type="pct"/>
                  <w:noWrap w:val="0"/>
                  <w:vAlign w:val="center"/>
                </w:tcPr>
                <w:p>
                  <w:pPr>
                    <w:keepNext w:val="0"/>
                    <w:keepLines w:val="0"/>
                    <w:widowControl/>
                    <w:suppressLineNumbers w:val="0"/>
                    <w:jc w:val="center"/>
                    <w:textAlignment w:val="center"/>
                    <w:rPr>
                      <w:rFonts w:hint="default" w:eastAsia="宋体"/>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100</w:t>
                  </w:r>
                </w:p>
              </w:tc>
              <w:tc>
                <w:tcPr>
                  <w:tcW w:w="627" w:type="pct"/>
                  <w:noWrap w:val="0"/>
                  <w:vAlign w:val="center"/>
                </w:tcPr>
                <w:p>
                  <w:pPr>
                    <w:keepNext w:val="0"/>
                    <w:keepLines w:val="0"/>
                    <w:widowControl/>
                    <w:suppressLineNumbers w:val="0"/>
                    <w:jc w:val="center"/>
                    <w:textAlignment w:val="center"/>
                    <w:rPr>
                      <w:rFonts w:hint="eastAsia" w:ascii="Times New Roman" w:hAnsi="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300</w:t>
                  </w:r>
                </w:p>
              </w:tc>
              <w:tc>
                <w:tcPr>
                  <w:tcW w:w="612" w:type="pct"/>
                  <w:noWrap w:val="0"/>
                  <w:vAlign w:val="center"/>
                </w:tcPr>
                <w:p>
                  <w:pPr>
                    <w:keepNext w:val="0"/>
                    <w:keepLines w:val="0"/>
                    <w:widowControl/>
                    <w:suppressLineNumbers w:val="0"/>
                    <w:jc w:val="center"/>
                    <w:textAlignment w:val="center"/>
                    <w:rPr>
                      <w:rFonts w:hint="eastAsia" w:ascii="Times New Roman" w:hAnsi="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5</w:t>
                  </w:r>
                </w:p>
              </w:tc>
              <w:tc>
                <w:tcPr>
                  <w:tcW w:w="64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6000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9" w:type="pct"/>
                  <w:shd w:val="clear" w:color="auto" w:fill="auto"/>
                  <w:noWrap w:val="0"/>
                  <w:vAlign w:val="center"/>
                </w:tcPr>
                <w:p>
                  <w:pPr>
                    <w:adjustRightInd w:val="0"/>
                    <w:snapToGrid w:val="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蓄热室式加热炉</w:t>
                  </w:r>
                </w:p>
              </w:tc>
              <w:tc>
                <w:tcPr>
                  <w:tcW w:w="937" w:type="pct"/>
                  <w:shd w:val="clear" w:color="auto" w:fill="auto"/>
                  <w:noWrap w:val="0"/>
                  <w:vAlign w:val="center"/>
                </w:tcPr>
                <w:p>
                  <w:pPr>
                    <w:adjustRightInd w:val="0"/>
                    <w:snapToGrid w:val="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5.3m×5m×3.5m</w:t>
                  </w:r>
                </w:p>
              </w:tc>
              <w:tc>
                <w:tcPr>
                  <w:tcW w:w="59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5</w:t>
                  </w:r>
                </w:p>
              </w:tc>
              <w:tc>
                <w:tcPr>
                  <w:tcW w:w="591" w:type="pct"/>
                  <w:noWrap w:val="0"/>
                  <w:vAlign w:val="center"/>
                </w:tcPr>
                <w:p>
                  <w:pPr>
                    <w:keepNext w:val="0"/>
                    <w:keepLines w:val="0"/>
                    <w:widowControl/>
                    <w:suppressLineNumbers w:val="0"/>
                    <w:jc w:val="center"/>
                    <w:textAlignment w:val="center"/>
                    <w:rPr>
                      <w:rFonts w:hint="eastAsia"/>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120</w:t>
                  </w:r>
                </w:p>
              </w:tc>
              <w:tc>
                <w:tcPr>
                  <w:tcW w:w="627" w:type="pct"/>
                  <w:noWrap w:val="0"/>
                  <w:vAlign w:val="center"/>
                </w:tcPr>
                <w:p>
                  <w:pPr>
                    <w:keepNext w:val="0"/>
                    <w:keepLines w:val="0"/>
                    <w:widowControl/>
                    <w:suppressLineNumbers w:val="0"/>
                    <w:jc w:val="center"/>
                    <w:textAlignment w:val="center"/>
                    <w:rPr>
                      <w:rFonts w:hint="eastAsia" w:ascii="Times New Roman" w:hAnsi="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300</w:t>
                  </w:r>
                </w:p>
              </w:tc>
              <w:tc>
                <w:tcPr>
                  <w:tcW w:w="612" w:type="pct"/>
                  <w:noWrap w:val="0"/>
                  <w:vAlign w:val="center"/>
                </w:tcPr>
                <w:p>
                  <w:pPr>
                    <w:keepNext w:val="0"/>
                    <w:keepLines w:val="0"/>
                    <w:widowControl/>
                    <w:suppressLineNumbers w:val="0"/>
                    <w:jc w:val="center"/>
                    <w:textAlignment w:val="center"/>
                    <w:rPr>
                      <w:rFonts w:hint="eastAsia" w:ascii="Times New Roman" w:hAnsi="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5</w:t>
                  </w:r>
                </w:p>
              </w:tc>
              <w:tc>
                <w:tcPr>
                  <w:tcW w:w="649"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36000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50" w:type="pct"/>
                  <w:gridSpan w:val="6"/>
                  <w:shd w:val="clear" w:color="auto" w:fill="auto"/>
                  <w:noWrap w:val="0"/>
                  <w:vAlign w:val="center"/>
                </w:tcPr>
                <w:p>
                  <w:pPr>
                    <w:snapToGrid w:val="0"/>
                    <w:jc w:val="center"/>
                    <w:rPr>
                      <w:rFonts w:hint="eastAsia" w:ascii="Times New Roman" w:hAnsi="Times New Roman"/>
                      <w:color w:val="auto"/>
                      <w:sz w:val="18"/>
                      <w:szCs w:val="18"/>
                      <w:lang w:val="en-US" w:eastAsia="zh-CN"/>
                    </w:rPr>
                  </w:pPr>
                  <w:r>
                    <w:rPr>
                      <w:rFonts w:hint="eastAsia" w:ascii="Times New Roman" w:hAnsi="Times New Roman"/>
                      <w:color w:val="auto"/>
                      <w:sz w:val="18"/>
                      <w:szCs w:val="18"/>
                      <w:lang w:val="en-US" w:eastAsia="zh-CN"/>
                    </w:rPr>
                    <w:t>合计</w:t>
                  </w:r>
                </w:p>
              </w:tc>
              <w:tc>
                <w:tcPr>
                  <w:tcW w:w="649" w:type="pct"/>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85200</w:t>
                  </w:r>
                </w:p>
              </w:tc>
            </w:tr>
          </w:tbl>
          <w:p>
            <w:pPr>
              <w:spacing w:line="500" w:lineRule="exact"/>
              <w:jc w:val="center"/>
              <w:rPr>
                <w:rFonts w:ascii="Times New Roman" w:hAnsi="Times New Roman" w:eastAsia="宋体" w:cs="Times New Roman"/>
                <w:b/>
                <w:bCs/>
                <w:color w:val="auto"/>
              </w:rPr>
            </w:pPr>
            <w:r>
              <w:rPr>
                <w:rFonts w:ascii="Times New Roman" w:hAnsi="Times New Roman" w:eastAsia="宋体" w:cs="Times New Roman"/>
                <w:b/>
                <w:bCs/>
                <w:color w:val="auto"/>
              </w:rPr>
              <w:t>表</w:t>
            </w:r>
            <w:r>
              <w:rPr>
                <w:rFonts w:hint="eastAsia" w:ascii="Times New Roman" w:hAnsi="Times New Roman" w:eastAsia="宋体" w:cs="Times New Roman"/>
                <w:b/>
                <w:bCs/>
                <w:color w:val="auto"/>
              </w:rPr>
              <w:t>2</w:t>
            </w:r>
            <w:r>
              <w:rPr>
                <w:rFonts w:ascii="Times New Roman" w:hAnsi="Times New Roman" w:eastAsia="宋体" w:cs="Times New Roman"/>
                <w:b/>
                <w:bCs/>
                <w:color w:val="auto"/>
              </w:rPr>
              <w:t>-</w:t>
            </w:r>
            <w:r>
              <w:rPr>
                <w:rFonts w:hint="eastAsia" w:cs="Times New Roman"/>
                <w:b/>
                <w:bCs/>
                <w:color w:val="auto"/>
                <w:lang w:val="en-US" w:eastAsia="zh-CN"/>
              </w:rPr>
              <w:t>14</w:t>
            </w:r>
            <w:r>
              <w:rPr>
                <w:rFonts w:ascii="Times New Roman" w:hAnsi="Times New Roman" w:eastAsia="宋体" w:cs="Times New Roman"/>
                <w:b/>
                <w:bCs/>
                <w:color w:val="auto"/>
              </w:rPr>
              <w:t xml:space="preserve">  </w:t>
            </w:r>
            <w:r>
              <w:rPr>
                <w:rFonts w:hint="eastAsia" w:ascii="Times New Roman" w:hAnsi="Times New Roman" w:eastAsia="宋体" w:cs="Times New Roman"/>
                <w:b/>
                <w:bCs/>
                <w:color w:val="auto"/>
                <w:lang w:eastAsia="zh-CN"/>
              </w:rPr>
              <w:t>锻造工序</w:t>
            </w:r>
            <w:r>
              <w:rPr>
                <w:rFonts w:hint="eastAsia" w:cs="Times New Roman"/>
                <w:b/>
                <w:bCs/>
                <w:color w:val="auto"/>
                <w:lang w:eastAsia="zh-CN"/>
              </w:rPr>
              <w:t>加热炉</w:t>
            </w:r>
            <w:r>
              <w:rPr>
                <w:rFonts w:hint="eastAsia" w:ascii="Times New Roman" w:hAnsi="Times New Roman" w:eastAsia="宋体" w:cs="Times New Roman"/>
                <w:b/>
                <w:bCs/>
                <w:color w:val="auto"/>
                <w:lang w:val="en-US" w:eastAsia="zh-CN"/>
              </w:rPr>
              <w:t>改扩建</w:t>
            </w:r>
            <w:r>
              <w:rPr>
                <w:rFonts w:hint="eastAsia" w:ascii="Times New Roman" w:hAnsi="Times New Roman" w:eastAsia="宋体" w:cs="Times New Roman"/>
                <w:b/>
                <w:bCs/>
                <w:color w:val="auto"/>
                <w:lang w:eastAsia="zh-CN"/>
              </w:rPr>
              <w:t>后设计产能</w:t>
            </w:r>
            <w:r>
              <w:rPr>
                <w:rFonts w:hint="eastAsia" w:ascii="Times New Roman" w:hAnsi="Times New Roman" w:eastAsia="宋体" w:cs="Times New Roman"/>
                <w:b/>
                <w:bCs/>
                <w:color w:val="auto"/>
              </w:rPr>
              <w:t>表</w:t>
            </w:r>
          </w:p>
          <w:tbl>
            <w:tblPr>
              <w:tblStyle w:val="21"/>
              <w:tblW w:w="4902"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47"/>
              <w:gridCol w:w="1466"/>
              <w:gridCol w:w="925"/>
              <w:gridCol w:w="925"/>
              <w:gridCol w:w="981"/>
              <w:gridCol w:w="958"/>
              <w:gridCol w:w="10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9" w:type="pct"/>
                  <w:noWrap w:val="0"/>
                  <w:vAlign w:val="center"/>
                </w:tcPr>
                <w:p>
                  <w:pPr>
                    <w:jc w:val="center"/>
                    <w:rPr>
                      <w:color w:val="auto"/>
                      <w:sz w:val="18"/>
                      <w:szCs w:val="18"/>
                    </w:rPr>
                  </w:pPr>
                  <w:r>
                    <w:rPr>
                      <w:rFonts w:hint="eastAsia"/>
                      <w:color w:val="auto"/>
                      <w:sz w:val="18"/>
                      <w:szCs w:val="18"/>
                    </w:rPr>
                    <w:t>设备</w:t>
                  </w:r>
                  <w:r>
                    <w:rPr>
                      <w:color w:val="auto"/>
                      <w:sz w:val="18"/>
                      <w:szCs w:val="18"/>
                    </w:rPr>
                    <w:t>名称</w:t>
                  </w:r>
                </w:p>
              </w:tc>
              <w:tc>
                <w:tcPr>
                  <w:tcW w:w="937" w:type="pct"/>
                  <w:noWrap w:val="0"/>
                  <w:vAlign w:val="center"/>
                </w:tcPr>
                <w:p>
                  <w:pPr>
                    <w:jc w:val="center"/>
                    <w:rPr>
                      <w:color w:val="auto"/>
                      <w:sz w:val="18"/>
                      <w:szCs w:val="18"/>
                    </w:rPr>
                  </w:pPr>
                  <w:r>
                    <w:rPr>
                      <w:color w:val="auto"/>
                      <w:sz w:val="18"/>
                      <w:szCs w:val="18"/>
                    </w:rPr>
                    <w:t>型号</w:t>
                  </w:r>
                </w:p>
              </w:tc>
              <w:tc>
                <w:tcPr>
                  <w:tcW w:w="591" w:type="pct"/>
                  <w:noWrap w:val="0"/>
                  <w:vAlign w:val="center"/>
                </w:tcPr>
                <w:p>
                  <w:pPr>
                    <w:jc w:val="center"/>
                    <w:rPr>
                      <w:color w:val="auto"/>
                      <w:sz w:val="18"/>
                      <w:szCs w:val="18"/>
                    </w:rPr>
                  </w:pPr>
                  <w:r>
                    <w:rPr>
                      <w:color w:val="auto"/>
                      <w:sz w:val="18"/>
                      <w:szCs w:val="18"/>
                    </w:rPr>
                    <w:t>数量</w:t>
                  </w:r>
                  <w:r>
                    <w:rPr>
                      <w:rFonts w:hint="eastAsia"/>
                      <w:color w:val="auto"/>
                      <w:sz w:val="18"/>
                      <w:szCs w:val="18"/>
                    </w:rPr>
                    <w:t>（台/套）</w:t>
                  </w:r>
                </w:p>
              </w:tc>
              <w:tc>
                <w:tcPr>
                  <w:tcW w:w="591" w:type="pct"/>
                  <w:noWrap w:val="0"/>
                  <w:vAlign w:val="center"/>
                </w:tcPr>
                <w:p>
                  <w:pPr>
                    <w:jc w:val="center"/>
                    <w:rPr>
                      <w:rFonts w:hint="eastAsia"/>
                      <w:color w:val="auto"/>
                      <w:sz w:val="18"/>
                      <w:szCs w:val="18"/>
                    </w:rPr>
                  </w:pPr>
                  <w:r>
                    <w:rPr>
                      <w:rFonts w:hint="eastAsia"/>
                      <w:color w:val="auto"/>
                      <w:sz w:val="18"/>
                      <w:szCs w:val="18"/>
                      <w:lang w:eastAsia="zh-CN"/>
                    </w:rPr>
                    <w:t>加热</w:t>
                  </w:r>
                  <w:r>
                    <w:rPr>
                      <w:rFonts w:hint="eastAsia"/>
                      <w:color w:val="auto"/>
                      <w:sz w:val="18"/>
                      <w:szCs w:val="18"/>
                    </w:rPr>
                    <w:t>能力（</w:t>
                  </w:r>
                  <w:r>
                    <w:rPr>
                      <w:rFonts w:hint="eastAsia"/>
                      <w:color w:val="auto"/>
                      <w:sz w:val="18"/>
                      <w:szCs w:val="18"/>
                      <w:lang w:val="en-US" w:eastAsia="zh-CN"/>
                    </w:rPr>
                    <w:t>t/次</w:t>
                  </w:r>
                  <w:r>
                    <w:rPr>
                      <w:rFonts w:hint="eastAsia"/>
                      <w:color w:val="auto"/>
                      <w:sz w:val="18"/>
                      <w:szCs w:val="18"/>
                    </w:rPr>
                    <w:t>）</w:t>
                  </w:r>
                </w:p>
              </w:tc>
              <w:tc>
                <w:tcPr>
                  <w:tcW w:w="627" w:type="pct"/>
                  <w:noWrap w:val="0"/>
                  <w:vAlign w:val="center"/>
                </w:tcPr>
                <w:p>
                  <w:pPr>
                    <w:jc w:val="center"/>
                    <w:rPr>
                      <w:color w:val="auto"/>
                      <w:sz w:val="18"/>
                      <w:szCs w:val="18"/>
                    </w:rPr>
                  </w:pPr>
                  <w:r>
                    <w:rPr>
                      <w:rFonts w:hint="eastAsia"/>
                      <w:color w:val="auto"/>
                      <w:sz w:val="18"/>
                      <w:szCs w:val="18"/>
                    </w:rPr>
                    <w:t>工作天数</w:t>
                  </w:r>
                </w:p>
                <w:p>
                  <w:pPr>
                    <w:jc w:val="center"/>
                    <w:rPr>
                      <w:rFonts w:hint="eastAsia"/>
                      <w:color w:val="auto"/>
                      <w:sz w:val="18"/>
                      <w:szCs w:val="18"/>
                    </w:rPr>
                  </w:pPr>
                  <w:r>
                    <w:rPr>
                      <w:rFonts w:hint="eastAsia"/>
                      <w:color w:val="auto"/>
                      <w:sz w:val="18"/>
                      <w:szCs w:val="18"/>
                    </w:rPr>
                    <w:t>（天）</w:t>
                  </w:r>
                </w:p>
              </w:tc>
              <w:tc>
                <w:tcPr>
                  <w:tcW w:w="612" w:type="pct"/>
                  <w:noWrap w:val="0"/>
                  <w:vAlign w:val="center"/>
                </w:tcPr>
                <w:p>
                  <w:pPr>
                    <w:jc w:val="center"/>
                    <w:rPr>
                      <w:rFonts w:hint="eastAsia"/>
                      <w:color w:val="auto"/>
                      <w:sz w:val="18"/>
                      <w:szCs w:val="18"/>
                    </w:rPr>
                  </w:pPr>
                  <w:r>
                    <w:rPr>
                      <w:rFonts w:hint="eastAsia"/>
                      <w:color w:val="auto"/>
                      <w:sz w:val="18"/>
                      <w:szCs w:val="18"/>
                      <w:lang w:eastAsia="zh-CN"/>
                    </w:rPr>
                    <w:t>加热周期</w:t>
                  </w:r>
                  <w:r>
                    <w:rPr>
                      <w:rFonts w:hint="eastAsia"/>
                      <w:color w:val="auto"/>
                      <w:sz w:val="18"/>
                      <w:szCs w:val="18"/>
                    </w:rPr>
                    <w:t>（</w:t>
                  </w:r>
                  <w:r>
                    <w:rPr>
                      <w:color w:val="auto"/>
                      <w:sz w:val="18"/>
                      <w:szCs w:val="18"/>
                    </w:rPr>
                    <w:t>d</w:t>
                  </w:r>
                  <w:r>
                    <w:rPr>
                      <w:rFonts w:hint="eastAsia"/>
                      <w:color w:val="auto"/>
                      <w:sz w:val="18"/>
                      <w:szCs w:val="18"/>
                    </w:rPr>
                    <w:t>）</w:t>
                  </w:r>
                </w:p>
              </w:tc>
              <w:tc>
                <w:tcPr>
                  <w:tcW w:w="649" w:type="pct"/>
                  <w:noWrap w:val="0"/>
                  <w:vAlign w:val="center"/>
                </w:tcPr>
                <w:p>
                  <w:pPr>
                    <w:jc w:val="center"/>
                    <w:rPr>
                      <w:color w:val="auto"/>
                      <w:sz w:val="18"/>
                      <w:szCs w:val="18"/>
                    </w:rPr>
                  </w:pPr>
                  <w:r>
                    <w:rPr>
                      <w:rFonts w:hint="eastAsia"/>
                      <w:color w:val="auto"/>
                      <w:sz w:val="18"/>
                      <w:szCs w:val="18"/>
                    </w:rPr>
                    <w:t>设备产能</w:t>
                  </w:r>
                </w:p>
                <w:p>
                  <w:pPr>
                    <w:jc w:val="center"/>
                    <w:rPr>
                      <w:rFonts w:hint="eastAsia" w:eastAsia="宋体"/>
                      <w:color w:val="auto"/>
                      <w:sz w:val="18"/>
                      <w:szCs w:val="18"/>
                      <w:lang w:eastAsia="zh-CN"/>
                    </w:rPr>
                  </w:pPr>
                  <w:r>
                    <w:rPr>
                      <w:color w:val="auto"/>
                      <w:sz w:val="18"/>
                      <w:szCs w:val="18"/>
                    </w:rPr>
                    <w:t>（</w:t>
                  </w:r>
                  <w:r>
                    <w:rPr>
                      <w:rFonts w:hint="eastAsia"/>
                      <w:color w:val="auto"/>
                      <w:sz w:val="18"/>
                      <w:szCs w:val="18"/>
                    </w:rPr>
                    <w:t>t/a</w:t>
                  </w:r>
                  <w:r>
                    <w:rPr>
                      <w:color w:val="auto"/>
                      <w:sz w:val="18"/>
                      <w:szCs w:val="1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9" w:type="pct"/>
                  <w:shd w:val="clear" w:color="auto" w:fill="auto"/>
                  <w:noWrap w:val="0"/>
                  <w:vAlign w:val="center"/>
                </w:tcPr>
                <w:p>
                  <w:pPr>
                    <w:adjustRightInd w:val="0"/>
                    <w:snapToGrid w:val="0"/>
                    <w:jc w:val="center"/>
                    <w:rPr>
                      <w:rFonts w:hint="eastAsia" w:ascii="Times New Roman" w:hAnsi="Times New Roman" w:eastAsia="宋体" w:cs="Times New Roman"/>
                      <w:bCs/>
                      <w:color w:val="auto"/>
                      <w:kern w:val="2"/>
                      <w:sz w:val="18"/>
                      <w:szCs w:val="18"/>
                      <w:lang w:val="en-US" w:eastAsia="zh-CN" w:bidi="ar-SA"/>
                    </w:rPr>
                  </w:pPr>
                  <w:r>
                    <w:rPr>
                      <w:rFonts w:hint="eastAsia" w:ascii="Times New Roman" w:hAnsi="Times New Roman" w:cs="Times New Roman"/>
                      <w:color w:val="auto"/>
                      <w:sz w:val="18"/>
                      <w:szCs w:val="18"/>
                      <w:lang w:val="en-US" w:eastAsia="zh-CN"/>
                    </w:rPr>
                    <w:t>台车式加热炉</w:t>
                  </w:r>
                </w:p>
              </w:tc>
              <w:tc>
                <w:tcPr>
                  <w:tcW w:w="937" w:type="pct"/>
                  <w:shd w:val="clear" w:color="auto" w:fill="auto"/>
                  <w:noWrap w:val="0"/>
                  <w:vAlign w:val="center"/>
                </w:tcPr>
                <w:p>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10mx4mx3m</w:t>
                  </w:r>
                </w:p>
              </w:tc>
              <w:tc>
                <w:tcPr>
                  <w:tcW w:w="925"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3</w:t>
                  </w:r>
                </w:p>
              </w:tc>
              <w:tc>
                <w:tcPr>
                  <w:tcW w:w="925"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160</w:t>
                  </w:r>
                </w:p>
              </w:tc>
              <w:tc>
                <w:tcPr>
                  <w:tcW w:w="98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300</w:t>
                  </w:r>
                </w:p>
              </w:tc>
              <w:tc>
                <w:tcPr>
                  <w:tcW w:w="95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w:t>
                  </w:r>
                </w:p>
              </w:tc>
              <w:tc>
                <w:tcPr>
                  <w:tcW w:w="101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28800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9" w:type="pct"/>
                  <w:shd w:val="clear" w:color="auto" w:fill="auto"/>
                  <w:noWrap w:val="0"/>
                  <w:vAlign w:val="center"/>
                </w:tcPr>
                <w:p>
                  <w:pPr>
                    <w:adjustRightInd w:val="0"/>
                    <w:snapToGrid w:val="0"/>
                    <w:jc w:val="center"/>
                    <w:rPr>
                      <w:rFonts w:hint="eastAsia" w:ascii="Times New Roman" w:hAnsi="Times New Roman" w:eastAsia="宋体" w:cs="Times New Roman"/>
                      <w:color w:val="auto"/>
                      <w:kern w:val="2"/>
                      <w:sz w:val="18"/>
                      <w:szCs w:val="18"/>
                      <w:shd w:val="clear" w:color="auto" w:fill="auto"/>
                      <w:lang w:val="en-US" w:eastAsia="zh-CN" w:bidi="ar-SA"/>
                    </w:rPr>
                  </w:pPr>
                  <w:r>
                    <w:rPr>
                      <w:rFonts w:hint="eastAsia" w:ascii="Times New Roman" w:hAnsi="Times New Roman" w:cs="Times New Roman"/>
                      <w:color w:val="auto"/>
                      <w:sz w:val="18"/>
                      <w:szCs w:val="18"/>
                      <w:shd w:val="clear" w:color="auto" w:fill="auto"/>
                      <w:lang w:val="en-US" w:eastAsia="zh-CN"/>
                    </w:rPr>
                    <w:t>台车式加热炉</w:t>
                  </w:r>
                </w:p>
              </w:tc>
              <w:tc>
                <w:tcPr>
                  <w:tcW w:w="937" w:type="pct"/>
                  <w:shd w:val="clear" w:color="auto" w:fill="auto"/>
                  <w:noWrap w:val="0"/>
                  <w:vAlign w:val="center"/>
                </w:tcPr>
                <w:p>
                  <w:pPr>
                    <w:adjustRightInd w:val="0"/>
                    <w:snapToGrid w:val="0"/>
                    <w:jc w:val="center"/>
                    <w:rPr>
                      <w:rFonts w:hint="eastAsia" w:ascii="Times New Roman" w:hAnsi="Times New Roman" w:eastAsia="宋体" w:cs="Times New Roman"/>
                      <w:color w:val="auto"/>
                      <w:kern w:val="2"/>
                      <w:sz w:val="18"/>
                      <w:szCs w:val="18"/>
                      <w:shd w:val="clear" w:color="auto" w:fill="auto"/>
                      <w:lang w:val="en-US" w:eastAsia="zh-CN" w:bidi="ar-SA"/>
                    </w:rPr>
                  </w:pPr>
                  <w:r>
                    <w:rPr>
                      <w:rFonts w:hint="eastAsia" w:ascii="Times New Roman" w:hAnsi="Times New Roman" w:eastAsia="宋体" w:cs="Times New Roman"/>
                      <w:color w:val="auto"/>
                      <w:sz w:val="18"/>
                      <w:szCs w:val="18"/>
                      <w:shd w:val="clear" w:color="auto" w:fill="auto"/>
                      <w:lang w:val="en-US" w:eastAsia="zh-CN"/>
                    </w:rPr>
                    <w:t>10mx4.5mx3.5m</w:t>
                  </w:r>
                </w:p>
              </w:tc>
              <w:tc>
                <w:tcPr>
                  <w:tcW w:w="925"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shd w:val="clear" w:color="auto" w:fill="auto"/>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w:t>
                  </w:r>
                </w:p>
              </w:tc>
              <w:tc>
                <w:tcPr>
                  <w:tcW w:w="925"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shd w:val="clear" w:color="auto" w:fill="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220</w:t>
                  </w:r>
                </w:p>
              </w:tc>
              <w:tc>
                <w:tcPr>
                  <w:tcW w:w="98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shd w:val="clear" w:color="auto" w:fill="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300</w:t>
                  </w:r>
                </w:p>
              </w:tc>
              <w:tc>
                <w:tcPr>
                  <w:tcW w:w="95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shd w:val="clear" w:color="auto" w:fill="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w:t>
                  </w:r>
                </w:p>
              </w:tc>
              <w:tc>
                <w:tcPr>
                  <w:tcW w:w="101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shd w:val="clear" w:color="auto" w:fill="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13200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9" w:type="pct"/>
                  <w:shd w:val="clear" w:color="auto" w:fill="auto"/>
                  <w:noWrap w:val="0"/>
                  <w:vAlign w:val="center"/>
                </w:tcPr>
                <w:p>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室式加热炉</w:t>
                  </w:r>
                </w:p>
              </w:tc>
              <w:tc>
                <w:tcPr>
                  <w:tcW w:w="937" w:type="pct"/>
                  <w:shd w:val="clear" w:color="auto" w:fill="auto"/>
                  <w:noWrap w:val="0"/>
                  <w:vAlign w:val="center"/>
                </w:tcPr>
                <w:p>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4mx4mx1.6m</w:t>
                  </w:r>
                </w:p>
              </w:tc>
              <w:tc>
                <w:tcPr>
                  <w:tcW w:w="925"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shd w:val="clear" w:color="auto" w:fill="auto"/>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w:t>
                  </w:r>
                </w:p>
              </w:tc>
              <w:tc>
                <w:tcPr>
                  <w:tcW w:w="925"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80</w:t>
                  </w:r>
                </w:p>
              </w:tc>
              <w:tc>
                <w:tcPr>
                  <w:tcW w:w="98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300</w:t>
                  </w:r>
                </w:p>
              </w:tc>
              <w:tc>
                <w:tcPr>
                  <w:tcW w:w="95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w:t>
                  </w:r>
                </w:p>
              </w:tc>
              <w:tc>
                <w:tcPr>
                  <w:tcW w:w="101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4800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9" w:type="pct"/>
                  <w:shd w:val="clear" w:color="auto" w:fill="auto"/>
                  <w:noWrap w:val="0"/>
                  <w:vAlign w:val="center"/>
                </w:tcPr>
                <w:p>
                  <w:pPr>
                    <w:adjustRightInd w:val="0"/>
                    <w:snapToGrid w:val="0"/>
                    <w:jc w:val="center"/>
                    <w:rPr>
                      <w:rFonts w:hint="eastAsia" w:ascii="Times New Roman" w:hAnsi="Times New Roman" w:eastAsia="宋体" w:cs="Times New Roman"/>
                      <w:color w:val="auto"/>
                      <w:kern w:val="2"/>
                      <w:sz w:val="18"/>
                      <w:szCs w:val="18"/>
                      <w:shd w:val="clear" w:color="auto" w:fill="auto"/>
                      <w:lang w:val="en-US" w:eastAsia="zh-CN" w:bidi="ar-SA"/>
                    </w:rPr>
                  </w:pPr>
                  <w:r>
                    <w:rPr>
                      <w:rFonts w:hint="eastAsia" w:ascii="Times New Roman" w:hAnsi="Times New Roman" w:eastAsia="宋体" w:cs="Times New Roman"/>
                      <w:color w:val="auto"/>
                      <w:sz w:val="18"/>
                      <w:szCs w:val="18"/>
                      <w:shd w:val="clear" w:color="auto" w:fill="auto"/>
                      <w:lang w:val="en-US" w:eastAsia="zh-CN"/>
                    </w:rPr>
                    <w:t>室式加热炉</w:t>
                  </w:r>
                </w:p>
              </w:tc>
              <w:tc>
                <w:tcPr>
                  <w:tcW w:w="937" w:type="pct"/>
                  <w:shd w:val="clear" w:color="auto" w:fill="auto"/>
                  <w:noWrap w:val="0"/>
                  <w:vAlign w:val="center"/>
                </w:tcPr>
                <w:p>
                  <w:pPr>
                    <w:adjustRightInd w:val="0"/>
                    <w:snapToGrid w:val="0"/>
                    <w:jc w:val="center"/>
                    <w:rPr>
                      <w:rFonts w:hint="eastAsia" w:ascii="Times New Roman" w:hAnsi="Times New Roman" w:eastAsia="宋体" w:cs="Times New Roman"/>
                      <w:color w:val="auto"/>
                      <w:kern w:val="2"/>
                      <w:sz w:val="18"/>
                      <w:szCs w:val="18"/>
                      <w:shd w:val="clear" w:color="auto" w:fill="auto"/>
                      <w:lang w:val="en-US" w:eastAsia="zh-CN" w:bidi="ar-SA"/>
                    </w:rPr>
                  </w:pPr>
                  <w:r>
                    <w:rPr>
                      <w:rFonts w:hint="eastAsia" w:ascii="Times New Roman" w:hAnsi="Times New Roman" w:eastAsia="宋体" w:cs="Times New Roman"/>
                      <w:color w:val="auto"/>
                      <w:sz w:val="18"/>
                      <w:szCs w:val="18"/>
                      <w:shd w:val="clear" w:color="auto" w:fill="auto"/>
                      <w:lang w:val="en-US" w:eastAsia="zh-CN"/>
                    </w:rPr>
                    <w:t>5mx5.4mx3.6m</w:t>
                  </w:r>
                </w:p>
              </w:tc>
              <w:tc>
                <w:tcPr>
                  <w:tcW w:w="925"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shd w:val="clear" w:color="auto" w:fill="auto"/>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4</w:t>
                  </w:r>
                </w:p>
              </w:tc>
              <w:tc>
                <w:tcPr>
                  <w:tcW w:w="925"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shd w:val="clear" w:color="auto" w:fill="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280</w:t>
                  </w:r>
                </w:p>
              </w:tc>
              <w:tc>
                <w:tcPr>
                  <w:tcW w:w="98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shd w:val="clear" w:color="auto" w:fill="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300</w:t>
                  </w:r>
                </w:p>
              </w:tc>
              <w:tc>
                <w:tcPr>
                  <w:tcW w:w="95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shd w:val="clear" w:color="auto" w:fill="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w:t>
                  </w:r>
                </w:p>
              </w:tc>
              <w:tc>
                <w:tcPr>
                  <w:tcW w:w="101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shd w:val="clear" w:color="auto" w:fill="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67200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9" w:type="pct"/>
                  <w:shd w:val="clear" w:color="auto" w:fill="auto"/>
                  <w:noWrap w:val="0"/>
                  <w:vAlign w:val="center"/>
                </w:tcPr>
                <w:p>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蓄热室式加热炉</w:t>
                  </w:r>
                </w:p>
              </w:tc>
              <w:tc>
                <w:tcPr>
                  <w:tcW w:w="937" w:type="pct"/>
                  <w:shd w:val="clear" w:color="auto" w:fill="auto"/>
                  <w:noWrap w:val="0"/>
                  <w:vAlign w:val="center"/>
                </w:tcPr>
                <w:p>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5.2mx3.6mx3m</w:t>
                  </w:r>
                </w:p>
              </w:tc>
              <w:tc>
                <w:tcPr>
                  <w:tcW w:w="925"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w:t>
                  </w:r>
                </w:p>
              </w:tc>
              <w:tc>
                <w:tcPr>
                  <w:tcW w:w="925"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100</w:t>
                  </w:r>
                </w:p>
              </w:tc>
              <w:tc>
                <w:tcPr>
                  <w:tcW w:w="98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300</w:t>
                  </w:r>
                </w:p>
              </w:tc>
              <w:tc>
                <w:tcPr>
                  <w:tcW w:w="95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w:t>
                  </w:r>
                </w:p>
              </w:tc>
              <w:tc>
                <w:tcPr>
                  <w:tcW w:w="101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9" w:type="pct"/>
                  <w:shd w:val="clear" w:color="auto" w:fill="auto"/>
                  <w:noWrap w:val="0"/>
                  <w:vAlign w:val="center"/>
                </w:tcPr>
                <w:p>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蓄热室式加热炉</w:t>
                  </w:r>
                </w:p>
              </w:tc>
              <w:tc>
                <w:tcPr>
                  <w:tcW w:w="937" w:type="pct"/>
                  <w:shd w:val="clear" w:color="auto" w:fill="auto"/>
                  <w:noWrap w:val="0"/>
                  <w:vAlign w:val="center"/>
                </w:tcPr>
                <w:p>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5.3mx5mx3.5m</w:t>
                  </w:r>
                </w:p>
              </w:tc>
              <w:tc>
                <w:tcPr>
                  <w:tcW w:w="925"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5</w:t>
                  </w:r>
                </w:p>
              </w:tc>
              <w:tc>
                <w:tcPr>
                  <w:tcW w:w="925"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120</w:t>
                  </w:r>
                </w:p>
              </w:tc>
              <w:tc>
                <w:tcPr>
                  <w:tcW w:w="98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300</w:t>
                  </w:r>
                </w:p>
              </w:tc>
              <w:tc>
                <w:tcPr>
                  <w:tcW w:w="95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w:t>
                  </w:r>
                </w:p>
              </w:tc>
              <w:tc>
                <w:tcPr>
                  <w:tcW w:w="101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36000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9" w:type="pct"/>
                  <w:shd w:val="clear" w:color="auto" w:fill="auto"/>
                  <w:noWrap w:val="0"/>
                  <w:vAlign w:val="center"/>
                </w:tcPr>
                <w:p>
                  <w:pPr>
                    <w:jc w:val="center"/>
                    <w:rPr>
                      <w:rFonts w:hint="eastAsia" w:ascii="Times New Roman" w:hAnsi="Times New Roman" w:eastAsia="宋体" w:cs="Times New Roman"/>
                      <w:color w:val="auto"/>
                      <w:kern w:val="2"/>
                      <w:sz w:val="18"/>
                      <w:szCs w:val="18"/>
                      <w:shd w:val="clear" w:color="auto" w:fill="auto"/>
                      <w:lang w:val="en-US" w:eastAsia="zh-CN" w:bidi="ar-SA"/>
                    </w:rPr>
                  </w:pPr>
                  <w:r>
                    <w:rPr>
                      <w:rFonts w:hint="eastAsia" w:ascii="Times New Roman" w:hAnsi="Times New Roman" w:eastAsia="宋体" w:cs="Times New Roman"/>
                      <w:color w:val="auto"/>
                      <w:sz w:val="18"/>
                      <w:szCs w:val="18"/>
                      <w:shd w:val="clear" w:color="auto" w:fill="auto"/>
                      <w:lang w:val="en-US" w:eastAsia="zh-CN"/>
                    </w:rPr>
                    <w:t>天然气室式炉</w:t>
                  </w:r>
                </w:p>
              </w:tc>
              <w:tc>
                <w:tcPr>
                  <w:tcW w:w="937" w:type="pct"/>
                  <w:shd w:val="clear" w:color="auto" w:fill="auto"/>
                  <w:noWrap w:val="0"/>
                  <w:vAlign w:val="center"/>
                </w:tcPr>
                <w:p>
                  <w:pPr>
                    <w:jc w:val="center"/>
                    <w:rPr>
                      <w:rFonts w:hint="eastAsia" w:ascii="Times New Roman" w:hAnsi="Times New Roman" w:eastAsia="宋体" w:cs="Times New Roman"/>
                      <w:color w:val="auto"/>
                      <w:kern w:val="2"/>
                      <w:sz w:val="18"/>
                      <w:szCs w:val="18"/>
                      <w:shd w:val="clear" w:color="auto" w:fill="auto"/>
                      <w:lang w:val="en-US" w:eastAsia="zh-CN" w:bidi="ar-SA"/>
                    </w:rPr>
                  </w:pPr>
                  <w:r>
                    <w:rPr>
                      <w:rFonts w:hint="eastAsia" w:ascii="Times New Roman" w:hAnsi="Times New Roman" w:eastAsia="宋体" w:cs="Times New Roman"/>
                      <w:color w:val="auto"/>
                      <w:sz w:val="18"/>
                      <w:szCs w:val="18"/>
                      <w:shd w:val="clear" w:color="auto" w:fill="auto"/>
                      <w:lang w:val="en-US" w:eastAsia="zh-CN"/>
                    </w:rPr>
                    <w:t>5.3x5.3x3.8m</w:t>
                  </w:r>
                </w:p>
              </w:tc>
              <w:tc>
                <w:tcPr>
                  <w:tcW w:w="925"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shd w:val="clear" w:color="auto" w:fill="auto"/>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w:t>
                  </w:r>
                </w:p>
              </w:tc>
              <w:tc>
                <w:tcPr>
                  <w:tcW w:w="925"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shd w:val="clear" w:color="auto" w:fill="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500</w:t>
                  </w:r>
                </w:p>
              </w:tc>
              <w:tc>
                <w:tcPr>
                  <w:tcW w:w="98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shd w:val="clear" w:color="auto" w:fill="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300</w:t>
                  </w:r>
                </w:p>
              </w:tc>
              <w:tc>
                <w:tcPr>
                  <w:tcW w:w="95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shd w:val="clear" w:color="auto" w:fill="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w:t>
                  </w:r>
                </w:p>
              </w:tc>
              <w:tc>
                <w:tcPr>
                  <w:tcW w:w="101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shd w:val="clear" w:color="auto" w:fill="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30000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50" w:type="pct"/>
                  <w:gridSpan w:val="6"/>
                  <w:shd w:val="clear" w:color="auto" w:fill="auto"/>
                  <w:noWrap w:val="0"/>
                  <w:vAlign w:val="center"/>
                </w:tcPr>
                <w:p>
                  <w:pPr>
                    <w:snapToGrid w:val="0"/>
                    <w:jc w:val="center"/>
                    <w:rPr>
                      <w:rFonts w:hint="eastAsia" w:ascii="Times New Roman" w:hAnsi="Times New Roman"/>
                      <w:color w:val="auto"/>
                      <w:sz w:val="18"/>
                      <w:szCs w:val="18"/>
                      <w:lang w:val="en-US" w:eastAsia="zh-CN"/>
                    </w:rPr>
                  </w:pPr>
                  <w:r>
                    <w:rPr>
                      <w:rFonts w:hint="eastAsia" w:ascii="Times New Roman" w:hAnsi="Times New Roman"/>
                      <w:color w:val="auto"/>
                      <w:sz w:val="18"/>
                      <w:szCs w:val="18"/>
                      <w:lang w:val="en-US" w:eastAsia="zh-CN"/>
                    </w:rPr>
                    <w:t>合计</w:t>
                  </w:r>
                </w:p>
              </w:tc>
              <w:tc>
                <w:tcPr>
                  <w:tcW w:w="1015" w:type="dxa"/>
                  <w:noWrap w:val="0"/>
                  <w:vAlign w:val="center"/>
                </w:tcPr>
                <w:p>
                  <w:pPr>
                    <w:snapToGrid w:val="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w:t>
                  </w:r>
                  <w:r>
                    <w:rPr>
                      <w:rFonts w:hint="eastAsia" w:cs="Times New Roman"/>
                      <w:color w:val="auto"/>
                      <w:sz w:val="18"/>
                      <w:szCs w:val="18"/>
                      <w:lang w:val="en-US" w:eastAsia="zh-CN"/>
                    </w:rPr>
                    <w:t>86</w:t>
                  </w:r>
                  <w:r>
                    <w:rPr>
                      <w:rFonts w:hint="eastAsia" w:ascii="Times New Roman" w:hAnsi="Times New Roman" w:eastAsia="宋体" w:cs="Times New Roman"/>
                      <w:color w:val="auto"/>
                      <w:sz w:val="18"/>
                      <w:szCs w:val="18"/>
                      <w:lang w:val="en-US" w:eastAsia="zh-CN"/>
                    </w:rPr>
                    <w:t>000</w:t>
                  </w:r>
                </w:p>
              </w:tc>
            </w:tr>
          </w:tbl>
          <w:p>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left"/>
              <w:textAlignment w:val="auto"/>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本项目高端风电主轴及零部件</w:t>
            </w:r>
            <w:r>
              <w:rPr>
                <w:rFonts w:hint="eastAsia" w:eastAsia="宋体" w:cs="Times New Roman"/>
                <w:b w:val="0"/>
                <w:bCs/>
                <w:color w:val="auto"/>
                <w:kern w:val="2"/>
                <w:sz w:val="21"/>
                <w:szCs w:val="21"/>
                <w:lang w:val="en-US" w:eastAsia="zh-CN" w:bidi="ar-SA"/>
              </w:rPr>
              <w:t>锻造工序</w:t>
            </w:r>
            <w:r>
              <w:rPr>
                <w:rFonts w:hint="eastAsia" w:ascii="Times New Roman" w:hAnsi="Times New Roman" w:eastAsia="宋体" w:cs="Times New Roman"/>
                <w:b w:val="0"/>
                <w:bCs/>
                <w:color w:val="auto"/>
                <w:kern w:val="2"/>
                <w:sz w:val="21"/>
                <w:szCs w:val="21"/>
                <w:lang w:val="en-US" w:eastAsia="zh-CN" w:bidi="ar-SA"/>
              </w:rPr>
              <w:t>主要设备加热炉设计产能为1</w:t>
            </w:r>
            <w:r>
              <w:rPr>
                <w:rFonts w:hint="eastAsia" w:cs="Times New Roman"/>
                <w:b w:val="0"/>
                <w:bCs/>
                <w:color w:val="auto"/>
                <w:kern w:val="2"/>
                <w:sz w:val="21"/>
                <w:szCs w:val="21"/>
                <w:lang w:val="en-US" w:eastAsia="zh-CN" w:bidi="ar-SA"/>
              </w:rPr>
              <w:t>86</w:t>
            </w:r>
            <w:r>
              <w:rPr>
                <w:rFonts w:hint="eastAsia" w:ascii="Times New Roman" w:hAnsi="Times New Roman" w:eastAsia="宋体" w:cs="Times New Roman"/>
                <w:b w:val="0"/>
                <w:bCs/>
                <w:color w:val="auto"/>
                <w:kern w:val="2"/>
                <w:sz w:val="21"/>
                <w:szCs w:val="21"/>
                <w:lang w:val="en-US" w:eastAsia="zh-CN" w:bidi="ar-SA"/>
              </w:rPr>
              <w:t>000t/a，改扩建后申报产能为171000t/a在其范围内，因此设备与产能相符。</w:t>
            </w:r>
          </w:p>
          <w:p>
            <w:pPr>
              <w:keepNext w:val="0"/>
              <w:keepLines w:val="0"/>
              <w:pageBreakBefore w:val="0"/>
              <w:widowControl w:val="0"/>
              <w:kinsoku/>
              <w:wordWrap/>
              <w:overflowPunct/>
              <w:topLinePunct w:val="0"/>
              <w:autoSpaceDE/>
              <w:autoSpaceDN/>
              <w:bidi w:val="0"/>
              <w:adjustRightInd/>
              <w:snapToGrid/>
              <w:spacing w:line="500" w:lineRule="exact"/>
              <w:ind w:firstLine="422" w:firstLineChars="200"/>
              <w:jc w:val="left"/>
              <w:textAlignment w:val="auto"/>
              <w:rPr>
                <w:rFonts w:hint="default" w:ascii="Times New Roman" w:hAnsi="Times New Roman" w:eastAsia="宋体" w:cs="Times New Roman"/>
                <w:b/>
                <w:bCs/>
                <w:color w:val="auto"/>
                <w:lang w:val="en-US" w:eastAsia="zh-CN"/>
              </w:rPr>
            </w:pPr>
            <w:r>
              <w:rPr>
                <w:rFonts w:hint="eastAsia" w:cs="Times New Roman"/>
                <w:b/>
                <w:bCs/>
                <w:color w:val="auto"/>
                <w:lang w:eastAsia="zh-CN"/>
              </w:rPr>
              <w:t>热处理工序主要设备为</w:t>
            </w:r>
            <w:r>
              <w:rPr>
                <w:rFonts w:hint="eastAsia" w:cs="Times New Roman"/>
                <w:b/>
                <w:bCs/>
                <w:color w:val="auto"/>
                <w:lang w:val="en-US" w:eastAsia="zh-CN"/>
              </w:rPr>
              <w:t>加热炉</w:t>
            </w:r>
            <w:r>
              <w:rPr>
                <w:rFonts w:hint="eastAsia" w:cs="Times New Roman"/>
                <w:b/>
                <w:bCs/>
                <w:color w:val="auto"/>
                <w:lang w:eastAsia="zh-CN"/>
              </w:rPr>
              <w:t>，对主要设备进行产能分析见下表。</w:t>
            </w:r>
          </w:p>
          <w:p>
            <w:pPr>
              <w:spacing w:line="500" w:lineRule="exact"/>
              <w:jc w:val="center"/>
              <w:rPr>
                <w:rFonts w:ascii="Times New Roman" w:hAnsi="Times New Roman" w:eastAsia="宋体" w:cs="Times New Roman"/>
                <w:b/>
                <w:bCs/>
                <w:color w:val="auto"/>
              </w:rPr>
            </w:pPr>
          </w:p>
          <w:p>
            <w:pPr>
              <w:spacing w:line="500" w:lineRule="exact"/>
              <w:jc w:val="center"/>
              <w:rPr>
                <w:rFonts w:ascii="Times New Roman" w:hAnsi="Times New Roman" w:eastAsia="宋体" w:cs="Times New Roman"/>
                <w:b/>
                <w:bCs/>
                <w:color w:val="auto"/>
              </w:rPr>
            </w:pPr>
            <w:r>
              <w:rPr>
                <w:rFonts w:ascii="Times New Roman" w:hAnsi="Times New Roman" w:eastAsia="宋体" w:cs="Times New Roman"/>
                <w:b/>
                <w:bCs/>
                <w:color w:val="auto"/>
              </w:rPr>
              <w:t>表</w:t>
            </w:r>
            <w:r>
              <w:rPr>
                <w:rFonts w:hint="eastAsia" w:ascii="Times New Roman" w:hAnsi="Times New Roman" w:eastAsia="宋体" w:cs="Times New Roman"/>
                <w:b/>
                <w:bCs/>
                <w:color w:val="auto"/>
              </w:rPr>
              <w:t>2</w:t>
            </w:r>
            <w:r>
              <w:rPr>
                <w:rFonts w:ascii="Times New Roman" w:hAnsi="Times New Roman" w:eastAsia="宋体" w:cs="Times New Roman"/>
                <w:b/>
                <w:bCs/>
                <w:color w:val="auto"/>
              </w:rPr>
              <w:t>-</w:t>
            </w:r>
            <w:r>
              <w:rPr>
                <w:rFonts w:hint="eastAsia" w:cs="Times New Roman"/>
                <w:b/>
                <w:bCs/>
                <w:color w:val="auto"/>
                <w:lang w:val="en-US" w:eastAsia="zh-CN"/>
              </w:rPr>
              <w:t>15</w:t>
            </w:r>
            <w:r>
              <w:rPr>
                <w:rFonts w:ascii="Times New Roman" w:hAnsi="Times New Roman" w:eastAsia="宋体" w:cs="Times New Roman"/>
                <w:b/>
                <w:bCs/>
                <w:color w:val="auto"/>
              </w:rPr>
              <w:t xml:space="preserve">  </w:t>
            </w:r>
            <w:r>
              <w:rPr>
                <w:rFonts w:hint="eastAsia" w:ascii="Times New Roman" w:hAnsi="Times New Roman" w:eastAsia="宋体" w:cs="Times New Roman"/>
                <w:b/>
                <w:bCs/>
                <w:color w:val="auto"/>
                <w:lang w:eastAsia="zh-CN"/>
              </w:rPr>
              <w:t>热处理工序</w:t>
            </w:r>
            <w:r>
              <w:rPr>
                <w:rFonts w:hint="eastAsia" w:ascii="Times New Roman" w:hAnsi="Times New Roman" w:eastAsia="宋体" w:cs="Times New Roman"/>
                <w:b/>
                <w:bCs/>
                <w:color w:val="auto"/>
                <w:lang w:val="en-US" w:eastAsia="zh-CN"/>
              </w:rPr>
              <w:t>改扩建</w:t>
            </w:r>
            <w:r>
              <w:rPr>
                <w:rFonts w:hint="eastAsia" w:ascii="Times New Roman" w:hAnsi="Times New Roman" w:eastAsia="宋体" w:cs="Times New Roman"/>
                <w:b/>
                <w:bCs/>
                <w:color w:val="auto"/>
                <w:lang w:eastAsia="zh-CN"/>
              </w:rPr>
              <w:t>前设计产能</w:t>
            </w:r>
            <w:r>
              <w:rPr>
                <w:rFonts w:hint="eastAsia" w:ascii="Times New Roman" w:hAnsi="Times New Roman" w:eastAsia="宋体" w:cs="Times New Roman"/>
                <w:b/>
                <w:bCs/>
                <w:color w:val="auto"/>
              </w:rPr>
              <w:t>表</w:t>
            </w:r>
          </w:p>
          <w:tbl>
            <w:tblPr>
              <w:tblStyle w:val="21"/>
              <w:tblW w:w="4902"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47"/>
              <w:gridCol w:w="1466"/>
              <w:gridCol w:w="925"/>
              <w:gridCol w:w="925"/>
              <w:gridCol w:w="981"/>
              <w:gridCol w:w="958"/>
              <w:gridCol w:w="10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9" w:type="pct"/>
                  <w:noWrap w:val="0"/>
                  <w:vAlign w:val="center"/>
                </w:tcPr>
                <w:p>
                  <w:pPr>
                    <w:jc w:val="center"/>
                    <w:rPr>
                      <w:color w:val="auto"/>
                      <w:sz w:val="18"/>
                      <w:szCs w:val="18"/>
                    </w:rPr>
                  </w:pPr>
                  <w:r>
                    <w:rPr>
                      <w:rFonts w:hint="eastAsia"/>
                      <w:color w:val="auto"/>
                      <w:sz w:val="18"/>
                      <w:szCs w:val="18"/>
                    </w:rPr>
                    <w:t>设备</w:t>
                  </w:r>
                  <w:r>
                    <w:rPr>
                      <w:color w:val="auto"/>
                      <w:sz w:val="18"/>
                      <w:szCs w:val="18"/>
                    </w:rPr>
                    <w:t>名称</w:t>
                  </w:r>
                </w:p>
              </w:tc>
              <w:tc>
                <w:tcPr>
                  <w:tcW w:w="937" w:type="pct"/>
                  <w:noWrap w:val="0"/>
                  <w:vAlign w:val="center"/>
                </w:tcPr>
                <w:p>
                  <w:pPr>
                    <w:jc w:val="center"/>
                    <w:rPr>
                      <w:color w:val="auto"/>
                      <w:sz w:val="18"/>
                      <w:szCs w:val="18"/>
                    </w:rPr>
                  </w:pPr>
                  <w:r>
                    <w:rPr>
                      <w:color w:val="auto"/>
                      <w:sz w:val="18"/>
                      <w:szCs w:val="18"/>
                    </w:rPr>
                    <w:t>型号</w:t>
                  </w:r>
                </w:p>
              </w:tc>
              <w:tc>
                <w:tcPr>
                  <w:tcW w:w="591" w:type="pct"/>
                  <w:noWrap w:val="0"/>
                  <w:vAlign w:val="center"/>
                </w:tcPr>
                <w:p>
                  <w:pPr>
                    <w:jc w:val="center"/>
                    <w:rPr>
                      <w:color w:val="auto"/>
                      <w:sz w:val="18"/>
                      <w:szCs w:val="18"/>
                    </w:rPr>
                  </w:pPr>
                  <w:r>
                    <w:rPr>
                      <w:color w:val="auto"/>
                      <w:sz w:val="18"/>
                      <w:szCs w:val="18"/>
                    </w:rPr>
                    <w:t>数量</w:t>
                  </w:r>
                  <w:r>
                    <w:rPr>
                      <w:rFonts w:hint="eastAsia"/>
                      <w:color w:val="auto"/>
                      <w:sz w:val="18"/>
                      <w:szCs w:val="18"/>
                    </w:rPr>
                    <w:t>（台/套）</w:t>
                  </w:r>
                </w:p>
              </w:tc>
              <w:tc>
                <w:tcPr>
                  <w:tcW w:w="591" w:type="pct"/>
                  <w:noWrap w:val="0"/>
                  <w:vAlign w:val="center"/>
                </w:tcPr>
                <w:p>
                  <w:pPr>
                    <w:jc w:val="center"/>
                    <w:rPr>
                      <w:rFonts w:hint="eastAsia"/>
                      <w:color w:val="auto"/>
                      <w:sz w:val="18"/>
                      <w:szCs w:val="18"/>
                    </w:rPr>
                  </w:pPr>
                  <w:r>
                    <w:rPr>
                      <w:rFonts w:hint="eastAsia"/>
                      <w:color w:val="auto"/>
                      <w:sz w:val="18"/>
                      <w:szCs w:val="18"/>
                      <w:lang w:eastAsia="zh-CN"/>
                    </w:rPr>
                    <w:t>加热</w:t>
                  </w:r>
                  <w:r>
                    <w:rPr>
                      <w:rFonts w:hint="eastAsia"/>
                      <w:color w:val="auto"/>
                      <w:sz w:val="18"/>
                      <w:szCs w:val="18"/>
                    </w:rPr>
                    <w:t>能力（</w:t>
                  </w:r>
                  <w:r>
                    <w:rPr>
                      <w:rFonts w:hint="eastAsia"/>
                      <w:color w:val="auto"/>
                      <w:sz w:val="18"/>
                      <w:szCs w:val="18"/>
                      <w:lang w:val="en-US" w:eastAsia="zh-CN"/>
                    </w:rPr>
                    <w:t>t/次</w:t>
                  </w:r>
                  <w:r>
                    <w:rPr>
                      <w:rFonts w:hint="eastAsia"/>
                      <w:color w:val="auto"/>
                      <w:sz w:val="18"/>
                      <w:szCs w:val="18"/>
                    </w:rPr>
                    <w:t>）</w:t>
                  </w:r>
                </w:p>
              </w:tc>
              <w:tc>
                <w:tcPr>
                  <w:tcW w:w="627" w:type="pct"/>
                  <w:noWrap w:val="0"/>
                  <w:vAlign w:val="center"/>
                </w:tcPr>
                <w:p>
                  <w:pPr>
                    <w:jc w:val="center"/>
                    <w:rPr>
                      <w:color w:val="auto"/>
                      <w:sz w:val="18"/>
                      <w:szCs w:val="18"/>
                    </w:rPr>
                  </w:pPr>
                  <w:r>
                    <w:rPr>
                      <w:rFonts w:hint="eastAsia"/>
                      <w:color w:val="auto"/>
                      <w:sz w:val="18"/>
                      <w:szCs w:val="18"/>
                    </w:rPr>
                    <w:t>工作天数</w:t>
                  </w:r>
                </w:p>
                <w:p>
                  <w:pPr>
                    <w:jc w:val="center"/>
                    <w:rPr>
                      <w:rFonts w:hint="eastAsia"/>
                      <w:color w:val="auto"/>
                      <w:sz w:val="18"/>
                      <w:szCs w:val="18"/>
                    </w:rPr>
                  </w:pPr>
                  <w:r>
                    <w:rPr>
                      <w:rFonts w:hint="eastAsia"/>
                      <w:color w:val="auto"/>
                      <w:sz w:val="18"/>
                      <w:szCs w:val="18"/>
                    </w:rPr>
                    <w:t>（天）</w:t>
                  </w:r>
                </w:p>
              </w:tc>
              <w:tc>
                <w:tcPr>
                  <w:tcW w:w="612" w:type="pct"/>
                  <w:noWrap w:val="0"/>
                  <w:vAlign w:val="center"/>
                </w:tcPr>
                <w:p>
                  <w:pPr>
                    <w:jc w:val="center"/>
                    <w:rPr>
                      <w:rFonts w:hint="eastAsia"/>
                      <w:color w:val="auto"/>
                      <w:sz w:val="18"/>
                      <w:szCs w:val="18"/>
                    </w:rPr>
                  </w:pPr>
                  <w:r>
                    <w:rPr>
                      <w:rFonts w:hint="eastAsia"/>
                      <w:color w:val="auto"/>
                      <w:sz w:val="18"/>
                      <w:szCs w:val="18"/>
                      <w:lang w:eastAsia="zh-CN"/>
                    </w:rPr>
                    <w:t>加热周期</w:t>
                  </w:r>
                  <w:r>
                    <w:rPr>
                      <w:rFonts w:hint="eastAsia"/>
                      <w:color w:val="auto"/>
                      <w:sz w:val="18"/>
                      <w:szCs w:val="18"/>
                    </w:rPr>
                    <w:t>（</w:t>
                  </w:r>
                  <w:r>
                    <w:rPr>
                      <w:color w:val="auto"/>
                      <w:sz w:val="18"/>
                      <w:szCs w:val="18"/>
                    </w:rPr>
                    <w:t>d</w:t>
                  </w:r>
                  <w:r>
                    <w:rPr>
                      <w:rFonts w:hint="eastAsia"/>
                      <w:color w:val="auto"/>
                      <w:sz w:val="18"/>
                      <w:szCs w:val="18"/>
                    </w:rPr>
                    <w:t>）</w:t>
                  </w:r>
                </w:p>
              </w:tc>
              <w:tc>
                <w:tcPr>
                  <w:tcW w:w="649" w:type="pct"/>
                  <w:noWrap w:val="0"/>
                  <w:vAlign w:val="center"/>
                </w:tcPr>
                <w:p>
                  <w:pPr>
                    <w:jc w:val="center"/>
                    <w:rPr>
                      <w:color w:val="auto"/>
                      <w:sz w:val="18"/>
                      <w:szCs w:val="18"/>
                    </w:rPr>
                  </w:pPr>
                  <w:r>
                    <w:rPr>
                      <w:rFonts w:hint="eastAsia"/>
                      <w:color w:val="auto"/>
                      <w:sz w:val="18"/>
                      <w:szCs w:val="18"/>
                    </w:rPr>
                    <w:t>设备产能</w:t>
                  </w:r>
                </w:p>
                <w:p>
                  <w:pPr>
                    <w:jc w:val="center"/>
                    <w:rPr>
                      <w:rFonts w:hint="eastAsia" w:eastAsia="宋体"/>
                      <w:color w:val="auto"/>
                      <w:sz w:val="18"/>
                      <w:szCs w:val="18"/>
                      <w:lang w:eastAsia="zh-CN"/>
                    </w:rPr>
                  </w:pPr>
                  <w:r>
                    <w:rPr>
                      <w:color w:val="auto"/>
                      <w:sz w:val="18"/>
                      <w:szCs w:val="18"/>
                    </w:rPr>
                    <w:t>（</w:t>
                  </w:r>
                  <w:r>
                    <w:rPr>
                      <w:rFonts w:hint="eastAsia"/>
                      <w:color w:val="auto"/>
                      <w:sz w:val="18"/>
                      <w:szCs w:val="18"/>
                    </w:rPr>
                    <w:t>t/a</w:t>
                  </w:r>
                  <w:r>
                    <w:rPr>
                      <w:color w:val="auto"/>
                      <w:sz w:val="18"/>
                      <w:szCs w:val="1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47"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2"/>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台车式退火炉</w:t>
                  </w:r>
                </w:p>
              </w:tc>
              <w:tc>
                <w:tcPr>
                  <w:tcW w:w="1466"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15mx3.2mx2.1m</w:t>
                  </w:r>
                </w:p>
              </w:tc>
              <w:tc>
                <w:tcPr>
                  <w:tcW w:w="925"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w:t>
                  </w:r>
                </w:p>
              </w:tc>
              <w:tc>
                <w:tcPr>
                  <w:tcW w:w="925"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100</w:t>
                  </w:r>
                </w:p>
              </w:tc>
              <w:tc>
                <w:tcPr>
                  <w:tcW w:w="98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300</w:t>
                  </w:r>
                </w:p>
              </w:tc>
              <w:tc>
                <w:tcPr>
                  <w:tcW w:w="95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10</w:t>
                  </w:r>
                </w:p>
              </w:tc>
              <w:tc>
                <w:tcPr>
                  <w:tcW w:w="101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3000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47"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台车式退火炉</w:t>
                  </w:r>
                </w:p>
              </w:tc>
              <w:tc>
                <w:tcPr>
                  <w:tcW w:w="1466"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12mx3.2mx2.1m</w:t>
                  </w:r>
                </w:p>
              </w:tc>
              <w:tc>
                <w:tcPr>
                  <w:tcW w:w="925"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w:t>
                  </w:r>
                </w:p>
              </w:tc>
              <w:tc>
                <w:tcPr>
                  <w:tcW w:w="925"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100</w:t>
                  </w:r>
                </w:p>
              </w:tc>
              <w:tc>
                <w:tcPr>
                  <w:tcW w:w="98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300</w:t>
                  </w:r>
                </w:p>
              </w:tc>
              <w:tc>
                <w:tcPr>
                  <w:tcW w:w="95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10</w:t>
                  </w:r>
                </w:p>
              </w:tc>
              <w:tc>
                <w:tcPr>
                  <w:tcW w:w="101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3000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47"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台车式退火炉</w:t>
                  </w:r>
                </w:p>
              </w:tc>
              <w:tc>
                <w:tcPr>
                  <w:tcW w:w="1466"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12mx3.2mx2.1m</w:t>
                  </w:r>
                </w:p>
              </w:tc>
              <w:tc>
                <w:tcPr>
                  <w:tcW w:w="925"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w:t>
                  </w:r>
                </w:p>
              </w:tc>
              <w:tc>
                <w:tcPr>
                  <w:tcW w:w="925"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100</w:t>
                  </w:r>
                </w:p>
              </w:tc>
              <w:tc>
                <w:tcPr>
                  <w:tcW w:w="98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300</w:t>
                  </w:r>
                </w:p>
              </w:tc>
              <w:tc>
                <w:tcPr>
                  <w:tcW w:w="95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10</w:t>
                  </w:r>
                </w:p>
              </w:tc>
              <w:tc>
                <w:tcPr>
                  <w:tcW w:w="101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3000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47"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台车式退火炉</w:t>
                  </w:r>
                </w:p>
              </w:tc>
              <w:tc>
                <w:tcPr>
                  <w:tcW w:w="1466"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9mx3.2mx1.5m</w:t>
                  </w:r>
                </w:p>
              </w:tc>
              <w:tc>
                <w:tcPr>
                  <w:tcW w:w="925"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2</w:t>
                  </w:r>
                </w:p>
              </w:tc>
              <w:tc>
                <w:tcPr>
                  <w:tcW w:w="925"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70</w:t>
                  </w:r>
                </w:p>
              </w:tc>
              <w:tc>
                <w:tcPr>
                  <w:tcW w:w="98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300</w:t>
                  </w:r>
                </w:p>
              </w:tc>
              <w:tc>
                <w:tcPr>
                  <w:tcW w:w="95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10</w:t>
                  </w:r>
                </w:p>
              </w:tc>
              <w:tc>
                <w:tcPr>
                  <w:tcW w:w="101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4200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47"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台车式退火炉</w:t>
                  </w:r>
                </w:p>
              </w:tc>
              <w:tc>
                <w:tcPr>
                  <w:tcW w:w="1466"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9mx4mx1.8m</w:t>
                  </w:r>
                </w:p>
              </w:tc>
              <w:tc>
                <w:tcPr>
                  <w:tcW w:w="925"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w:t>
                  </w:r>
                </w:p>
              </w:tc>
              <w:tc>
                <w:tcPr>
                  <w:tcW w:w="925"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70</w:t>
                  </w:r>
                </w:p>
              </w:tc>
              <w:tc>
                <w:tcPr>
                  <w:tcW w:w="98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300</w:t>
                  </w:r>
                </w:p>
              </w:tc>
              <w:tc>
                <w:tcPr>
                  <w:tcW w:w="95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10</w:t>
                  </w:r>
                </w:p>
              </w:tc>
              <w:tc>
                <w:tcPr>
                  <w:tcW w:w="101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47"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shd w:val="clear" w:color="auto" w:fill="auto"/>
                      <w:lang w:val="en-US" w:eastAsia="zh-CN" w:bidi="ar"/>
                    </w:rPr>
                  </w:pPr>
                  <w:r>
                    <w:rPr>
                      <w:rFonts w:hint="eastAsia" w:ascii="宋体" w:hAnsi="宋体" w:eastAsia="宋体" w:cs="宋体"/>
                      <w:i w:val="0"/>
                      <w:iCs w:val="0"/>
                      <w:color w:val="auto"/>
                      <w:kern w:val="0"/>
                      <w:sz w:val="18"/>
                      <w:szCs w:val="18"/>
                      <w:u w:val="none"/>
                      <w:shd w:val="clear" w:color="auto" w:fill="auto"/>
                      <w:lang w:val="en-US" w:eastAsia="zh-CN" w:bidi="ar"/>
                    </w:rPr>
                    <w:t>台车式退火炉</w:t>
                  </w:r>
                </w:p>
              </w:tc>
              <w:tc>
                <w:tcPr>
                  <w:tcW w:w="1466"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shd w:val="clear" w:color="auto" w:fill="auto"/>
                      <w:lang w:val="en-US" w:eastAsia="zh-CN" w:bidi="ar-SA"/>
                    </w:rPr>
                  </w:pPr>
                  <w:r>
                    <w:rPr>
                      <w:rFonts w:hint="default" w:ascii="Times New Roman" w:hAnsi="Times New Roman" w:eastAsia="宋体" w:cs="Times New Roman"/>
                      <w:i w:val="0"/>
                      <w:iCs w:val="0"/>
                      <w:color w:val="auto"/>
                      <w:kern w:val="0"/>
                      <w:sz w:val="18"/>
                      <w:szCs w:val="18"/>
                      <w:u w:val="none"/>
                      <w:shd w:val="clear" w:color="auto" w:fill="auto"/>
                      <w:lang w:val="en-US" w:eastAsia="zh-CN" w:bidi="ar"/>
                    </w:rPr>
                    <w:t>18</w:t>
                  </w:r>
                  <w:r>
                    <w:rPr>
                      <w:rFonts w:hint="eastAsia" w:ascii="宋体" w:hAnsi="宋体" w:eastAsia="宋体" w:cs="宋体"/>
                      <w:i w:val="0"/>
                      <w:iCs w:val="0"/>
                      <w:color w:val="auto"/>
                      <w:kern w:val="0"/>
                      <w:sz w:val="18"/>
                      <w:szCs w:val="18"/>
                      <w:u w:val="none"/>
                      <w:shd w:val="clear" w:color="auto" w:fill="auto"/>
                      <w:lang w:val="en-US" w:eastAsia="zh-CN" w:bidi="ar"/>
                    </w:rPr>
                    <w:t>×</w:t>
                  </w:r>
                  <w:r>
                    <w:rPr>
                      <w:rFonts w:hint="default" w:ascii="Times New Roman" w:hAnsi="Times New Roman" w:eastAsia="宋体" w:cs="Times New Roman"/>
                      <w:i w:val="0"/>
                      <w:iCs w:val="0"/>
                      <w:color w:val="auto"/>
                      <w:kern w:val="0"/>
                      <w:sz w:val="18"/>
                      <w:szCs w:val="18"/>
                      <w:u w:val="none"/>
                      <w:shd w:val="clear" w:color="auto" w:fill="auto"/>
                      <w:lang w:val="en-US" w:eastAsia="zh-CN" w:bidi="ar"/>
                    </w:rPr>
                    <w:t>3.2</w:t>
                  </w:r>
                  <w:r>
                    <w:rPr>
                      <w:rFonts w:hint="eastAsia" w:ascii="宋体" w:hAnsi="宋体" w:eastAsia="宋体" w:cs="宋体"/>
                      <w:i w:val="0"/>
                      <w:iCs w:val="0"/>
                      <w:color w:val="auto"/>
                      <w:kern w:val="0"/>
                      <w:sz w:val="18"/>
                      <w:szCs w:val="18"/>
                      <w:u w:val="none"/>
                      <w:shd w:val="clear" w:color="auto" w:fill="auto"/>
                      <w:lang w:val="en-US" w:eastAsia="zh-CN" w:bidi="ar"/>
                    </w:rPr>
                    <w:t>×</w:t>
                  </w:r>
                  <w:r>
                    <w:rPr>
                      <w:rFonts w:hint="default" w:ascii="Times New Roman" w:hAnsi="Times New Roman" w:eastAsia="宋体" w:cs="Times New Roman"/>
                      <w:i w:val="0"/>
                      <w:iCs w:val="0"/>
                      <w:color w:val="auto"/>
                      <w:kern w:val="0"/>
                      <w:sz w:val="18"/>
                      <w:szCs w:val="18"/>
                      <w:u w:val="none"/>
                      <w:shd w:val="clear" w:color="auto" w:fill="auto"/>
                      <w:lang w:val="en-US" w:eastAsia="zh-CN" w:bidi="ar"/>
                    </w:rPr>
                    <w:t>1.5m</w:t>
                  </w:r>
                </w:p>
              </w:tc>
              <w:tc>
                <w:tcPr>
                  <w:tcW w:w="925"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shd w:val="clear" w:color="auto" w:fill="auto"/>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w:t>
                  </w:r>
                </w:p>
              </w:tc>
              <w:tc>
                <w:tcPr>
                  <w:tcW w:w="925"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shd w:val="clear" w:color="auto" w:fill="auto"/>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120</w:t>
                  </w:r>
                </w:p>
              </w:tc>
              <w:tc>
                <w:tcPr>
                  <w:tcW w:w="98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shd w:val="clear" w:color="auto" w:fill="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300</w:t>
                  </w:r>
                </w:p>
              </w:tc>
              <w:tc>
                <w:tcPr>
                  <w:tcW w:w="95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shd w:val="clear" w:color="auto" w:fill="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10</w:t>
                  </w:r>
                </w:p>
              </w:tc>
              <w:tc>
                <w:tcPr>
                  <w:tcW w:w="101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shd w:val="clear" w:color="auto" w:fill="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3600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47"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电热处理炉</w:t>
                  </w:r>
                </w:p>
              </w:tc>
              <w:tc>
                <w:tcPr>
                  <w:tcW w:w="1466" w:type="dxa"/>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8mx4mx2.5m</w:t>
                  </w:r>
                </w:p>
              </w:tc>
              <w:tc>
                <w:tcPr>
                  <w:tcW w:w="925"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w:t>
                  </w:r>
                </w:p>
              </w:tc>
              <w:tc>
                <w:tcPr>
                  <w:tcW w:w="925"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100</w:t>
                  </w:r>
                </w:p>
              </w:tc>
              <w:tc>
                <w:tcPr>
                  <w:tcW w:w="98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300</w:t>
                  </w:r>
                </w:p>
              </w:tc>
              <w:tc>
                <w:tcPr>
                  <w:tcW w:w="95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10</w:t>
                  </w:r>
                </w:p>
              </w:tc>
              <w:tc>
                <w:tcPr>
                  <w:tcW w:w="101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3000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47"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电热处理炉</w:t>
                  </w:r>
                </w:p>
              </w:tc>
              <w:tc>
                <w:tcPr>
                  <w:tcW w:w="1466" w:type="dxa"/>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5.5mx5.5mx2m</w:t>
                  </w:r>
                </w:p>
              </w:tc>
              <w:tc>
                <w:tcPr>
                  <w:tcW w:w="925"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w:t>
                  </w:r>
                </w:p>
              </w:tc>
              <w:tc>
                <w:tcPr>
                  <w:tcW w:w="925"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80</w:t>
                  </w:r>
                </w:p>
              </w:tc>
              <w:tc>
                <w:tcPr>
                  <w:tcW w:w="98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300</w:t>
                  </w:r>
                </w:p>
              </w:tc>
              <w:tc>
                <w:tcPr>
                  <w:tcW w:w="95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10</w:t>
                  </w:r>
                </w:p>
              </w:tc>
              <w:tc>
                <w:tcPr>
                  <w:tcW w:w="101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47"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电热处理炉</w:t>
                  </w:r>
                </w:p>
              </w:tc>
              <w:tc>
                <w:tcPr>
                  <w:tcW w:w="1466" w:type="dxa"/>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8mx2.5mx2.5m</w:t>
                  </w:r>
                </w:p>
              </w:tc>
              <w:tc>
                <w:tcPr>
                  <w:tcW w:w="925"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2</w:t>
                  </w:r>
                </w:p>
              </w:tc>
              <w:tc>
                <w:tcPr>
                  <w:tcW w:w="925"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100</w:t>
                  </w:r>
                </w:p>
              </w:tc>
              <w:tc>
                <w:tcPr>
                  <w:tcW w:w="98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300</w:t>
                  </w:r>
                </w:p>
              </w:tc>
              <w:tc>
                <w:tcPr>
                  <w:tcW w:w="95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10</w:t>
                  </w:r>
                </w:p>
              </w:tc>
              <w:tc>
                <w:tcPr>
                  <w:tcW w:w="101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47"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电热处理炉</w:t>
                  </w:r>
                </w:p>
              </w:tc>
              <w:tc>
                <w:tcPr>
                  <w:tcW w:w="1466" w:type="dxa"/>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8.5mx4mx2.5m</w:t>
                  </w:r>
                </w:p>
              </w:tc>
              <w:tc>
                <w:tcPr>
                  <w:tcW w:w="925"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w:t>
                  </w:r>
                </w:p>
              </w:tc>
              <w:tc>
                <w:tcPr>
                  <w:tcW w:w="925"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100</w:t>
                  </w:r>
                </w:p>
              </w:tc>
              <w:tc>
                <w:tcPr>
                  <w:tcW w:w="98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300</w:t>
                  </w:r>
                </w:p>
              </w:tc>
              <w:tc>
                <w:tcPr>
                  <w:tcW w:w="95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10</w:t>
                  </w:r>
                </w:p>
              </w:tc>
              <w:tc>
                <w:tcPr>
                  <w:tcW w:w="101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3000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47"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电热处理炉</w:t>
                  </w:r>
                </w:p>
              </w:tc>
              <w:tc>
                <w:tcPr>
                  <w:tcW w:w="1466" w:type="dxa"/>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8mx2.5mx2.5m</w:t>
                  </w:r>
                </w:p>
              </w:tc>
              <w:tc>
                <w:tcPr>
                  <w:tcW w:w="925"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2</w:t>
                  </w:r>
                </w:p>
              </w:tc>
              <w:tc>
                <w:tcPr>
                  <w:tcW w:w="925"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80</w:t>
                  </w:r>
                </w:p>
              </w:tc>
              <w:tc>
                <w:tcPr>
                  <w:tcW w:w="98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300</w:t>
                  </w:r>
                </w:p>
              </w:tc>
              <w:tc>
                <w:tcPr>
                  <w:tcW w:w="95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10</w:t>
                  </w:r>
                </w:p>
              </w:tc>
              <w:tc>
                <w:tcPr>
                  <w:tcW w:w="101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4800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47"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电热处理炉</w:t>
                  </w:r>
                </w:p>
              </w:tc>
              <w:tc>
                <w:tcPr>
                  <w:tcW w:w="1466" w:type="dxa"/>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8mx2.5mx2.5m</w:t>
                  </w:r>
                </w:p>
              </w:tc>
              <w:tc>
                <w:tcPr>
                  <w:tcW w:w="925"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8</w:t>
                  </w:r>
                </w:p>
              </w:tc>
              <w:tc>
                <w:tcPr>
                  <w:tcW w:w="925"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80</w:t>
                  </w:r>
                </w:p>
              </w:tc>
              <w:tc>
                <w:tcPr>
                  <w:tcW w:w="98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300</w:t>
                  </w:r>
                </w:p>
              </w:tc>
              <w:tc>
                <w:tcPr>
                  <w:tcW w:w="95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10</w:t>
                  </w:r>
                </w:p>
              </w:tc>
              <w:tc>
                <w:tcPr>
                  <w:tcW w:w="101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19200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47"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电热处理炉</w:t>
                  </w:r>
                </w:p>
              </w:tc>
              <w:tc>
                <w:tcPr>
                  <w:tcW w:w="1466" w:type="dxa"/>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8mx4mx*2.5m</w:t>
                  </w:r>
                </w:p>
              </w:tc>
              <w:tc>
                <w:tcPr>
                  <w:tcW w:w="925"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w:t>
                  </w:r>
                </w:p>
              </w:tc>
              <w:tc>
                <w:tcPr>
                  <w:tcW w:w="925"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70</w:t>
                  </w:r>
                </w:p>
              </w:tc>
              <w:tc>
                <w:tcPr>
                  <w:tcW w:w="98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300</w:t>
                  </w:r>
                </w:p>
              </w:tc>
              <w:tc>
                <w:tcPr>
                  <w:tcW w:w="95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10</w:t>
                  </w:r>
                </w:p>
              </w:tc>
              <w:tc>
                <w:tcPr>
                  <w:tcW w:w="101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47"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电热处理炉</w:t>
                  </w:r>
                </w:p>
              </w:tc>
              <w:tc>
                <w:tcPr>
                  <w:tcW w:w="1466" w:type="dxa"/>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8mx4mx2.5m</w:t>
                  </w:r>
                </w:p>
              </w:tc>
              <w:tc>
                <w:tcPr>
                  <w:tcW w:w="925"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2</w:t>
                  </w:r>
                </w:p>
              </w:tc>
              <w:tc>
                <w:tcPr>
                  <w:tcW w:w="925"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80</w:t>
                  </w:r>
                </w:p>
              </w:tc>
              <w:tc>
                <w:tcPr>
                  <w:tcW w:w="98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300</w:t>
                  </w:r>
                </w:p>
              </w:tc>
              <w:tc>
                <w:tcPr>
                  <w:tcW w:w="95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10</w:t>
                  </w:r>
                </w:p>
              </w:tc>
              <w:tc>
                <w:tcPr>
                  <w:tcW w:w="101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4800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47"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电热处理炉</w:t>
                  </w:r>
                </w:p>
              </w:tc>
              <w:tc>
                <w:tcPr>
                  <w:tcW w:w="1466" w:type="dxa"/>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5.5mx5.5mx1.8m</w:t>
                  </w:r>
                </w:p>
              </w:tc>
              <w:tc>
                <w:tcPr>
                  <w:tcW w:w="925"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w:t>
                  </w:r>
                </w:p>
              </w:tc>
              <w:tc>
                <w:tcPr>
                  <w:tcW w:w="925"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70</w:t>
                  </w:r>
                </w:p>
              </w:tc>
              <w:tc>
                <w:tcPr>
                  <w:tcW w:w="98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300</w:t>
                  </w:r>
                </w:p>
              </w:tc>
              <w:tc>
                <w:tcPr>
                  <w:tcW w:w="95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10</w:t>
                  </w:r>
                </w:p>
              </w:tc>
              <w:tc>
                <w:tcPr>
                  <w:tcW w:w="101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47"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电热处理炉</w:t>
                  </w:r>
                </w:p>
              </w:tc>
              <w:tc>
                <w:tcPr>
                  <w:tcW w:w="1466"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8mx2.5mx2.5m</w:t>
                  </w:r>
                </w:p>
              </w:tc>
              <w:tc>
                <w:tcPr>
                  <w:tcW w:w="925"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2</w:t>
                  </w:r>
                </w:p>
              </w:tc>
              <w:tc>
                <w:tcPr>
                  <w:tcW w:w="925"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50</w:t>
                  </w:r>
                </w:p>
              </w:tc>
              <w:tc>
                <w:tcPr>
                  <w:tcW w:w="98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300</w:t>
                  </w:r>
                </w:p>
              </w:tc>
              <w:tc>
                <w:tcPr>
                  <w:tcW w:w="95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10</w:t>
                  </w:r>
                </w:p>
              </w:tc>
              <w:tc>
                <w:tcPr>
                  <w:tcW w:w="101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3000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47"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电热处理炉</w:t>
                  </w:r>
                </w:p>
              </w:tc>
              <w:tc>
                <w:tcPr>
                  <w:tcW w:w="1466"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8mx2.5mx2.5m</w:t>
                  </w:r>
                </w:p>
              </w:tc>
              <w:tc>
                <w:tcPr>
                  <w:tcW w:w="925"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2</w:t>
                  </w:r>
                </w:p>
              </w:tc>
              <w:tc>
                <w:tcPr>
                  <w:tcW w:w="925"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40</w:t>
                  </w:r>
                </w:p>
              </w:tc>
              <w:tc>
                <w:tcPr>
                  <w:tcW w:w="98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300</w:t>
                  </w:r>
                </w:p>
              </w:tc>
              <w:tc>
                <w:tcPr>
                  <w:tcW w:w="95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10</w:t>
                  </w:r>
                </w:p>
              </w:tc>
              <w:tc>
                <w:tcPr>
                  <w:tcW w:w="101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47"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电热处理炉</w:t>
                  </w:r>
                </w:p>
              </w:tc>
              <w:tc>
                <w:tcPr>
                  <w:tcW w:w="1466"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8mx4mx3m</w:t>
                  </w:r>
                </w:p>
              </w:tc>
              <w:tc>
                <w:tcPr>
                  <w:tcW w:w="925"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w:t>
                  </w:r>
                </w:p>
              </w:tc>
              <w:tc>
                <w:tcPr>
                  <w:tcW w:w="925"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50</w:t>
                  </w:r>
                </w:p>
              </w:tc>
              <w:tc>
                <w:tcPr>
                  <w:tcW w:w="98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300</w:t>
                  </w:r>
                </w:p>
              </w:tc>
              <w:tc>
                <w:tcPr>
                  <w:tcW w:w="95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10</w:t>
                  </w:r>
                </w:p>
              </w:tc>
              <w:tc>
                <w:tcPr>
                  <w:tcW w:w="101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47"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电热处理炉</w:t>
                  </w:r>
                </w:p>
              </w:tc>
              <w:tc>
                <w:tcPr>
                  <w:tcW w:w="1466"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8mx4mx3m</w:t>
                  </w:r>
                </w:p>
              </w:tc>
              <w:tc>
                <w:tcPr>
                  <w:tcW w:w="925"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w:t>
                  </w:r>
                </w:p>
              </w:tc>
              <w:tc>
                <w:tcPr>
                  <w:tcW w:w="925"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60</w:t>
                  </w:r>
                </w:p>
              </w:tc>
              <w:tc>
                <w:tcPr>
                  <w:tcW w:w="98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300</w:t>
                  </w:r>
                </w:p>
              </w:tc>
              <w:tc>
                <w:tcPr>
                  <w:tcW w:w="95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10</w:t>
                  </w:r>
                </w:p>
              </w:tc>
              <w:tc>
                <w:tcPr>
                  <w:tcW w:w="101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1800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50" w:type="pct"/>
                  <w:gridSpan w:val="6"/>
                  <w:shd w:val="clear" w:color="auto" w:fill="auto"/>
                  <w:noWrap w:val="0"/>
                  <w:vAlign w:val="center"/>
                </w:tcPr>
                <w:p>
                  <w:pPr>
                    <w:snapToGrid w:val="0"/>
                    <w:jc w:val="center"/>
                    <w:rPr>
                      <w:rFonts w:hint="eastAsia" w:ascii="Times New Roman" w:hAnsi="Times New Roman"/>
                      <w:color w:val="auto"/>
                      <w:sz w:val="18"/>
                      <w:szCs w:val="18"/>
                      <w:lang w:val="en-US" w:eastAsia="zh-CN"/>
                    </w:rPr>
                  </w:pPr>
                  <w:r>
                    <w:rPr>
                      <w:rFonts w:hint="eastAsia" w:ascii="Times New Roman" w:hAnsi="Times New Roman"/>
                      <w:color w:val="auto"/>
                      <w:sz w:val="18"/>
                      <w:szCs w:val="18"/>
                      <w:lang w:val="en-US" w:eastAsia="zh-CN"/>
                    </w:rPr>
                    <w:t>合计</w:t>
                  </w:r>
                </w:p>
              </w:tc>
              <w:tc>
                <w:tcPr>
                  <w:tcW w:w="649" w:type="pct"/>
                  <w:noWrap w:val="0"/>
                  <w:vAlign w:val="center"/>
                </w:tcPr>
                <w:p>
                  <w:pPr>
                    <w:snapToGrid w:val="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7</w:t>
                  </w:r>
                  <w:r>
                    <w:rPr>
                      <w:rFonts w:hint="eastAsia" w:cs="Times New Roman"/>
                      <w:color w:val="auto"/>
                      <w:sz w:val="18"/>
                      <w:szCs w:val="18"/>
                      <w:lang w:val="en-US" w:eastAsia="zh-CN"/>
                    </w:rPr>
                    <w:t>5</w:t>
                  </w:r>
                  <w:r>
                    <w:rPr>
                      <w:rFonts w:hint="eastAsia" w:ascii="Times New Roman" w:hAnsi="Times New Roman" w:eastAsia="宋体" w:cs="Times New Roman"/>
                      <w:color w:val="auto"/>
                      <w:sz w:val="18"/>
                      <w:szCs w:val="18"/>
                      <w:lang w:val="en-US" w:eastAsia="zh-CN"/>
                    </w:rPr>
                    <w:t>000</w:t>
                  </w:r>
                </w:p>
              </w:tc>
            </w:tr>
          </w:tbl>
          <w:p>
            <w:pPr>
              <w:spacing w:line="500" w:lineRule="exact"/>
              <w:jc w:val="center"/>
              <w:rPr>
                <w:rFonts w:ascii="Times New Roman" w:hAnsi="Times New Roman" w:eastAsia="宋体" w:cs="Times New Roman"/>
                <w:b/>
                <w:bCs/>
                <w:color w:val="auto"/>
              </w:rPr>
            </w:pPr>
            <w:r>
              <w:rPr>
                <w:rFonts w:ascii="Times New Roman" w:hAnsi="Times New Roman" w:eastAsia="宋体" w:cs="Times New Roman"/>
                <w:b/>
                <w:bCs/>
                <w:color w:val="auto"/>
              </w:rPr>
              <w:t>表</w:t>
            </w:r>
            <w:r>
              <w:rPr>
                <w:rFonts w:hint="eastAsia" w:ascii="Times New Roman" w:hAnsi="Times New Roman" w:eastAsia="宋体" w:cs="Times New Roman"/>
                <w:b/>
                <w:bCs/>
                <w:color w:val="auto"/>
              </w:rPr>
              <w:t>2</w:t>
            </w:r>
            <w:r>
              <w:rPr>
                <w:rFonts w:ascii="Times New Roman" w:hAnsi="Times New Roman" w:eastAsia="宋体" w:cs="Times New Roman"/>
                <w:b/>
                <w:bCs/>
                <w:color w:val="auto"/>
              </w:rPr>
              <w:t>-</w:t>
            </w:r>
            <w:r>
              <w:rPr>
                <w:rFonts w:hint="eastAsia" w:cs="Times New Roman"/>
                <w:b/>
                <w:bCs/>
                <w:color w:val="auto"/>
                <w:lang w:val="en-US" w:eastAsia="zh-CN"/>
              </w:rPr>
              <w:t>16</w:t>
            </w:r>
            <w:r>
              <w:rPr>
                <w:rFonts w:ascii="Times New Roman" w:hAnsi="Times New Roman" w:eastAsia="宋体" w:cs="Times New Roman"/>
                <w:b/>
                <w:bCs/>
                <w:color w:val="auto"/>
              </w:rPr>
              <w:t xml:space="preserve">  </w:t>
            </w:r>
            <w:r>
              <w:rPr>
                <w:rFonts w:hint="eastAsia" w:ascii="Times New Roman" w:hAnsi="Times New Roman" w:eastAsia="宋体" w:cs="Times New Roman"/>
                <w:b/>
                <w:bCs/>
                <w:color w:val="auto"/>
                <w:lang w:eastAsia="zh-CN"/>
              </w:rPr>
              <w:t>热处理工序</w:t>
            </w:r>
            <w:r>
              <w:rPr>
                <w:rFonts w:hint="eastAsia" w:ascii="Times New Roman" w:hAnsi="Times New Roman" w:eastAsia="宋体" w:cs="Times New Roman"/>
                <w:b/>
                <w:bCs/>
                <w:color w:val="auto"/>
                <w:lang w:val="en-US" w:eastAsia="zh-CN"/>
              </w:rPr>
              <w:t>改扩建</w:t>
            </w:r>
            <w:r>
              <w:rPr>
                <w:rFonts w:hint="eastAsia" w:ascii="Times New Roman" w:hAnsi="Times New Roman" w:eastAsia="宋体" w:cs="Times New Roman"/>
                <w:b/>
                <w:bCs/>
                <w:color w:val="auto"/>
                <w:lang w:eastAsia="zh-CN"/>
              </w:rPr>
              <w:t>设计产能</w:t>
            </w:r>
            <w:r>
              <w:rPr>
                <w:rFonts w:hint="eastAsia" w:ascii="Times New Roman" w:hAnsi="Times New Roman" w:eastAsia="宋体" w:cs="Times New Roman"/>
                <w:b/>
                <w:bCs/>
                <w:color w:val="auto"/>
              </w:rPr>
              <w:t>表</w:t>
            </w:r>
          </w:p>
          <w:tbl>
            <w:tblPr>
              <w:tblStyle w:val="21"/>
              <w:tblW w:w="4902"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47"/>
              <w:gridCol w:w="1466"/>
              <w:gridCol w:w="925"/>
              <w:gridCol w:w="925"/>
              <w:gridCol w:w="981"/>
              <w:gridCol w:w="958"/>
              <w:gridCol w:w="10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9" w:type="pct"/>
                  <w:noWrap w:val="0"/>
                  <w:vAlign w:val="center"/>
                </w:tcPr>
                <w:p>
                  <w:pPr>
                    <w:jc w:val="center"/>
                    <w:rPr>
                      <w:color w:val="auto"/>
                      <w:sz w:val="18"/>
                      <w:szCs w:val="18"/>
                    </w:rPr>
                  </w:pPr>
                  <w:r>
                    <w:rPr>
                      <w:rFonts w:hint="eastAsia"/>
                      <w:color w:val="auto"/>
                      <w:sz w:val="18"/>
                      <w:szCs w:val="18"/>
                    </w:rPr>
                    <w:t>设备</w:t>
                  </w:r>
                  <w:r>
                    <w:rPr>
                      <w:color w:val="auto"/>
                      <w:sz w:val="18"/>
                      <w:szCs w:val="18"/>
                    </w:rPr>
                    <w:t>名称</w:t>
                  </w:r>
                </w:p>
              </w:tc>
              <w:tc>
                <w:tcPr>
                  <w:tcW w:w="937" w:type="pct"/>
                  <w:noWrap w:val="0"/>
                  <w:vAlign w:val="center"/>
                </w:tcPr>
                <w:p>
                  <w:pPr>
                    <w:jc w:val="center"/>
                    <w:rPr>
                      <w:color w:val="auto"/>
                      <w:sz w:val="18"/>
                      <w:szCs w:val="18"/>
                    </w:rPr>
                  </w:pPr>
                  <w:r>
                    <w:rPr>
                      <w:color w:val="auto"/>
                      <w:sz w:val="18"/>
                      <w:szCs w:val="18"/>
                    </w:rPr>
                    <w:t>型号</w:t>
                  </w:r>
                </w:p>
              </w:tc>
              <w:tc>
                <w:tcPr>
                  <w:tcW w:w="591" w:type="pct"/>
                  <w:noWrap w:val="0"/>
                  <w:vAlign w:val="center"/>
                </w:tcPr>
                <w:p>
                  <w:pPr>
                    <w:jc w:val="center"/>
                    <w:rPr>
                      <w:color w:val="auto"/>
                      <w:sz w:val="18"/>
                      <w:szCs w:val="18"/>
                    </w:rPr>
                  </w:pPr>
                  <w:r>
                    <w:rPr>
                      <w:color w:val="auto"/>
                      <w:sz w:val="18"/>
                      <w:szCs w:val="18"/>
                    </w:rPr>
                    <w:t>数量</w:t>
                  </w:r>
                  <w:r>
                    <w:rPr>
                      <w:rFonts w:hint="eastAsia"/>
                      <w:color w:val="auto"/>
                      <w:sz w:val="18"/>
                      <w:szCs w:val="18"/>
                    </w:rPr>
                    <w:t>（台/套）</w:t>
                  </w:r>
                </w:p>
              </w:tc>
              <w:tc>
                <w:tcPr>
                  <w:tcW w:w="591" w:type="pct"/>
                  <w:noWrap w:val="0"/>
                  <w:vAlign w:val="center"/>
                </w:tcPr>
                <w:p>
                  <w:pPr>
                    <w:jc w:val="center"/>
                    <w:rPr>
                      <w:rFonts w:hint="eastAsia"/>
                      <w:color w:val="auto"/>
                      <w:sz w:val="18"/>
                      <w:szCs w:val="18"/>
                    </w:rPr>
                  </w:pPr>
                  <w:r>
                    <w:rPr>
                      <w:rFonts w:hint="eastAsia"/>
                      <w:color w:val="auto"/>
                      <w:sz w:val="18"/>
                      <w:szCs w:val="18"/>
                      <w:lang w:eastAsia="zh-CN"/>
                    </w:rPr>
                    <w:t>加热</w:t>
                  </w:r>
                  <w:r>
                    <w:rPr>
                      <w:rFonts w:hint="eastAsia"/>
                      <w:color w:val="auto"/>
                      <w:sz w:val="18"/>
                      <w:szCs w:val="18"/>
                    </w:rPr>
                    <w:t>能力（</w:t>
                  </w:r>
                  <w:r>
                    <w:rPr>
                      <w:rFonts w:hint="eastAsia"/>
                      <w:color w:val="auto"/>
                      <w:sz w:val="18"/>
                      <w:szCs w:val="18"/>
                      <w:lang w:val="en-US" w:eastAsia="zh-CN"/>
                    </w:rPr>
                    <w:t>t/次</w:t>
                  </w:r>
                  <w:r>
                    <w:rPr>
                      <w:rFonts w:hint="eastAsia"/>
                      <w:color w:val="auto"/>
                      <w:sz w:val="18"/>
                      <w:szCs w:val="18"/>
                    </w:rPr>
                    <w:t>）</w:t>
                  </w:r>
                </w:p>
              </w:tc>
              <w:tc>
                <w:tcPr>
                  <w:tcW w:w="627" w:type="pct"/>
                  <w:noWrap w:val="0"/>
                  <w:vAlign w:val="center"/>
                </w:tcPr>
                <w:p>
                  <w:pPr>
                    <w:jc w:val="center"/>
                    <w:rPr>
                      <w:color w:val="auto"/>
                      <w:sz w:val="18"/>
                      <w:szCs w:val="18"/>
                    </w:rPr>
                  </w:pPr>
                  <w:r>
                    <w:rPr>
                      <w:rFonts w:hint="eastAsia"/>
                      <w:color w:val="auto"/>
                      <w:sz w:val="18"/>
                      <w:szCs w:val="18"/>
                    </w:rPr>
                    <w:t>工作天数</w:t>
                  </w:r>
                </w:p>
                <w:p>
                  <w:pPr>
                    <w:jc w:val="center"/>
                    <w:rPr>
                      <w:rFonts w:hint="eastAsia"/>
                      <w:color w:val="auto"/>
                      <w:sz w:val="18"/>
                      <w:szCs w:val="18"/>
                    </w:rPr>
                  </w:pPr>
                  <w:r>
                    <w:rPr>
                      <w:rFonts w:hint="eastAsia"/>
                      <w:color w:val="auto"/>
                      <w:sz w:val="18"/>
                      <w:szCs w:val="18"/>
                    </w:rPr>
                    <w:t>（天）</w:t>
                  </w:r>
                </w:p>
              </w:tc>
              <w:tc>
                <w:tcPr>
                  <w:tcW w:w="612" w:type="pct"/>
                  <w:noWrap w:val="0"/>
                  <w:vAlign w:val="center"/>
                </w:tcPr>
                <w:p>
                  <w:pPr>
                    <w:jc w:val="center"/>
                    <w:rPr>
                      <w:rFonts w:hint="eastAsia"/>
                      <w:color w:val="auto"/>
                      <w:sz w:val="18"/>
                      <w:szCs w:val="18"/>
                    </w:rPr>
                  </w:pPr>
                  <w:r>
                    <w:rPr>
                      <w:rFonts w:hint="eastAsia"/>
                      <w:color w:val="auto"/>
                      <w:sz w:val="18"/>
                      <w:szCs w:val="18"/>
                      <w:lang w:eastAsia="zh-CN"/>
                    </w:rPr>
                    <w:t>加热周期</w:t>
                  </w:r>
                  <w:r>
                    <w:rPr>
                      <w:rFonts w:hint="eastAsia"/>
                      <w:color w:val="auto"/>
                      <w:sz w:val="18"/>
                      <w:szCs w:val="18"/>
                    </w:rPr>
                    <w:t>（</w:t>
                  </w:r>
                  <w:r>
                    <w:rPr>
                      <w:color w:val="auto"/>
                      <w:sz w:val="18"/>
                      <w:szCs w:val="18"/>
                    </w:rPr>
                    <w:t>d</w:t>
                  </w:r>
                  <w:r>
                    <w:rPr>
                      <w:rFonts w:hint="eastAsia"/>
                      <w:color w:val="auto"/>
                      <w:sz w:val="18"/>
                      <w:szCs w:val="18"/>
                    </w:rPr>
                    <w:t>）</w:t>
                  </w:r>
                </w:p>
              </w:tc>
              <w:tc>
                <w:tcPr>
                  <w:tcW w:w="649" w:type="pct"/>
                  <w:noWrap w:val="0"/>
                  <w:vAlign w:val="center"/>
                </w:tcPr>
                <w:p>
                  <w:pPr>
                    <w:jc w:val="center"/>
                    <w:rPr>
                      <w:color w:val="auto"/>
                      <w:sz w:val="18"/>
                      <w:szCs w:val="18"/>
                    </w:rPr>
                  </w:pPr>
                  <w:r>
                    <w:rPr>
                      <w:rFonts w:hint="eastAsia"/>
                      <w:color w:val="auto"/>
                      <w:sz w:val="18"/>
                      <w:szCs w:val="18"/>
                    </w:rPr>
                    <w:t>设备产能</w:t>
                  </w:r>
                </w:p>
                <w:p>
                  <w:pPr>
                    <w:jc w:val="center"/>
                    <w:rPr>
                      <w:rFonts w:hint="eastAsia" w:eastAsia="宋体"/>
                      <w:color w:val="auto"/>
                      <w:sz w:val="18"/>
                      <w:szCs w:val="18"/>
                      <w:lang w:eastAsia="zh-CN"/>
                    </w:rPr>
                  </w:pPr>
                  <w:r>
                    <w:rPr>
                      <w:color w:val="auto"/>
                      <w:sz w:val="18"/>
                      <w:szCs w:val="18"/>
                    </w:rPr>
                    <w:t>（</w:t>
                  </w:r>
                  <w:r>
                    <w:rPr>
                      <w:rFonts w:hint="eastAsia"/>
                      <w:color w:val="auto"/>
                      <w:sz w:val="18"/>
                      <w:szCs w:val="18"/>
                    </w:rPr>
                    <w:t>t/a</w:t>
                  </w:r>
                  <w:r>
                    <w:rPr>
                      <w:color w:val="auto"/>
                      <w:sz w:val="18"/>
                      <w:szCs w:val="1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9" w:type="pct"/>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2"/>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台车式退火炉</w:t>
                  </w:r>
                </w:p>
              </w:tc>
              <w:tc>
                <w:tcPr>
                  <w:tcW w:w="937"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15mx3.2mx2.1m</w:t>
                  </w:r>
                </w:p>
              </w:tc>
              <w:tc>
                <w:tcPr>
                  <w:tcW w:w="925"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w:t>
                  </w:r>
                </w:p>
              </w:tc>
              <w:tc>
                <w:tcPr>
                  <w:tcW w:w="925"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100</w:t>
                  </w:r>
                </w:p>
              </w:tc>
              <w:tc>
                <w:tcPr>
                  <w:tcW w:w="98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300</w:t>
                  </w:r>
                </w:p>
              </w:tc>
              <w:tc>
                <w:tcPr>
                  <w:tcW w:w="95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10</w:t>
                  </w:r>
                </w:p>
              </w:tc>
              <w:tc>
                <w:tcPr>
                  <w:tcW w:w="101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3000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9" w:type="pct"/>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台车式退火炉</w:t>
                  </w:r>
                </w:p>
              </w:tc>
              <w:tc>
                <w:tcPr>
                  <w:tcW w:w="937"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12mx3.2mx2.1m</w:t>
                  </w:r>
                </w:p>
              </w:tc>
              <w:tc>
                <w:tcPr>
                  <w:tcW w:w="925"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w:t>
                  </w:r>
                </w:p>
              </w:tc>
              <w:tc>
                <w:tcPr>
                  <w:tcW w:w="925"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100</w:t>
                  </w:r>
                </w:p>
              </w:tc>
              <w:tc>
                <w:tcPr>
                  <w:tcW w:w="98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300</w:t>
                  </w:r>
                </w:p>
              </w:tc>
              <w:tc>
                <w:tcPr>
                  <w:tcW w:w="95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10</w:t>
                  </w:r>
                </w:p>
              </w:tc>
              <w:tc>
                <w:tcPr>
                  <w:tcW w:w="101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3000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9" w:type="pct"/>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台车式退火炉</w:t>
                  </w:r>
                </w:p>
              </w:tc>
              <w:tc>
                <w:tcPr>
                  <w:tcW w:w="937"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12mx3.2mx2.1m</w:t>
                  </w:r>
                </w:p>
              </w:tc>
              <w:tc>
                <w:tcPr>
                  <w:tcW w:w="925"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w:t>
                  </w:r>
                </w:p>
              </w:tc>
              <w:tc>
                <w:tcPr>
                  <w:tcW w:w="925"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100</w:t>
                  </w:r>
                </w:p>
              </w:tc>
              <w:tc>
                <w:tcPr>
                  <w:tcW w:w="98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300</w:t>
                  </w:r>
                </w:p>
              </w:tc>
              <w:tc>
                <w:tcPr>
                  <w:tcW w:w="95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10</w:t>
                  </w:r>
                </w:p>
              </w:tc>
              <w:tc>
                <w:tcPr>
                  <w:tcW w:w="101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3000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9" w:type="pct"/>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台车式退火炉</w:t>
                  </w:r>
                </w:p>
              </w:tc>
              <w:tc>
                <w:tcPr>
                  <w:tcW w:w="937"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9mx3.2mx1.5m</w:t>
                  </w:r>
                </w:p>
              </w:tc>
              <w:tc>
                <w:tcPr>
                  <w:tcW w:w="925"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2</w:t>
                  </w:r>
                </w:p>
              </w:tc>
              <w:tc>
                <w:tcPr>
                  <w:tcW w:w="925"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70</w:t>
                  </w:r>
                </w:p>
              </w:tc>
              <w:tc>
                <w:tcPr>
                  <w:tcW w:w="98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300</w:t>
                  </w:r>
                </w:p>
              </w:tc>
              <w:tc>
                <w:tcPr>
                  <w:tcW w:w="95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10</w:t>
                  </w:r>
                </w:p>
              </w:tc>
              <w:tc>
                <w:tcPr>
                  <w:tcW w:w="101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4200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9" w:type="pct"/>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台车式退火炉</w:t>
                  </w:r>
                </w:p>
              </w:tc>
              <w:tc>
                <w:tcPr>
                  <w:tcW w:w="937"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9mx4mx1.8m</w:t>
                  </w:r>
                </w:p>
              </w:tc>
              <w:tc>
                <w:tcPr>
                  <w:tcW w:w="925"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w:t>
                  </w:r>
                </w:p>
              </w:tc>
              <w:tc>
                <w:tcPr>
                  <w:tcW w:w="925"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70</w:t>
                  </w:r>
                </w:p>
              </w:tc>
              <w:tc>
                <w:tcPr>
                  <w:tcW w:w="98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300</w:t>
                  </w:r>
                </w:p>
              </w:tc>
              <w:tc>
                <w:tcPr>
                  <w:tcW w:w="95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10</w:t>
                  </w:r>
                </w:p>
              </w:tc>
              <w:tc>
                <w:tcPr>
                  <w:tcW w:w="101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9"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电热处理炉</w:t>
                  </w:r>
                </w:p>
              </w:tc>
              <w:tc>
                <w:tcPr>
                  <w:tcW w:w="937" w:type="pct"/>
                  <w:shd w:val="clear" w:color="auto" w:fill="auto"/>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8mx4mx2.5m</w:t>
                  </w:r>
                </w:p>
              </w:tc>
              <w:tc>
                <w:tcPr>
                  <w:tcW w:w="925"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w:t>
                  </w:r>
                </w:p>
              </w:tc>
              <w:tc>
                <w:tcPr>
                  <w:tcW w:w="925"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60</w:t>
                  </w:r>
                </w:p>
              </w:tc>
              <w:tc>
                <w:tcPr>
                  <w:tcW w:w="98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300</w:t>
                  </w:r>
                </w:p>
              </w:tc>
              <w:tc>
                <w:tcPr>
                  <w:tcW w:w="95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10</w:t>
                  </w:r>
                </w:p>
              </w:tc>
              <w:tc>
                <w:tcPr>
                  <w:tcW w:w="101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1800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9"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电热处理炉</w:t>
                  </w:r>
                </w:p>
              </w:tc>
              <w:tc>
                <w:tcPr>
                  <w:tcW w:w="937"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5.5mx5.5mx2m</w:t>
                  </w:r>
                </w:p>
              </w:tc>
              <w:tc>
                <w:tcPr>
                  <w:tcW w:w="925"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w:t>
                  </w:r>
                </w:p>
              </w:tc>
              <w:tc>
                <w:tcPr>
                  <w:tcW w:w="925"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80</w:t>
                  </w:r>
                </w:p>
              </w:tc>
              <w:tc>
                <w:tcPr>
                  <w:tcW w:w="98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300</w:t>
                  </w:r>
                </w:p>
              </w:tc>
              <w:tc>
                <w:tcPr>
                  <w:tcW w:w="95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10</w:t>
                  </w:r>
                </w:p>
              </w:tc>
              <w:tc>
                <w:tcPr>
                  <w:tcW w:w="101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9"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电热处理炉</w:t>
                  </w:r>
                </w:p>
              </w:tc>
              <w:tc>
                <w:tcPr>
                  <w:tcW w:w="937" w:type="pct"/>
                  <w:shd w:val="clear" w:color="auto" w:fill="auto"/>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8mx2.5mx2.5m</w:t>
                  </w:r>
                </w:p>
              </w:tc>
              <w:tc>
                <w:tcPr>
                  <w:tcW w:w="925"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2</w:t>
                  </w:r>
                </w:p>
              </w:tc>
              <w:tc>
                <w:tcPr>
                  <w:tcW w:w="925"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100</w:t>
                  </w:r>
                </w:p>
              </w:tc>
              <w:tc>
                <w:tcPr>
                  <w:tcW w:w="98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300</w:t>
                  </w:r>
                </w:p>
              </w:tc>
              <w:tc>
                <w:tcPr>
                  <w:tcW w:w="95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10</w:t>
                  </w:r>
                </w:p>
              </w:tc>
              <w:tc>
                <w:tcPr>
                  <w:tcW w:w="101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9"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电热处理炉</w:t>
                  </w:r>
                </w:p>
              </w:tc>
              <w:tc>
                <w:tcPr>
                  <w:tcW w:w="937" w:type="pct"/>
                  <w:shd w:val="clear" w:color="auto" w:fill="auto"/>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8.5mx4mx2.5m</w:t>
                  </w:r>
                </w:p>
              </w:tc>
              <w:tc>
                <w:tcPr>
                  <w:tcW w:w="925"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w:t>
                  </w:r>
                </w:p>
              </w:tc>
              <w:tc>
                <w:tcPr>
                  <w:tcW w:w="925"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100</w:t>
                  </w:r>
                </w:p>
              </w:tc>
              <w:tc>
                <w:tcPr>
                  <w:tcW w:w="98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300</w:t>
                  </w:r>
                </w:p>
              </w:tc>
              <w:tc>
                <w:tcPr>
                  <w:tcW w:w="95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10</w:t>
                  </w:r>
                </w:p>
              </w:tc>
              <w:tc>
                <w:tcPr>
                  <w:tcW w:w="101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3000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9"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电热处理炉</w:t>
                  </w:r>
                </w:p>
              </w:tc>
              <w:tc>
                <w:tcPr>
                  <w:tcW w:w="937" w:type="pct"/>
                  <w:shd w:val="clear" w:color="auto" w:fill="auto"/>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8mx2.5mx2.5m</w:t>
                  </w:r>
                </w:p>
              </w:tc>
              <w:tc>
                <w:tcPr>
                  <w:tcW w:w="925"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2</w:t>
                  </w:r>
                </w:p>
              </w:tc>
              <w:tc>
                <w:tcPr>
                  <w:tcW w:w="925"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80</w:t>
                  </w:r>
                </w:p>
              </w:tc>
              <w:tc>
                <w:tcPr>
                  <w:tcW w:w="98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300</w:t>
                  </w:r>
                </w:p>
              </w:tc>
              <w:tc>
                <w:tcPr>
                  <w:tcW w:w="95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10</w:t>
                  </w:r>
                </w:p>
              </w:tc>
              <w:tc>
                <w:tcPr>
                  <w:tcW w:w="101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4800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9"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电热处理炉</w:t>
                  </w:r>
                </w:p>
              </w:tc>
              <w:tc>
                <w:tcPr>
                  <w:tcW w:w="937"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8mx2.5mx2.5m</w:t>
                  </w:r>
                </w:p>
              </w:tc>
              <w:tc>
                <w:tcPr>
                  <w:tcW w:w="925"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8</w:t>
                  </w:r>
                </w:p>
              </w:tc>
              <w:tc>
                <w:tcPr>
                  <w:tcW w:w="925"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80</w:t>
                  </w:r>
                </w:p>
              </w:tc>
              <w:tc>
                <w:tcPr>
                  <w:tcW w:w="98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300</w:t>
                  </w:r>
                </w:p>
              </w:tc>
              <w:tc>
                <w:tcPr>
                  <w:tcW w:w="95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10</w:t>
                  </w:r>
                </w:p>
              </w:tc>
              <w:tc>
                <w:tcPr>
                  <w:tcW w:w="101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19200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9"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电热处理炉</w:t>
                  </w:r>
                </w:p>
              </w:tc>
              <w:tc>
                <w:tcPr>
                  <w:tcW w:w="937"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8mx4mx*2.5m</w:t>
                  </w:r>
                </w:p>
              </w:tc>
              <w:tc>
                <w:tcPr>
                  <w:tcW w:w="925"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w:t>
                  </w:r>
                </w:p>
              </w:tc>
              <w:tc>
                <w:tcPr>
                  <w:tcW w:w="925"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70</w:t>
                  </w:r>
                </w:p>
              </w:tc>
              <w:tc>
                <w:tcPr>
                  <w:tcW w:w="98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300</w:t>
                  </w:r>
                </w:p>
              </w:tc>
              <w:tc>
                <w:tcPr>
                  <w:tcW w:w="95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10</w:t>
                  </w:r>
                </w:p>
              </w:tc>
              <w:tc>
                <w:tcPr>
                  <w:tcW w:w="101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9"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电热处理炉</w:t>
                  </w:r>
                </w:p>
              </w:tc>
              <w:tc>
                <w:tcPr>
                  <w:tcW w:w="937"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8mx4000x2500</w:t>
                  </w:r>
                </w:p>
              </w:tc>
              <w:tc>
                <w:tcPr>
                  <w:tcW w:w="925"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2</w:t>
                  </w:r>
                </w:p>
              </w:tc>
              <w:tc>
                <w:tcPr>
                  <w:tcW w:w="925"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80</w:t>
                  </w:r>
                </w:p>
              </w:tc>
              <w:tc>
                <w:tcPr>
                  <w:tcW w:w="98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300</w:t>
                  </w:r>
                </w:p>
              </w:tc>
              <w:tc>
                <w:tcPr>
                  <w:tcW w:w="95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10</w:t>
                  </w:r>
                </w:p>
              </w:tc>
              <w:tc>
                <w:tcPr>
                  <w:tcW w:w="101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4800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9"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电热处理炉</w:t>
                  </w:r>
                </w:p>
              </w:tc>
              <w:tc>
                <w:tcPr>
                  <w:tcW w:w="937" w:type="pct"/>
                  <w:shd w:val="clear" w:color="auto" w:fill="auto"/>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5.5mx5.5mx1.8m</w:t>
                  </w:r>
                </w:p>
              </w:tc>
              <w:tc>
                <w:tcPr>
                  <w:tcW w:w="925"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w:t>
                  </w:r>
                </w:p>
              </w:tc>
              <w:tc>
                <w:tcPr>
                  <w:tcW w:w="925"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70</w:t>
                  </w:r>
                </w:p>
              </w:tc>
              <w:tc>
                <w:tcPr>
                  <w:tcW w:w="98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300</w:t>
                  </w:r>
                </w:p>
              </w:tc>
              <w:tc>
                <w:tcPr>
                  <w:tcW w:w="95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10</w:t>
                  </w:r>
                </w:p>
              </w:tc>
              <w:tc>
                <w:tcPr>
                  <w:tcW w:w="101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9" w:type="pct"/>
                  <w:shd w:val="clear" w:color="auto" w:fill="auto"/>
                  <w:noWrap w:val="0"/>
                  <w:vAlign w:val="center"/>
                </w:tcPr>
                <w:p>
                  <w:pPr>
                    <w:jc w:val="center"/>
                    <w:rPr>
                      <w:rFonts w:hint="eastAsia" w:ascii="Times New Roman" w:hAnsi="Times New Roman" w:eastAsia="宋体" w:cs="Times New Roman"/>
                      <w:color w:val="auto"/>
                      <w:kern w:val="2"/>
                      <w:sz w:val="18"/>
                      <w:szCs w:val="18"/>
                      <w:shd w:val="clear" w:color="auto" w:fill="auto"/>
                      <w:lang w:val="en-US" w:eastAsia="zh-CN" w:bidi="ar-SA"/>
                    </w:rPr>
                  </w:pPr>
                  <w:r>
                    <w:rPr>
                      <w:rFonts w:hint="eastAsia" w:ascii="Times New Roman" w:hAnsi="Times New Roman" w:eastAsia="宋体" w:cs="Times New Roman"/>
                      <w:color w:val="auto"/>
                      <w:sz w:val="18"/>
                      <w:szCs w:val="18"/>
                      <w:shd w:val="clear" w:color="auto" w:fill="auto"/>
                      <w:lang w:val="en-US" w:eastAsia="zh-CN"/>
                    </w:rPr>
                    <w:t>台车式回火炉</w:t>
                  </w:r>
                </w:p>
              </w:tc>
              <w:tc>
                <w:tcPr>
                  <w:tcW w:w="937" w:type="pct"/>
                  <w:shd w:val="clear" w:color="auto" w:fill="auto"/>
                  <w:noWrap w:val="0"/>
                  <w:vAlign w:val="center"/>
                </w:tcPr>
                <w:p>
                  <w:pPr>
                    <w:jc w:val="center"/>
                    <w:rPr>
                      <w:rFonts w:hint="eastAsia" w:ascii="Times New Roman" w:hAnsi="Times New Roman" w:eastAsia="宋体" w:cs="Times New Roman"/>
                      <w:color w:val="auto"/>
                      <w:kern w:val="2"/>
                      <w:sz w:val="18"/>
                      <w:szCs w:val="18"/>
                      <w:shd w:val="clear" w:color="auto" w:fill="auto"/>
                      <w:lang w:val="en-US" w:eastAsia="zh-CN" w:bidi="ar-SA"/>
                    </w:rPr>
                  </w:pPr>
                  <w:r>
                    <w:rPr>
                      <w:rFonts w:hint="eastAsia" w:ascii="Times New Roman" w:hAnsi="Times New Roman" w:eastAsia="宋体" w:cs="Times New Roman"/>
                      <w:color w:val="auto"/>
                      <w:sz w:val="18"/>
                      <w:szCs w:val="18"/>
                      <w:shd w:val="clear" w:color="auto" w:fill="auto"/>
                      <w:lang w:val="en-US" w:eastAsia="zh-CN"/>
                    </w:rPr>
                    <w:t>7.8mx3.8mx2.8m</w:t>
                  </w:r>
                </w:p>
              </w:tc>
              <w:tc>
                <w:tcPr>
                  <w:tcW w:w="925"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shd w:val="clear" w:color="auto" w:fill="auto"/>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w:t>
                  </w:r>
                </w:p>
              </w:tc>
              <w:tc>
                <w:tcPr>
                  <w:tcW w:w="925"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shd w:val="clear" w:color="auto" w:fill="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120</w:t>
                  </w:r>
                </w:p>
              </w:tc>
              <w:tc>
                <w:tcPr>
                  <w:tcW w:w="98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shd w:val="clear" w:color="auto" w:fill="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300</w:t>
                  </w:r>
                </w:p>
              </w:tc>
              <w:tc>
                <w:tcPr>
                  <w:tcW w:w="95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shd w:val="clear" w:color="auto" w:fill="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w:t>
                  </w:r>
                </w:p>
              </w:tc>
              <w:tc>
                <w:tcPr>
                  <w:tcW w:w="101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shd w:val="clear" w:color="auto" w:fill="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7200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9" w:type="pct"/>
                  <w:shd w:val="clear" w:color="auto" w:fill="auto"/>
                  <w:noWrap w:val="0"/>
                  <w:vAlign w:val="center"/>
                </w:tcPr>
                <w:p>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台车式回火炉</w:t>
                  </w:r>
                </w:p>
              </w:tc>
              <w:tc>
                <w:tcPr>
                  <w:tcW w:w="937" w:type="pct"/>
                  <w:shd w:val="clear" w:color="auto" w:fill="auto"/>
                  <w:noWrap w:val="0"/>
                  <w:vAlign w:val="center"/>
                </w:tcPr>
                <w:p>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8mx4mx3m</w:t>
                  </w:r>
                </w:p>
              </w:tc>
              <w:tc>
                <w:tcPr>
                  <w:tcW w:w="925"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6</w:t>
                  </w:r>
                </w:p>
              </w:tc>
              <w:tc>
                <w:tcPr>
                  <w:tcW w:w="925"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130</w:t>
                  </w:r>
                </w:p>
              </w:tc>
              <w:tc>
                <w:tcPr>
                  <w:tcW w:w="98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300</w:t>
                  </w:r>
                </w:p>
              </w:tc>
              <w:tc>
                <w:tcPr>
                  <w:tcW w:w="95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w:t>
                  </w:r>
                </w:p>
              </w:tc>
              <w:tc>
                <w:tcPr>
                  <w:tcW w:w="101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46800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9" w:type="pct"/>
                  <w:shd w:val="clear" w:color="auto" w:fill="auto"/>
                  <w:noWrap w:val="0"/>
                  <w:vAlign w:val="center"/>
                </w:tcPr>
                <w:p>
                  <w:pPr>
                    <w:jc w:val="center"/>
                    <w:rPr>
                      <w:rFonts w:hint="eastAsia" w:ascii="Times New Roman" w:hAnsi="Times New Roman" w:eastAsia="宋体" w:cs="Times New Roman"/>
                      <w:color w:val="auto"/>
                      <w:sz w:val="18"/>
                      <w:szCs w:val="18"/>
                      <w:shd w:val="clear" w:color="auto" w:fill="auto"/>
                      <w:lang w:val="en-US" w:eastAsia="zh-CN"/>
                    </w:rPr>
                  </w:pPr>
                  <w:r>
                    <w:rPr>
                      <w:rFonts w:hint="eastAsia" w:ascii="Times New Roman" w:hAnsi="Times New Roman" w:eastAsia="宋体" w:cs="Times New Roman"/>
                      <w:color w:val="auto"/>
                      <w:sz w:val="18"/>
                      <w:szCs w:val="18"/>
                      <w:shd w:val="clear" w:color="auto" w:fill="auto"/>
                      <w:lang w:val="en-US" w:eastAsia="zh-CN"/>
                    </w:rPr>
                    <w:t>台车式淬火炉</w:t>
                  </w:r>
                </w:p>
              </w:tc>
              <w:tc>
                <w:tcPr>
                  <w:tcW w:w="937" w:type="pct"/>
                  <w:shd w:val="clear" w:color="auto" w:fill="auto"/>
                  <w:noWrap w:val="0"/>
                  <w:vAlign w:val="center"/>
                </w:tcPr>
                <w:p>
                  <w:pPr>
                    <w:jc w:val="center"/>
                    <w:rPr>
                      <w:rFonts w:hint="default" w:ascii="Times New Roman" w:hAnsi="Times New Roman" w:eastAsia="宋体" w:cs="Times New Roman"/>
                      <w:color w:val="auto"/>
                      <w:sz w:val="18"/>
                      <w:szCs w:val="18"/>
                      <w:shd w:val="clear" w:color="auto" w:fill="auto"/>
                      <w:lang w:val="en-US" w:eastAsia="zh-CN"/>
                    </w:rPr>
                  </w:pPr>
                  <w:r>
                    <w:rPr>
                      <w:rFonts w:hint="eastAsia" w:ascii="Times New Roman" w:hAnsi="Times New Roman" w:eastAsia="宋体" w:cs="Times New Roman"/>
                      <w:color w:val="auto"/>
                      <w:sz w:val="18"/>
                      <w:szCs w:val="18"/>
                      <w:shd w:val="clear" w:color="auto" w:fill="auto"/>
                      <w:lang w:val="en-US" w:eastAsia="zh-CN"/>
                    </w:rPr>
                    <w:t>7.8mx3.8mx2.8m</w:t>
                  </w:r>
                </w:p>
              </w:tc>
              <w:tc>
                <w:tcPr>
                  <w:tcW w:w="925"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shd w:val="clear" w:color="auto" w:fill="auto"/>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w:t>
                  </w:r>
                </w:p>
              </w:tc>
              <w:tc>
                <w:tcPr>
                  <w:tcW w:w="925"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shd w:val="clear" w:color="auto" w:fill="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120</w:t>
                  </w:r>
                </w:p>
              </w:tc>
              <w:tc>
                <w:tcPr>
                  <w:tcW w:w="98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shd w:val="clear" w:color="auto" w:fill="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300</w:t>
                  </w:r>
                </w:p>
              </w:tc>
              <w:tc>
                <w:tcPr>
                  <w:tcW w:w="95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shd w:val="clear" w:color="auto" w:fill="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w:t>
                  </w:r>
                </w:p>
              </w:tc>
              <w:tc>
                <w:tcPr>
                  <w:tcW w:w="101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shd w:val="clear" w:color="auto" w:fill="auto"/>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7200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9" w:type="pct"/>
                  <w:shd w:val="clear" w:color="auto" w:fill="auto"/>
                  <w:noWrap w:val="0"/>
                  <w:vAlign w:val="center"/>
                </w:tcPr>
                <w:p>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台车式淬火炉</w:t>
                  </w:r>
                </w:p>
              </w:tc>
              <w:tc>
                <w:tcPr>
                  <w:tcW w:w="937" w:type="pct"/>
                  <w:shd w:val="clear" w:color="auto" w:fill="auto"/>
                  <w:noWrap w:val="0"/>
                  <w:vAlign w:val="center"/>
                </w:tcPr>
                <w:p>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8mx4mx3m</w:t>
                  </w:r>
                </w:p>
              </w:tc>
              <w:tc>
                <w:tcPr>
                  <w:tcW w:w="925"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4</w:t>
                  </w:r>
                </w:p>
              </w:tc>
              <w:tc>
                <w:tcPr>
                  <w:tcW w:w="925"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200</w:t>
                  </w:r>
                </w:p>
              </w:tc>
              <w:tc>
                <w:tcPr>
                  <w:tcW w:w="98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300</w:t>
                  </w:r>
                </w:p>
              </w:tc>
              <w:tc>
                <w:tcPr>
                  <w:tcW w:w="95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w:t>
                  </w:r>
                </w:p>
              </w:tc>
              <w:tc>
                <w:tcPr>
                  <w:tcW w:w="101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48000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9" w:type="pct"/>
                  <w:shd w:val="clear" w:color="auto" w:fill="auto"/>
                  <w:noWrap w:val="0"/>
                  <w:vAlign w:val="center"/>
                </w:tcPr>
                <w:p>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台车式淬火炉</w:t>
                  </w:r>
                </w:p>
              </w:tc>
              <w:tc>
                <w:tcPr>
                  <w:tcW w:w="937" w:type="pct"/>
                  <w:shd w:val="clear" w:color="auto" w:fill="auto"/>
                  <w:noWrap w:val="0"/>
                  <w:vAlign w:val="center"/>
                </w:tcPr>
                <w:p>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8mx3mx3m</w:t>
                  </w:r>
                </w:p>
              </w:tc>
              <w:tc>
                <w:tcPr>
                  <w:tcW w:w="925"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2</w:t>
                  </w:r>
                </w:p>
              </w:tc>
              <w:tc>
                <w:tcPr>
                  <w:tcW w:w="925"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150</w:t>
                  </w:r>
                </w:p>
              </w:tc>
              <w:tc>
                <w:tcPr>
                  <w:tcW w:w="98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300</w:t>
                  </w:r>
                </w:p>
              </w:tc>
              <w:tc>
                <w:tcPr>
                  <w:tcW w:w="95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w:t>
                  </w:r>
                </w:p>
              </w:tc>
              <w:tc>
                <w:tcPr>
                  <w:tcW w:w="101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18000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50" w:type="pct"/>
                  <w:gridSpan w:val="6"/>
                  <w:shd w:val="clear" w:color="auto" w:fill="auto"/>
                  <w:noWrap w:val="0"/>
                  <w:vAlign w:val="center"/>
                </w:tcPr>
                <w:p>
                  <w:pPr>
                    <w:snapToGrid w:val="0"/>
                    <w:jc w:val="center"/>
                    <w:rPr>
                      <w:rFonts w:hint="eastAsia" w:ascii="Times New Roman" w:hAnsi="Times New Roman"/>
                      <w:color w:val="auto"/>
                      <w:sz w:val="18"/>
                      <w:szCs w:val="18"/>
                      <w:lang w:val="en-US" w:eastAsia="zh-CN"/>
                    </w:rPr>
                  </w:pPr>
                  <w:r>
                    <w:rPr>
                      <w:rFonts w:hint="eastAsia" w:ascii="Times New Roman" w:hAnsi="Times New Roman"/>
                      <w:color w:val="auto"/>
                      <w:sz w:val="18"/>
                      <w:szCs w:val="18"/>
                      <w:lang w:val="en-US" w:eastAsia="zh-CN"/>
                    </w:rPr>
                    <w:t>合计</w:t>
                  </w:r>
                </w:p>
              </w:tc>
              <w:tc>
                <w:tcPr>
                  <w:tcW w:w="649" w:type="pct"/>
                  <w:noWrap w:val="0"/>
                  <w:vAlign w:val="center"/>
                </w:tcPr>
                <w:p>
                  <w:pPr>
                    <w:snapToGrid w:val="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w:t>
                  </w:r>
                  <w:r>
                    <w:rPr>
                      <w:rFonts w:hint="eastAsia" w:cs="Times New Roman"/>
                      <w:color w:val="auto"/>
                      <w:sz w:val="18"/>
                      <w:szCs w:val="18"/>
                      <w:lang w:val="en-US" w:eastAsia="zh-CN"/>
                    </w:rPr>
                    <w:t>887</w:t>
                  </w:r>
                  <w:r>
                    <w:rPr>
                      <w:rFonts w:hint="eastAsia" w:ascii="Times New Roman" w:hAnsi="Times New Roman" w:eastAsia="宋体" w:cs="Times New Roman"/>
                      <w:color w:val="auto"/>
                      <w:sz w:val="18"/>
                      <w:szCs w:val="18"/>
                      <w:lang w:val="en-US" w:eastAsia="zh-CN"/>
                    </w:rPr>
                    <w:t>00</w:t>
                  </w:r>
                </w:p>
              </w:tc>
            </w:tr>
          </w:tbl>
          <w:p>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left"/>
              <w:textAlignment w:val="auto"/>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本项目高端风电主轴及零部件</w:t>
            </w:r>
            <w:r>
              <w:rPr>
                <w:rFonts w:hint="eastAsia" w:eastAsia="宋体" w:cs="Times New Roman"/>
                <w:b w:val="0"/>
                <w:bCs/>
                <w:color w:val="auto"/>
                <w:kern w:val="2"/>
                <w:sz w:val="21"/>
                <w:szCs w:val="21"/>
                <w:lang w:val="en-US" w:eastAsia="zh-CN" w:bidi="ar-SA"/>
              </w:rPr>
              <w:t>热处理工序</w:t>
            </w:r>
            <w:r>
              <w:rPr>
                <w:rFonts w:hint="eastAsia" w:ascii="Times New Roman" w:hAnsi="Times New Roman" w:eastAsia="宋体" w:cs="Times New Roman"/>
                <w:b w:val="0"/>
                <w:bCs/>
                <w:color w:val="auto"/>
                <w:kern w:val="2"/>
                <w:sz w:val="21"/>
                <w:szCs w:val="21"/>
                <w:lang w:val="en-US" w:eastAsia="zh-CN" w:bidi="ar-SA"/>
              </w:rPr>
              <w:t>主要设备加热炉设计产能为1</w:t>
            </w:r>
            <w:r>
              <w:rPr>
                <w:rFonts w:hint="eastAsia" w:cs="Times New Roman"/>
                <w:b w:val="0"/>
                <w:bCs/>
                <w:color w:val="auto"/>
                <w:kern w:val="2"/>
                <w:sz w:val="21"/>
                <w:szCs w:val="21"/>
                <w:lang w:val="en-US" w:eastAsia="zh-CN" w:bidi="ar-SA"/>
              </w:rPr>
              <w:t>88700</w:t>
            </w:r>
            <w:r>
              <w:rPr>
                <w:rFonts w:hint="eastAsia" w:ascii="Times New Roman" w:hAnsi="Times New Roman" w:eastAsia="宋体" w:cs="Times New Roman"/>
                <w:b w:val="0"/>
                <w:bCs/>
                <w:color w:val="auto"/>
                <w:kern w:val="2"/>
                <w:sz w:val="21"/>
                <w:szCs w:val="21"/>
                <w:lang w:val="en-US" w:eastAsia="zh-CN" w:bidi="ar-SA"/>
              </w:rPr>
              <w:t>t/a，改扩建后申报产能为171000t/a在其范围内，因此设备与产能相符。</w:t>
            </w:r>
          </w:p>
          <w:p>
            <w:pPr>
              <w:adjustRightInd w:val="0"/>
              <w:snapToGrid w:val="0"/>
              <w:spacing w:line="500" w:lineRule="exact"/>
              <w:ind w:firstLine="422" w:firstLineChars="200"/>
              <w:rPr>
                <w:b/>
                <w:color w:val="auto"/>
                <w:szCs w:val="21"/>
              </w:rPr>
            </w:pPr>
            <w:r>
              <w:rPr>
                <w:rFonts w:hint="eastAsia"/>
                <w:b/>
                <w:color w:val="auto"/>
                <w:szCs w:val="21"/>
                <w:lang w:val="en-US" w:eastAsia="zh-CN"/>
              </w:rPr>
              <w:t>7</w:t>
            </w:r>
            <w:r>
              <w:rPr>
                <w:b/>
                <w:color w:val="auto"/>
                <w:szCs w:val="21"/>
              </w:rPr>
              <w:t>、劳动制度及定员</w:t>
            </w:r>
          </w:p>
          <w:p>
            <w:pPr>
              <w:adjustRightInd w:val="0"/>
              <w:snapToGrid w:val="0"/>
              <w:spacing w:line="500" w:lineRule="exact"/>
              <w:ind w:firstLine="420" w:firstLineChars="200"/>
              <w:rPr>
                <w:rFonts w:hint="eastAsia" w:eastAsia="宋体"/>
                <w:color w:val="auto"/>
                <w:lang w:val="en-US" w:eastAsia="zh-CN"/>
              </w:rPr>
            </w:pPr>
            <w:r>
              <w:rPr>
                <w:bCs/>
                <w:color w:val="auto"/>
                <w:szCs w:val="21"/>
              </w:rPr>
              <w:t>项目年运行300天，</w:t>
            </w:r>
            <w:r>
              <w:rPr>
                <w:rFonts w:hint="eastAsia"/>
                <w:bCs/>
                <w:color w:val="auto"/>
                <w:szCs w:val="21"/>
                <w:lang w:eastAsia="zh-CN"/>
              </w:rPr>
              <w:t>三</w:t>
            </w:r>
            <w:r>
              <w:rPr>
                <w:bCs/>
                <w:color w:val="auto"/>
                <w:szCs w:val="21"/>
              </w:rPr>
              <w:t>班制，每班工作8小时</w:t>
            </w:r>
            <w:r>
              <w:rPr>
                <w:rFonts w:hint="eastAsia"/>
                <w:bCs/>
                <w:color w:val="auto"/>
                <w:szCs w:val="21"/>
                <w:lang w:eastAsia="zh-CN"/>
              </w:rPr>
              <w:t>，</w:t>
            </w:r>
            <w:r>
              <w:rPr>
                <w:rFonts w:hint="eastAsia"/>
                <w:color w:val="auto"/>
                <w:lang w:val="en-US" w:eastAsia="zh-CN"/>
              </w:rPr>
              <w:t>锻造、</w:t>
            </w:r>
            <w:r>
              <w:rPr>
                <w:rFonts w:hint="eastAsia"/>
                <w:color w:val="auto"/>
                <w:highlight w:val="none"/>
                <w:shd w:val="clear"/>
                <w:lang w:val="en-US" w:eastAsia="zh-CN"/>
              </w:rPr>
              <w:t>热处理、机加工工段的工作时间均为24小时/天</w:t>
            </w:r>
            <w:r>
              <w:rPr>
                <w:bCs/>
                <w:color w:val="auto"/>
                <w:szCs w:val="21"/>
              </w:rPr>
              <w:t>。</w:t>
            </w:r>
            <w:r>
              <w:rPr>
                <w:rFonts w:hint="eastAsia"/>
                <w:bCs/>
                <w:color w:val="auto"/>
                <w:szCs w:val="21"/>
                <w:lang w:eastAsia="zh-CN"/>
              </w:rPr>
              <w:t>现有</w:t>
            </w:r>
            <w:r>
              <w:rPr>
                <w:rFonts w:hint="eastAsia"/>
                <w:bCs/>
                <w:color w:val="auto"/>
                <w:szCs w:val="21"/>
              </w:rPr>
              <w:t>员工人数为</w:t>
            </w:r>
            <w:r>
              <w:rPr>
                <w:rFonts w:hint="eastAsia"/>
                <w:bCs/>
                <w:color w:val="auto"/>
                <w:szCs w:val="21"/>
                <w:lang w:val="en-US" w:eastAsia="zh-CN"/>
              </w:rPr>
              <w:t>180</w:t>
            </w:r>
            <w:r>
              <w:rPr>
                <w:rFonts w:hint="eastAsia"/>
                <w:bCs/>
                <w:color w:val="auto"/>
                <w:szCs w:val="21"/>
              </w:rPr>
              <w:t>人，</w:t>
            </w:r>
            <w:r>
              <w:rPr>
                <w:rFonts w:hint="eastAsia"/>
                <w:bCs/>
                <w:color w:val="auto"/>
                <w:szCs w:val="21"/>
                <w:lang w:eastAsia="zh-CN"/>
              </w:rPr>
              <w:t>新增</w:t>
            </w:r>
            <w:r>
              <w:rPr>
                <w:rFonts w:hint="eastAsia"/>
                <w:bCs/>
                <w:color w:val="auto"/>
                <w:szCs w:val="21"/>
                <w:lang w:val="en-US" w:eastAsia="zh-CN"/>
              </w:rPr>
              <w:t>80名员工</w:t>
            </w:r>
            <w:r>
              <w:rPr>
                <w:rFonts w:hint="eastAsia"/>
                <w:bCs/>
                <w:color w:val="auto"/>
                <w:szCs w:val="21"/>
                <w:lang w:eastAsia="zh-CN"/>
              </w:rPr>
              <w:t>，现有项目不提供</w:t>
            </w:r>
            <w:r>
              <w:rPr>
                <w:rFonts w:hint="eastAsia"/>
                <w:bCs/>
                <w:color w:val="auto"/>
                <w:szCs w:val="21"/>
              </w:rPr>
              <w:t>员工餐饮</w:t>
            </w:r>
            <w:r>
              <w:rPr>
                <w:rFonts w:hint="eastAsia"/>
                <w:bCs/>
                <w:color w:val="auto"/>
                <w:szCs w:val="21"/>
                <w:lang w:eastAsia="zh-CN"/>
              </w:rPr>
              <w:t>，本</w:t>
            </w:r>
            <w:r>
              <w:rPr>
                <w:rFonts w:hint="eastAsia"/>
                <w:bCs/>
                <w:color w:val="auto"/>
                <w:szCs w:val="21"/>
              </w:rPr>
              <w:t>项目</w:t>
            </w:r>
            <w:r>
              <w:rPr>
                <w:rFonts w:hint="eastAsia"/>
                <w:bCs/>
                <w:color w:val="auto"/>
                <w:szCs w:val="21"/>
                <w:lang w:eastAsia="zh-CN"/>
              </w:rPr>
              <w:t>新增</w:t>
            </w:r>
            <w:r>
              <w:rPr>
                <w:rFonts w:hint="eastAsia"/>
                <w:bCs/>
                <w:color w:val="auto"/>
                <w:szCs w:val="21"/>
                <w:lang w:val="en-US" w:eastAsia="zh-CN"/>
              </w:rPr>
              <w:t>80名</w:t>
            </w:r>
            <w:r>
              <w:rPr>
                <w:rFonts w:hint="eastAsia"/>
                <w:bCs/>
                <w:color w:val="auto"/>
                <w:szCs w:val="21"/>
              </w:rPr>
              <w:t>员工餐饮</w:t>
            </w:r>
            <w:r>
              <w:rPr>
                <w:rFonts w:hint="eastAsia"/>
                <w:bCs/>
                <w:color w:val="auto"/>
                <w:szCs w:val="21"/>
                <w:lang w:eastAsia="zh-CN"/>
              </w:rPr>
              <w:t>。</w:t>
            </w:r>
          </w:p>
          <w:p>
            <w:pPr>
              <w:adjustRightInd w:val="0"/>
              <w:snapToGrid w:val="0"/>
              <w:spacing w:line="500" w:lineRule="exact"/>
              <w:ind w:firstLine="422" w:firstLineChars="200"/>
              <w:rPr>
                <w:b/>
                <w:color w:val="auto"/>
                <w:szCs w:val="21"/>
              </w:rPr>
            </w:pPr>
            <w:r>
              <w:rPr>
                <w:rFonts w:hint="eastAsia"/>
                <w:b/>
                <w:color w:val="auto"/>
                <w:szCs w:val="21"/>
                <w:lang w:val="en-US" w:eastAsia="zh-CN"/>
              </w:rPr>
              <w:t>8</w:t>
            </w:r>
            <w:r>
              <w:rPr>
                <w:b/>
                <w:color w:val="auto"/>
                <w:szCs w:val="21"/>
              </w:rPr>
              <w:t>、厂区平面布置</w:t>
            </w:r>
          </w:p>
          <w:p>
            <w:pPr>
              <w:widowControl/>
              <w:spacing w:line="500" w:lineRule="exact"/>
              <w:ind w:firstLine="420" w:firstLineChars="200"/>
              <w:jc w:val="left"/>
              <w:rPr>
                <w:color w:val="auto"/>
              </w:rPr>
            </w:pPr>
            <w:r>
              <w:rPr>
                <w:bCs/>
                <w:color w:val="auto"/>
                <w:szCs w:val="21"/>
              </w:rPr>
              <w:t>项目总平面布置做到人货分流。生产车间内根据不同用途划分不同区域，高噪声设备布置于车间中部，以减轻对周边环境的影响，纵观厂房的平面布置，各分区的布置规划整齐，既方便内外交通联系，又方便原辅材料和成品的运输，厂区平面布置较合理。本项目厂区平面布置图详见附图三。</w:t>
            </w:r>
          </w:p>
          <w:p>
            <w:pPr>
              <w:adjustRightInd w:val="0"/>
              <w:snapToGrid w:val="0"/>
              <w:spacing w:line="500" w:lineRule="exact"/>
              <w:ind w:firstLine="422" w:firstLineChars="200"/>
              <w:rPr>
                <w:b/>
                <w:bCs/>
                <w:color w:val="auto"/>
                <w:szCs w:val="21"/>
              </w:rPr>
            </w:pPr>
            <w:r>
              <w:rPr>
                <w:rFonts w:hint="eastAsia"/>
                <w:b/>
                <w:bCs/>
                <w:color w:val="auto"/>
                <w:szCs w:val="21"/>
                <w:lang w:val="en-US" w:eastAsia="zh-CN"/>
              </w:rPr>
              <w:t>9</w:t>
            </w:r>
            <w:r>
              <w:rPr>
                <w:b/>
                <w:bCs/>
                <w:color w:val="auto"/>
                <w:szCs w:val="21"/>
              </w:rPr>
              <w:t>、周边环境概况</w:t>
            </w:r>
          </w:p>
          <w:p>
            <w:pPr>
              <w:adjustRightInd w:val="0"/>
              <w:snapToGrid w:val="0"/>
              <w:spacing w:line="500" w:lineRule="exact"/>
              <w:ind w:firstLine="420" w:firstLineChars="200"/>
              <w:rPr>
                <w:color w:val="auto"/>
              </w:rPr>
            </w:pPr>
            <w:r>
              <w:rPr>
                <w:color w:val="auto"/>
                <w:szCs w:val="21"/>
              </w:rPr>
              <w:t>项目位于</w:t>
            </w:r>
            <w:r>
              <w:rPr>
                <w:rFonts w:hint="eastAsia"/>
                <w:color w:val="auto"/>
                <w:szCs w:val="21"/>
                <w:lang w:val="en-US" w:eastAsia="zh-CN"/>
              </w:rPr>
              <w:t>如皋市长江镇创业路8号</w:t>
            </w:r>
            <w:r>
              <w:rPr>
                <w:color w:val="auto"/>
                <w:szCs w:val="21"/>
              </w:rPr>
              <w:t>，项目北侧为</w:t>
            </w:r>
            <w:r>
              <w:rPr>
                <w:rFonts w:hint="eastAsia"/>
                <w:color w:val="auto"/>
                <w:szCs w:val="21"/>
              </w:rPr>
              <w:t>如皋市宏茂铸钢有限公司</w:t>
            </w:r>
            <w:r>
              <w:rPr>
                <w:color w:val="auto"/>
                <w:szCs w:val="21"/>
              </w:rPr>
              <w:t>；南侧为</w:t>
            </w:r>
            <w:r>
              <w:rPr>
                <w:rFonts w:hint="eastAsia"/>
                <w:color w:val="auto"/>
                <w:szCs w:val="21"/>
              </w:rPr>
              <w:t>如皋港引河</w:t>
            </w:r>
            <w:r>
              <w:rPr>
                <w:color w:val="auto"/>
                <w:szCs w:val="21"/>
              </w:rPr>
              <w:t>；西侧为</w:t>
            </w:r>
            <w:r>
              <w:rPr>
                <w:rFonts w:hint="eastAsia"/>
                <w:color w:val="auto"/>
                <w:szCs w:val="21"/>
              </w:rPr>
              <w:t>如皋市宏茂铸钢有限公司</w:t>
            </w:r>
            <w:r>
              <w:rPr>
                <w:color w:val="auto"/>
                <w:szCs w:val="21"/>
              </w:rPr>
              <w:t>；东侧为</w:t>
            </w:r>
            <w:r>
              <w:rPr>
                <w:rFonts w:hint="eastAsia"/>
                <w:color w:val="auto"/>
                <w:szCs w:val="21"/>
                <w:lang w:eastAsia="zh-CN"/>
              </w:rPr>
              <w:t>空地</w:t>
            </w:r>
            <w:r>
              <w:rPr>
                <w:color w:val="auto"/>
                <w:szCs w:val="21"/>
              </w:rPr>
              <w:t>。</w:t>
            </w:r>
            <w:r>
              <w:rPr>
                <w:bCs/>
                <w:color w:val="auto"/>
                <w:szCs w:val="21"/>
              </w:rPr>
              <w:t>本项目厂区</w:t>
            </w:r>
            <w:r>
              <w:rPr>
                <w:rFonts w:hint="eastAsia"/>
                <w:bCs/>
                <w:color w:val="auto"/>
                <w:szCs w:val="21"/>
                <w:lang w:eastAsia="zh-CN"/>
              </w:rPr>
              <w:t>周边概况</w:t>
            </w:r>
            <w:r>
              <w:rPr>
                <w:bCs/>
                <w:color w:val="auto"/>
                <w:szCs w:val="21"/>
              </w:rPr>
              <w:t>图详见附图</w:t>
            </w:r>
            <w:r>
              <w:rPr>
                <w:rFonts w:hint="eastAsia"/>
                <w:bCs/>
                <w:color w:val="auto"/>
                <w:szCs w:val="21"/>
                <w:lang w:eastAsia="zh-CN"/>
              </w:rPr>
              <w:t>二</w:t>
            </w:r>
            <w:r>
              <w:rPr>
                <w:bCs/>
                <w:color w:val="auto"/>
                <w:szCs w:val="21"/>
              </w:rPr>
              <w:t>。</w:t>
            </w:r>
          </w:p>
          <w:p>
            <w:pPr>
              <w:adjustRightInd w:val="0"/>
              <w:snapToGrid w:val="0"/>
              <w:spacing w:line="500" w:lineRule="exact"/>
              <w:ind w:firstLine="422" w:firstLineChars="200"/>
              <w:rPr>
                <w:b/>
                <w:color w:val="auto"/>
                <w:szCs w:val="21"/>
              </w:rPr>
            </w:pPr>
            <w:r>
              <w:rPr>
                <w:rFonts w:hint="eastAsia"/>
                <w:b/>
                <w:color w:val="auto"/>
                <w:szCs w:val="21"/>
                <w:lang w:val="en-US" w:eastAsia="zh-CN"/>
              </w:rPr>
              <w:t>10</w:t>
            </w:r>
            <w:r>
              <w:rPr>
                <w:b/>
                <w:color w:val="auto"/>
                <w:szCs w:val="21"/>
              </w:rPr>
              <w:t>、水平衡分析</w:t>
            </w:r>
          </w:p>
          <w:p>
            <w:pPr>
              <w:adjustRightInd w:val="0"/>
              <w:snapToGrid w:val="0"/>
              <w:spacing w:line="500" w:lineRule="exact"/>
              <w:ind w:firstLine="420" w:firstLineChars="200"/>
              <w:rPr>
                <w:color w:val="auto"/>
              </w:rPr>
            </w:pPr>
            <w:r>
              <w:rPr>
                <w:bCs/>
                <w:color w:val="auto"/>
                <w:szCs w:val="21"/>
              </w:rPr>
              <w:t>项目新增</w:t>
            </w:r>
            <w:r>
              <w:rPr>
                <w:rFonts w:hint="eastAsia"/>
                <w:bCs/>
                <w:color w:val="auto"/>
                <w:szCs w:val="21"/>
                <w:lang w:eastAsia="zh-CN"/>
              </w:rPr>
              <w:t>员工用水、食堂用水、冷却水</w:t>
            </w:r>
            <w:r>
              <w:rPr>
                <w:bCs/>
                <w:color w:val="auto"/>
                <w:szCs w:val="21"/>
              </w:rPr>
              <w:t>，由市政供水供给。</w:t>
            </w:r>
          </w:p>
          <w:p>
            <w:pPr>
              <w:numPr>
                <w:ilvl w:val="0"/>
                <w:numId w:val="0"/>
              </w:numPr>
              <w:adjustRightInd w:val="0"/>
              <w:snapToGrid w:val="0"/>
              <w:spacing w:line="500" w:lineRule="exact"/>
              <w:ind w:firstLine="420" w:firstLineChars="200"/>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1</w:t>
            </w:r>
            <w:r>
              <w:rPr>
                <w:rFonts w:hint="eastAsia" w:ascii="Times New Roman" w:hAnsi="Times New Roman" w:eastAsia="宋体" w:cs="Times New Roman"/>
                <w:color w:val="auto"/>
                <w:lang w:eastAsia="zh-CN"/>
              </w:rPr>
              <w:t>）生活用水：项目员工人数新增</w:t>
            </w:r>
            <w:r>
              <w:rPr>
                <w:rFonts w:hint="eastAsia" w:ascii="Times New Roman" w:hAnsi="Times New Roman" w:eastAsia="宋体" w:cs="Times New Roman"/>
                <w:color w:val="auto"/>
                <w:lang w:val="en-US" w:eastAsia="zh-CN"/>
              </w:rPr>
              <w:t>80</w:t>
            </w:r>
            <w:r>
              <w:rPr>
                <w:rFonts w:hint="eastAsia" w:ascii="Times New Roman" w:hAnsi="Times New Roman" w:eastAsia="宋体" w:cs="Times New Roman"/>
                <w:color w:val="auto"/>
                <w:lang w:eastAsia="zh-CN"/>
              </w:rPr>
              <w:t>人，每天</w:t>
            </w:r>
            <w:r>
              <w:rPr>
                <w:rFonts w:hint="eastAsia" w:ascii="Times New Roman" w:hAnsi="Times New Roman" w:eastAsia="宋体" w:cs="Times New Roman"/>
                <w:color w:val="auto"/>
                <w:lang w:val="en-US" w:eastAsia="zh-CN"/>
              </w:rPr>
              <w:t>3</w:t>
            </w:r>
            <w:r>
              <w:rPr>
                <w:rFonts w:hint="eastAsia" w:ascii="Times New Roman" w:hAnsi="Times New Roman" w:eastAsia="宋体" w:cs="Times New Roman"/>
                <w:color w:val="auto"/>
                <w:lang w:eastAsia="zh-CN"/>
              </w:rPr>
              <w:t>班，一班工作8小时，年生产</w:t>
            </w:r>
            <w:r>
              <w:rPr>
                <w:rFonts w:hint="eastAsia" w:ascii="Times New Roman" w:hAnsi="Times New Roman" w:eastAsia="宋体" w:cs="Times New Roman"/>
                <w:color w:val="auto"/>
                <w:lang w:val="en-US" w:eastAsia="zh-CN"/>
              </w:rPr>
              <w:t>300</w:t>
            </w:r>
            <w:r>
              <w:rPr>
                <w:rFonts w:hint="eastAsia" w:ascii="Times New Roman" w:hAnsi="Times New Roman" w:eastAsia="宋体" w:cs="Times New Roman"/>
                <w:color w:val="auto"/>
                <w:lang w:eastAsia="zh-CN"/>
              </w:rPr>
              <w:t>天。根据《建筑给水排水设计规范》（GB50015-2019）中：“生活用水定额采用30-50升/人·班”，本项目按照50升/人·班核算生活用水量，则项目员工生活用水量为</w:t>
            </w:r>
            <w:r>
              <w:rPr>
                <w:rFonts w:hint="eastAsia" w:ascii="Times New Roman" w:hAnsi="Times New Roman" w:eastAsia="宋体" w:cs="Times New Roman"/>
                <w:bCs/>
                <w:color w:val="auto"/>
                <w:szCs w:val="21"/>
                <w:lang w:val="en-US" w:eastAsia="zh-CN"/>
              </w:rPr>
              <w:t>3600</w:t>
            </w:r>
            <w:r>
              <w:rPr>
                <w:rFonts w:hint="eastAsia" w:ascii="Times New Roman" w:hAnsi="Times New Roman" w:eastAsia="宋体" w:cs="Times New Roman"/>
                <w:color w:val="auto"/>
                <w:lang w:eastAsia="zh-CN"/>
              </w:rPr>
              <w:t>t/a。</w:t>
            </w:r>
          </w:p>
          <w:p>
            <w:pPr>
              <w:numPr>
                <w:ilvl w:val="0"/>
                <w:numId w:val="0"/>
              </w:numPr>
              <w:adjustRightInd w:val="0"/>
              <w:snapToGrid w:val="0"/>
              <w:spacing w:line="500" w:lineRule="exact"/>
              <w:ind w:firstLine="420" w:firstLineChars="200"/>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2</w:t>
            </w:r>
            <w:r>
              <w:rPr>
                <w:rFonts w:hint="eastAsia" w:ascii="Times New Roman" w:hAnsi="Times New Roman" w:eastAsia="宋体" w:cs="Times New Roman"/>
                <w:color w:val="auto"/>
                <w:lang w:eastAsia="zh-CN"/>
              </w:rPr>
              <w:t>）食堂用水：项目</w:t>
            </w:r>
            <w:r>
              <w:rPr>
                <w:rFonts w:hint="eastAsia" w:cs="Times New Roman"/>
                <w:color w:val="auto"/>
                <w:lang w:eastAsia="zh-CN"/>
              </w:rPr>
              <w:t>新增</w:t>
            </w:r>
            <w:r>
              <w:rPr>
                <w:rFonts w:hint="eastAsia" w:ascii="Times New Roman" w:hAnsi="Times New Roman" w:eastAsia="宋体" w:cs="Times New Roman"/>
                <w:color w:val="auto"/>
                <w:lang w:eastAsia="zh-CN"/>
              </w:rPr>
              <w:t>食宿员工</w:t>
            </w:r>
            <w:r>
              <w:rPr>
                <w:rFonts w:hint="eastAsia" w:ascii="Times New Roman" w:hAnsi="Times New Roman" w:eastAsia="宋体" w:cs="Times New Roman"/>
                <w:color w:val="auto"/>
                <w:lang w:val="en-US" w:eastAsia="zh-CN"/>
              </w:rPr>
              <w:t>80</w:t>
            </w:r>
            <w:r>
              <w:rPr>
                <w:rFonts w:hint="eastAsia" w:ascii="Times New Roman" w:hAnsi="Times New Roman" w:eastAsia="宋体" w:cs="Times New Roman"/>
                <w:color w:val="auto"/>
                <w:lang w:eastAsia="zh-CN"/>
              </w:rPr>
              <w:t>人，年生产</w:t>
            </w:r>
            <w:r>
              <w:rPr>
                <w:rFonts w:hint="eastAsia" w:ascii="Times New Roman" w:hAnsi="Times New Roman" w:eastAsia="宋体" w:cs="Times New Roman"/>
                <w:color w:val="auto"/>
                <w:lang w:val="en-US" w:eastAsia="zh-CN"/>
              </w:rPr>
              <w:t>300</w:t>
            </w:r>
            <w:r>
              <w:rPr>
                <w:rFonts w:hint="eastAsia" w:ascii="Times New Roman" w:hAnsi="Times New Roman" w:eastAsia="宋体" w:cs="Times New Roman"/>
                <w:color w:val="auto"/>
                <w:lang w:eastAsia="zh-CN"/>
              </w:rPr>
              <w:t>天，项目每天提供</w:t>
            </w:r>
            <w:r>
              <w:rPr>
                <w:rFonts w:hint="eastAsia" w:ascii="Times New Roman" w:hAnsi="Times New Roman" w:eastAsia="宋体" w:cs="Times New Roman"/>
                <w:color w:val="auto"/>
                <w:lang w:val="en-US" w:eastAsia="zh-CN"/>
              </w:rPr>
              <w:t>1</w:t>
            </w:r>
            <w:r>
              <w:rPr>
                <w:rFonts w:hint="eastAsia" w:ascii="Times New Roman" w:hAnsi="Times New Roman" w:eastAsia="宋体" w:cs="Times New Roman"/>
                <w:color w:val="auto"/>
                <w:lang w:eastAsia="zh-CN"/>
              </w:rPr>
              <w:t>餐。根据《江苏省城市生活与公共用水定额》（2012年修订）中食堂用水定额为5L/人·次项目食堂用水量为</w:t>
            </w:r>
            <w:r>
              <w:rPr>
                <w:rFonts w:hint="eastAsia" w:ascii="Times New Roman" w:hAnsi="Times New Roman" w:eastAsia="宋体" w:cs="Times New Roman"/>
                <w:color w:val="auto"/>
                <w:lang w:val="en-US" w:eastAsia="zh-CN"/>
              </w:rPr>
              <w:t>120t</w:t>
            </w:r>
            <w:r>
              <w:rPr>
                <w:rFonts w:hint="eastAsia" w:ascii="Times New Roman" w:hAnsi="Times New Roman" w:eastAsia="宋体" w:cs="Times New Roman"/>
                <w:color w:val="auto"/>
                <w:lang w:eastAsia="zh-CN"/>
              </w:rPr>
              <w:t>/a。</w:t>
            </w:r>
          </w:p>
          <w:p>
            <w:pPr>
              <w:pStyle w:val="9"/>
              <w:spacing w:line="360" w:lineRule="auto"/>
              <w:ind w:firstLine="420" w:firstLineChars="200"/>
              <w:rPr>
                <w:rFonts w:ascii="Times New Roman" w:hAnsi="Times New Roman"/>
                <w:color w:val="auto"/>
                <w:szCs w:val="21"/>
              </w:rPr>
            </w:pPr>
            <w:r>
              <w:rPr>
                <w:rFonts w:hint="eastAsia" w:ascii="Times New Roman" w:hAnsi="Times New Roman" w:eastAsia="宋体" w:cs="Times New Roman"/>
                <w:color w:val="auto"/>
                <w:kern w:val="2"/>
                <w:sz w:val="21"/>
                <w:szCs w:val="24"/>
                <w:lang w:val="en-US" w:eastAsia="zh-CN" w:bidi="ar-SA"/>
              </w:rPr>
              <w:t>（3）</w:t>
            </w:r>
            <w:r>
              <w:rPr>
                <w:rFonts w:hint="eastAsia"/>
                <w:color w:val="auto"/>
                <w:lang w:eastAsia="zh-CN"/>
              </w:rPr>
              <w:t>冷却水：</w:t>
            </w:r>
            <w:r>
              <w:rPr>
                <w:rFonts w:ascii="Times New Roman" w:hAnsi="Times New Roman"/>
                <w:color w:val="auto"/>
                <w:szCs w:val="21"/>
              </w:rPr>
              <w:t>项目</w:t>
            </w:r>
            <w:r>
              <w:rPr>
                <w:rFonts w:hint="eastAsia" w:ascii="Times New Roman" w:hAnsi="Times New Roman"/>
                <w:color w:val="auto"/>
                <w:szCs w:val="21"/>
                <w:lang w:eastAsia="zh-CN"/>
              </w:rPr>
              <w:t>热处理淬火工艺使用水淬</w:t>
            </w:r>
            <w:r>
              <w:rPr>
                <w:rFonts w:ascii="Times New Roman" w:hAnsi="Times New Roman"/>
                <w:color w:val="auto"/>
                <w:szCs w:val="21"/>
              </w:rPr>
              <w:t>过程</w:t>
            </w:r>
            <w:r>
              <w:rPr>
                <w:rFonts w:ascii="Times New Roman" w:hAnsi="Times New Roman"/>
                <w:color w:val="auto"/>
              </w:rPr>
              <w:t>采用冷却水夹套冷却，</w:t>
            </w:r>
            <w:r>
              <w:rPr>
                <w:rFonts w:hint="eastAsia" w:ascii="Times New Roman" w:hAnsi="Times New Roman"/>
                <w:color w:val="auto"/>
                <w:lang w:eastAsia="zh-CN"/>
              </w:rPr>
              <w:t>新增三套</w:t>
            </w:r>
            <w:r>
              <w:rPr>
                <w:rFonts w:ascii="Times New Roman" w:hAnsi="Times New Roman"/>
                <w:color w:val="auto"/>
                <w:szCs w:val="21"/>
              </w:rPr>
              <w:t>冷却</w:t>
            </w:r>
            <w:r>
              <w:rPr>
                <w:rFonts w:hint="eastAsia" w:ascii="Times New Roman" w:hAnsi="Times New Roman"/>
                <w:color w:val="auto"/>
                <w:szCs w:val="21"/>
              </w:rPr>
              <w:t>塔</w:t>
            </w:r>
            <w:r>
              <w:rPr>
                <w:rFonts w:hint="eastAsia" w:ascii="Times New Roman" w:hAnsi="Times New Roman"/>
                <w:color w:val="auto"/>
                <w:szCs w:val="21"/>
                <w:lang w:eastAsia="zh-CN"/>
              </w:rPr>
              <w:t>，每套</w:t>
            </w:r>
            <w:r>
              <w:rPr>
                <w:rFonts w:hint="eastAsia" w:ascii="Times New Roman" w:hAnsi="Times New Roman"/>
                <w:color w:val="auto"/>
                <w:szCs w:val="21"/>
              </w:rPr>
              <w:t>循环</w:t>
            </w:r>
            <w:r>
              <w:rPr>
                <w:rFonts w:ascii="Times New Roman" w:hAnsi="Times New Roman"/>
                <w:color w:val="auto"/>
                <w:szCs w:val="21"/>
              </w:rPr>
              <w:t>量为</w:t>
            </w:r>
            <w:r>
              <w:rPr>
                <w:rFonts w:hint="eastAsia" w:ascii="Times New Roman" w:hAnsi="Times New Roman"/>
                <w:color w:val="auto"/>
                <w:szCs w:val="21"/>
                <w:lang w:val="en-US" w:eastAsia="zh-CN"/>
              </w:rPr>
              <w:t>8</w:t>
            </w:r>
            <w:r>
              <w:rPr>
                <w:rFonts w:hint="eastAsia" w:ascii="Times New Roman" w:hAnsi="Times New Roman"/>
                <w:color w:val="auto"/>
                <w:szCs w:val="21"/>
              </w:rPr>
              <w:t>0</w:t>
            </w:r>
            <w:r>
              <w:rPr>
                <w:rFonts w:ascii="Times New Roman" w:hAnsi="Times New Roman"/>
                <w:color w:val="auto"/>
                <w:szCs w:val="21"/>
              </w:rPr>
              <w:t>m</w:t>
            </w:r>
            <w:r>
              <w:rPr>
                <w:rFonts w:ascii="Times New Roman" w:hAnsi="Times New Roman"/>
                <w:color w:val="auto"/>
                <w:szCs w:val="21"/>
                <w:vertAlign w:val="superscript"/>
              </w:rPr>
              <w:t>3</w:t>
            </w:r>
            <w:r>
              <w:rPr>
                <w:rFonts w:ascii="Times New Roman" w:hAnsi="Times New Roman"/>
                <w:color w:val="auto"/>
                <w:szCs w:val="21"/>
              </w:rPr>
              <w:t>/h，</w:t>
            </w:r>
            <w:r>
              <w:rPr>
                <w:rFonts w:ascii="Times New Roman" w:hAnsi="Times New Roman"/>
                <w:color w:val="auto"/>
              </w:rPr>
              <w:t>循环水经冷却塔</w:t>
            </w:r>
            <w:r>
              <w:rPr>
                <w:rFonts w:hint="eastAsia" w:ascii="Times New Roman" w:hAnsi="Times New Roman"/>
                <w:color w:val="auto"/>
              </w:rPr>
              <w:t>水池</w:t>
            </w:r>
            <w:r>
              <w:rPr>
                <w:rFonts w:ascii="Times New Roman" w:hAnsi="Times New Roman"/>
                <w:color w:val="auto"/>
              </w:rPr>
              <w:t>冷却后循环使用</w:t>
            </w:r>
            <w:r>
              <w:rPr>
                <w:rFonts w:ascii="Times New Roman" w:hAnsi="Times New Roman"/>
                <w:color w:val="auto"/>
                <w:szCs w:val="21"/>
              </w:rPr>
              <w:t>，</w:t>
            </w:r>
            <w:r>
              <w:rPr>
                <w:rFonts w:hint="eastAsia" w:ascii="Times New Roman" w:hAnsi="Times New Roman"/>
                <w:color w:val="auto"/>
                <w:szCs w:val="21"/>
                <w:lang w:eastAsia="zh-CN"/>
              </w:rPr>
              <w:t>每年</w:t>
            </w:r>
            <w:r>
              <w:rPr>
                <w:rFonts w:ascii="Times New Roman" w:hAnsi="Times New Roman"/>
                <w:color w:val="auto"/>
                <w:szCs w:val="21"/>
              </w:rPr>
              <w:t>更换一次，每次</w:t>
            </w:r>
            <w:r>
              <w:rPr>
                <w:rFonts w:hint="eastAsia" w:ascii="Times New Roman" w:hAnsi="Times New Roman"/>
                <w:color w:val="auto"/>
                <w:szCs w:val="21"/>
              </w:rPr>
              <w:t>排放水量</w:t>
            </w:r>
            <w:r>
              <w:rPr>
                <w:rFonts w:ascii="Times New Roman" w:hAnsi="Times New Roman"/>
                <w:color w:val="auto"/>
                <w:szCs w:val="21"/>
              </w:rPr>
              <w:t>为</w:t>
            </w:r>
            <w:r>
              <w:rPr>
                <w:rFonts w:hint="eastAsia" w:ascii="Times New Roman" w:hAnsi="Times New Roman"/>
                <w:color w:val="auto"/>
                <w:szCs w:val="21"/>
                <w:lang w:val="en-US" w:eastAsia="zh-CN"/>
              </w:rPr>
              <w:t>80</w:t>
            </w:r>
            <w:r>
              <w:rPr>
                <w:rFonts w:ascii="Times New Roman" w:hAnsi="Times New Roman"/>
                <w:color w:val="auto"/>
                <w:kern w:val="24"/>
                <w:szCs w:val="21"/>
              </w:rPr>
              <w:t>m</w:t>
            </w:r>
            <w:r>
              <w:rPr>
                <w:rFonts w:ascii="Times New Roman" w:hAnsi="Times New Roman"/>
                <w:color w:val="auto"/>
                <w:kern w:val="24"/>
                <w:szCs w:val="21"/>
                <w:vertAlign w:val="superscript"/>
              </w:rPr>
              <w:t>3</w:t>
            </w:r>
            <w:r>
              <w:rPr>
                <w:rFonts w:ascii="Times New Roman" w:hAnsi="Times New Roman"/>
                <w:color w:val="auto"/>
                <w:szCs w:val="21"/>
              </w:rPr>
              <w:t>，</w:t>
            </w:r>
            <w:r>
              <w:rPr>
                <w:rFonts w:hint="eastAsia" w:ascii="Times New Roman" w:hAnsi="Times New Roman"/>
                <w:color w:val="auto"/>
                <w:szCs w:val="21"/>
              </w:rPr>
              <w:t>则排放量</w:t>
            </w:r>
            <w:r>
              <w:rPr>
                <w:rFonts w:ascii="Times New Roman" w:hAnsi="Times New Roman"/>
                <w:color w:val="auto"/>
                <w:szCs w:val="21"/>
              </w:rPr>
              <w:t>为</w:t>
            </w:r>
            <w:r>
              <w:rPr>
                <w:rFonts w:hint="eastAsia" w:ascii="Times New Roman" w:hAnsi="Times New Roman"/>
                <w:color w:val="auto"/>
                <w:szCs w:val="21"/>
                <w:lang w:val="en-US" w:eastAsia="zh-CN"/>
              </w:rPr>
              <w:t>240</w:t>
            </w:r>
            <w:r>
              <w:rPr>
                <w:rFonts w:ascii="Times New Roman" w:hAnsi="Times New Roman"/>
                <w:color w:val="auto"/>
                <w:kern w:val="24"/>
                <w:szCs w:val="21"/>
              </w:rPr>
              <w:t>m</w:t>
            </w:r>
            <w:r>
              <w:rPr>
                <w:rFonts w:ascii="Times New Roman" w:hAnsi="Times New Roman"/>
                <w:color w:val="auto"/>
                <w:kern w:val="24"/>
                <w:szCs w:val="21"/>
                <w:vertAlign w:val="superscript"/>
              </w:rPr>
              <w:t>3</w:t>
            </w:r>
            <w:r>
              <w:rPr>
                <w:rFonts w:ascii="Times New Roman" w:hAnsi="Times New Roman"/>
                <w:color w:val="auto"/>
                <w:kern w:val="24"/>
                <w:szCs w:val="21"/>
              </w:rPr>
              <w:t>/a</w:t>
            </w:r>
            <w:r>
              <w:rPr>
                <w:rFonts w:hint="eastAsia" w:ascii="Times New Roman" w:hAnsi="Times New Roman"/>
                <w:color w:val="auto"/>
                <w:kern w:val="24"/>
                <w:szCs w:val="21"/>
                <w:lang w:eastAsia="zh-CN"/>
              </w:rPr>
              <w:t>，作地面冲洗用水，经沉淀池预处理后排放</w:t>
            </w:r>
            <w:r>
              <w:rPr>
                <w:rFonts w:ascii="Times New Roman" w:hAnsi="Times New Roman"/>
                <w:color w:val="auto"/>
                <w:szCs w:val="21"/>
              </w:rPr>
              <w:t>；总损耗量约为循环冷却水总量的1~2%，取2%，定期补充损耗量</w:t>
            </w:r>
            <w:r>
              <w:rPr>
                <w:rFonts w:hint="eastAsia" w:ascii="Times New Roman" w:hAnsi="Times New Roman"/>
                <w:color w:val="auto"/>
                <w:szCs w:val="21"/>
              </w:rPr>
              <w:t>，</w:t>
            </w:r>
            <w:r>
              <w:rPr>
                <w:rFonts w:ascii="Times New Roman" w:hAnsi="Times New Roman"/>
                <w:color w:val="auto"/>
                <w:szCs w:val="21"/>
              </w:rPr>
              <w:t>则冷却塔补充水量</w:t>
            </w:r>
            <w:r>
              <w:rPr>
                <w:rFonts w:hint="eastAsia" w:ascii="Times New Roman" w:hAnsi="Times New Roman"/>
                <w:color w:val="auto"/>
                <w:szCs w:val="21"/>
              </w:rPr>
              <w:t>（损耗量+排水量）</w:t>
            </w:r>
            <w:r>
              <w:rPr>
                <w:rFonts w:ascii="Times New Roman" w:hAnsi="Times New Roman"/>
                <w:color w:val="auto"/>
                <w:szCs w:val="21"/>
              </w:rPr>
              <w:t>为</w:t>
            </w:r>
            <w:r>
              <w:rPr>
                <w:rFonts w:hint="eastAsia" w:ascii="Times New Roman" w:hAnsi="Times New Roman"/>
                <w:color w:val="auto"/>
                <w:szCs w:val="21"/>
                <w:lang w:val="en-US" w:eastAsia="zh-CN"/>
              </w:rPr>
              <w:t>34800</w:t>
            </w:r>
            <w:r>
              <w:rPr>
                <w:rFonts w:ascii="Times New Roman" w:hAnsi="Times New Roman"/>
                <w:color w:val="auto"/>
                <w:szCs w:val="21"/>
              </w:rPr>
              <w:t>m</w:t>
            </w:r>
            <w:r>
              <w:rPr>
                <w:rFonts w:ascii="Times New Roman" w:hAnsi="Times New Roman"/>
                <w:color w:val="auto"/>
                <w:szCs w:val="21"/>
                <w:vertAlign w:val="superscript"/>
              </w:rPr>
              <w:t>3</w:t>
            </w:r>
            <w:r>
              <w:rPr>
                <w:rFonts w:ascii="Times New Roman" w:hAnsi="Times New Roman"/>
                <w:color w:val="auto"/>
                <w:szCs w:val="21"/>
              </w:rPr>
              <w:t>/a。</w:t>
            </w:r>
          </w:p>
          <w:p>
            <w:pPr>
              <w:spacing w:line="500" w:lineRule="exact"/>
              <w:ind w:firstLine="420" w:firstLineChars="200"/>
              <w:rPr>
                <w:rFonts w:hint="eastAsia"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color w:val="auto"/>
                <w:kern w:val="2"/>
                <w:sz w:val="21"/>
                <w:szCs w:val="24"/>
                <w:lang w:val="en-US" w:eastAsia="zh-CN" w:bidi="ar-SA"/>
              </w:rPr>
              <w:t>（4）</w:t>
            </w:r>
            <w:r>
              <w:rPr>
                <w:rFonts w:hint="eastAsia" w:ascii="宋体" w:eastAsia="宋体" w:cs="Times New Roman"/>
                <w:color w:val="auto"/>
                <w:lang w:eastAsia="zh-CN"/>
              </w:rPr>
              <w:t>切削液配</w:t>
            </w:r>
            <w:r>
              <w:rPr>
                <w:rFonts w:hint="eastAsia" w:ascii="Times New Roman" w:hAnsi="Times New Roman" w:eastAsia="宋体" w:cs="Times New Roman"/>
                <w:color w:val="auto"/>
                <w:kern w:val="2"/>
                <w:sz w:val="21"/>
                <w:szCs w:val="21"/>
                <w:lang w:val="en-US" w:eastAsia="zh-CN" w:bidi="ar-SA"/>
              </w:rPr>
              <w:t>水：</w:t>
            </w:r>
            <w:r>
              <w:rPr>
                <w:rFonts w:ascii="Times New Roman" w:hAnsi="Times New Roman" w:eastAsia="宋体" w:cs="Times New Roman"/>
                <w:color w:val="auto"/>
                <w:kern w:val="2"/>
                <w:sz w:val="21"/>
                <w:szCs w:val="21"/>
                <w:lang w:val="en-US" w:eastAsia="zh-CN" w:bidi="ar-SA"/>
              </w:rPr>
              <w:t>项目采用</w:t>
            </w:r>
            <w:r>
              <w:rPr>
                <w:rFonts w:hint="eastAsia" w:ascii="Times New Roman" w:hAnsi="Times New Roman" w:eastAsia="宋体" w:cs="Times New Roman"/>
                <w:color w:val="auto"/>
                <w:kern w:val="2"/>
                <w:sz w:val="21"/>
                <w:szCs w:val="21"/>
                <w:lang w:val="en-US" w:eastAsia="zh-CN" w:bidi="ar-SA"/>
              </w:rPr>
              <w:t>水性切削液，配水比例约为1:20，项目切削液使用量为0.1</w:t>
            </w:r>
            <w:r>
              <w:rPr>
                <w:rFonts w:hint="eastAsia" w:cs="Times New Roman"/>
                <w:color w:val="auto"/>
                <w:kern w:val="2"/>
                <w:sz w:val="21"/>
                <w:szCs w:val="21"/>
                <w:lang w:val="en-US" w:eastAsia="zh-CN" w:bidi="ar-SA"/>
              </w:rPr>
              <w:t>37</w:t>
            </w:r>
            <w:r>
              <w:rPr>
                <w:rFonts w:hint="eastAsia" w:ascii="Times New Roman" w:hAnsi="Times New Roman" w:eastAsia="宋体" w:cs="Times New Roman"/>
                <w:color w:val="auto"/>
                <w:kern w:val="2"/>
                <w:sz w:val="21"/>
                <w:szCs w:val="21"/>
                <w:lang w:val="en-US" w:eastAsia="zh-CN" w:bidi="ar-SA"/>
              </w:rPr>
              <w:t>t/a，则项目切削液配置用水量为2</w:t>
            </w:r>
            <w:r>
              <w:rPr>
                <w:rFonts w:hint="eastAsia" w:cs="Times New Roman"/>
                <w:color w:val="auto"/>
                <w:kern w:val="2"/>
                <w:sz w:val="21"/>
                <w:szCs w:val="21"/>
                <w:lang w:val="en-US" w:eastAsia="zh-CN" w:bidi="ar-SA"/>
              </w:rPr>
              <w:t>.74</w:t>
            </w:r>
            <w:r>
              <w:rPr>
                <w:rFonts w:hint="eastAsia" w:ascii="Times New Roman" w:hAnsi="Times New Roman" w:eastAsia="宋体" w:cs="Times New Roman"/>
                <w:color w:val="auto"/>
                <w:kern w:val="2"/>
                <w:sz w:val="21"/>
                <w:szCs w:val="21"/>
                <w:lang w:val="en-US" w:eastAsia="zh-CN" w:bidi="ar-SA"/>
              </w:rPr>
              <w:t>t/a。</w:t>
            </w:r>
          </w:p>
          <w:p>
            <w:pPr>
              <w:rPr>
                <w:color w:val="auto"/>
              </w:rPr>
            </w:pPr>
            <w:r>
              <w:rPr>
                <w:rFonts w:cs="宋体"/>
                <w:color w:val="auto"/>
                <w:sz w:val="24"/>
              </w:rPr>
              <mc:AlternateContent>
                <mc:Choice Requires="wpc">
                  <w:drawing>
                    <wp:inline distT="0" distB="0" distL="114300" distR="114300">
                      <wp:extent cx="4890135" cy="3427730"/>
                      <wp:effectExtent l="0" t="0" r="5080" b="0"/>
                      <wp:docPr id="112" name="画布 1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3" name="圆角矩形 43"/>
                              <wps:cNvSpPr/>
                              <wps:spPr>
                                <a:xfrm>
                                  <a:off x="69215" y="386715"/>
                                  <a:ext cx="696595" cy="548640"/>
                                </a:xfrm>
                                <a:prstGeom prst="roundRect">
                                  <a:avLst>
                                    <a:gd name="adj" fmla="val 16667"/>
                                  </a:avLst>
                                </a:prstGeom>
                                <a:noFill/>
                                <a:ln>
                                  <a:noFill/>
                                </a:ln>
                              </wps:spPr>
                              <wps:txbx>
                                <w:txbxContent>
                                  <w:p>
                                    <w:pPr>
                                      <w:jc w:val="center"/>
                                      <w:rPr>
                                        <w:rFonts w:hint="eastAsia"/>
                                        <w:sz w:val="18"/>
                                        <w:szCs w:val="18"/>
                                      </w:rPr>
                                    </w:pPr>
                                    <w:r>
                                      <w:rPr>
                                        <w:rFonts w:hint="eastAsia"/>
                                        <w:sz w:val="18"/>
                                        <w:szCs w:val="18"/>
                                      </w:rPr>
                                      <w:t>自来水</w:t>
                                    </w:r>
                                  </w:p>
                                  <w:p>
                                    <w:pPr>
                                      <w:jc w:val="center"/>
                                      <w:rPr>
                                        <w:rFonts w:hint="default" w:eastAsia="宋体"/>
                                        <w:sz w:val="18"/>
                                        <w:szCs w:val="18"/>
                                        <w:lang w:val="en-US" w:eastAsia="zh-CN"/>
                                      </w:rPr>
                                    </w:pPr>
                                    <w:r>
                                      <w:rPr>
                                        <w:rFonts w:hint="eastAsia"/>
                                        <w:sz w:val="18"/>
                                        <w:szCs w:val="18"/>
                                        <w:lang w:val="en-US" w:eastAsia="zh-CN"/>
                                      </w:rPr>
                                      <w:t>38522.74</w:t>
                                    </w:r>
                                  </w:p>
                                </w:txbxContent>
                              </wps:txbx>
                              <wps:bodyPr upright="1"/>
                            </wps:wsp>
                            <wps:wsp>
                              <wps:cNvPr id="53" name="圆角矩形 53"/>
                              <wps:cNvSpPr/>
                              <wps:spPr>
                                <a:xfrm>
                                  <a:off x="3912870" y="121920"/>
                                  <a:ext cx="946785" cy="737235"/>
                                </a:xfrm>
                                <a:prstGeom prst="roundRect">
                                  <a:avLst>
                                    <a:gd name="adj" fmla="val 16667"/>
                                  </a:avLst>
                                </a:prstGeom>
                                <a:solidFill>
                                  <a:srgbClr val="FFFFFF"/>
                                </a:solidFill>
                                <a:ln w="9525" cap="flat" cmpd="sng">
                                  <a:noFill/>
                                  <a:prstDash val="solid"/>
                                  <a:headEnd type="none" w="med" len="med"/>
                                  <a:tailEnd type="none" w="med" len="med"/>
                                </a:ln>
                              </wps:spPr>
                              <wps:txbx>
                                <w:txbxContent>
                                  <w:p>
                                    <w:pPr>
                                      <w:jc w:val="center"/>
                                      <w:rPr>
                                        <w:rFonts w:hint="eastAsia"/>
                                        <w:sz w:val="18"/>
                                        <w:szCs w:val="18"/>
                                      </w:rPr>
                                    </w:pPr>
                                    <w:r>
                                      <w:rPr>
                                        <w:rFonts w:hint="eastAsia" w:ascii="Times New Roman" w:hAnsi="Times New Roman" w:eastAsia="宋体" w:cs="Times New Roman"/>
                                        <w:b w:val="0"/>
                                        <w:bCs w:val="0"/>
                                        <w:color w:val="auto"/>
                                        <w:kern w:val="0"/>
                                        <w:sz w:val="18"/>
                                        <w:szCs w:val="18"/>
                                        <w:vertAlign w:val="baseline"/>
                                        <w:lang w:val="en-US" w:eastAsia="zh-CN" w:bidi="ar"/>
                                      </w:rPr>
                                      <w:t>如皋市富港水处理有限公司分厂</w:t>
                                    </w:r>
                                  </w:p>
                                </w:txbxContent>
                              </wps:txbx>
                              <wps:bodyPr upright="1"/>
                            </wps:wsp>
                            <wps:wsp>
                              <wps:cNvPr id="72" name="直接连接符 72"/>
                              <wps:cNvCnPr>
                                <a:endCxn id="85" idx="1"/>
                              </wps:cNvCnPr>
                              <wps:spPr>
                                <a:xfrm>
                                  <a:off x="798195" y="570865"/>
                                  <a:ext cx="655955" cy="635"/>
                                </a:xfrm>
                                <a:prstGeom prst="line">
                                  <a:avLst/>
                                </a:prstGeom>
                                <a:ln w="9525" cap="flat" cmpd="sng">
                                  <a:solidFill>
                                    <a:srgbClr val="000000"/>
                                  </a:solidFill>
                                  <a:prstDash val="solid"/>
                                  <a:headEnd type="none" w="med" len="med"/>
                                  <a:tailEnd type="triangle" w="med" len="med"/>
                                </a:ln>
                              </wps:spPr>
                              <wps:bodyPr upright="1"/>
                            </wps:wsp>
                            <wps:wsp>
                              <wps:cNvPr id="85" name="圆角矩形 85"/>
                              <wps:cNvSpPr/>
                              <wps:spPr>
                                <a:xfrm>
                                  <a:off x="1454150" y="414020"/>
                                  <a:ext cx="819785" cy="31432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sz w:val="18"/>
                                        <w:szCs w:val="18"/>
                                      </w:rPr>
                                    </w:pPr>
                                    <w:r>
                                      <w:rPr>
                                        <w:rFonts w:hint="eastAsia"/>
                                        <w:sz w:val="18"/>
                                        <w:szCs w:val="18"/>
                                      </w:rPr>
                                      <w:t>冷却用水</w:t>
                                    </w:r>
                                  </w:p>
                                </w:txbxContent>
                              </wps:txbx>
                              <wps:bodyPr upright="1"/>
                            </wps:wsp>
                            <wps:wsp>
                              <wps:cNvPr id="86" name="曲线连接符 86"/>
                              <wps:cNvCnPr/>
                              <wps:spPr>
                                <a:xfrm rot="-5400000">
                                  <a:off x="1852295" y="302260"/>
                                  <a:ext cx="119380" cy="99060"/>
                                </a:xfrm>
                                <a:prstGeom prst="curvedConnector3">
                                  <a:avLst>
                                    <a:gd name="adj1" fmla="val 50000"/>
                                  </a:avLst>
                                </a:prstGeom>
                                <a:ln w="9525" cap="flat" cmpd="sng">
                                  <a:solidFill>
                                    <a:srgbClr val="000000"/>
                                  </a:solidFill>
                                  <a:prstDash val="solid"/>
                                  <a:headEnd type="none" w="med" len="med"/>
                                  <a:tailEnd type="triangle" w="med" len="med"/>
                                </a:ln>
                              </wps:spPr>
                              <wps:bodyPr/>
                            </wps:wsp>
                            <wps:wsp>
                              <wps:cNvPr id="87" name="圆角矩形 87"/>
                              <wps:cNvSpPr/>
                              <wps:spPr>
                                <a:xfrm>
                                  <a:off x="636905" y="314960"/>
                                  <a:ext cx="654050" cy="285750"/>
                                </a:xfrm>
                                <a:prstGeom prst="roundRect">
                                  <a:avLst>
                                    <a:gd name="adj" fmla="val 16667"/>
                                  </a:avLst>
                                </a:prstGeom>
                                <a:noFill/>
                                <a:ln>
                                  <a:noFill/>
                                </a:ln>
                              </wps:spPr>
                              <wps:txbx>
                                <w:txbxContent>
                                  <w:p>
                                    <w:pPr>
                                      <w:jc w:val="center"/>
                                      <w:rPr>
                                        <w:rFonts w:hint="default" w:eastAsia="宋体"/>
                                        <w:sz w:val="18"/>
                                        <w:szCs w:val="18"/>
                                        <w:lang w:val="en-US" w:eastAsia="zh-CN"/>
                                      </w:rPr>
                                    </w:pPr>
                                    <w:r>
                                      <w:rPr>
                                        <w:rFonts w:hint="eastAsia"/>
                                        <w:sz w:val="18"/>
                                        <w:szCs w:val="18"/>
                                        <w:lang w:val="en-US" w:eastAsia="zh-CN"/>
                                      </w:rPr>
                                      <w:t>34800</w:t>
                                    </w:r>
                                  </w:p>
                                </w:txbxContent>
                              </wps:txbx>
                              <wps:bodyPr upright="1"/>
                            </wps:wsp>
                            <wps:wsp>
                              <wps:cNvPr id="88" name="圆角矩形 88"/>
                              <wps:cNvSpPr/>
                              <wps:spPr>
                                <a:xfrm>
                                  <a:off x="1688465" y="30480"/>
                                  <a:ext cx="716280" cy="264160"/>
                                </a:xfrm>
                                <a:prstGeom prst="roundRect">
                                  <a:avLst>
                                    <a:gd name="adj" fmla="val 16667"/>
                                  </a:avLst>
                                </a:prstGeom>
                                <a:noFill/>
                                <a:ln>
                                  <a:noFill/>
                                </a:ln>
                              </wps:spPr>
                              <wps:txbx>
                                <w:txbxContent>
                                  <w:p>
                                    <w:pPr>
                                      <w:jc w:val="center"/>
                                      <w:rPr>
                                        <w:rFonts w:hint="default" w:eastAsia="宋体"/>
                                        <w:sz w:val="18"/>
                                        <w:szCs w:val="18"/>
                                        <w:lang w:val="en-US" w:eastAsia="zh-CN"/>
                                      </w:rPr>
                                    </w:pPr>
                                    <w:r>
                                      <w:rPr>
                                        <w:rFonts w:hint="eastAsia"/>
                                        <w:sz w:val="18"/>
                                        <w:szCs w:val="18"/>
                                        <w:lang w:val="en-US" w:eastAsia="zh-CN"/>
                                      </w:rPr>
                                      <w:t>34560</w:t>
                                    </w:r>
                                  </w:p>
                                  <w:p>
                                    <w:pPr>
                                      <w:jc w:val="center"/>
                                      <w:rPr>
                                        <w:rFonts w:hint="default" w:eastAsia="宋体"/>
                                        <w:sz w:val="18"/>
                                        <w:szCs w:val="18"/>
                                        <w:lang w:val="en-US" w:eastAsia="zh-CN"/>
                                      </w:rPr>
                                    </w:pPr>
                                  </w:p>
                                </w:txbxContent>
                              </wps:txbx>
                              <wps:bodyPr upright="1"/>
                            </wps:wsp>
                            <wps:wsp>
                              <wps:cNvPr id="90" name="直接箭头连接符 90"/>
                              <wps:cNvCnPr/>
                              <wps:spPr>
                                <a:xfrm>
                                  <a:off x="2282825" y="574040"/>
                                  <a:ext cx="692785" cy="635"/>
                                </a:xfrm>
                                <a:prstGeom prst="straightConnector1">
                                  <a:avLst/>
                                </a:prstGeom>
                                <a:ln w="9525" cap="flat" cmpd="sng">
                                  <a:solidFill>
                                    <a:srgbClr val="000000"/>
                                  </a:solidFill>
                                  <a:prstDash val="solid"/>
                                  <a:headEnd type="none" w="med" len="med"/>
                                  <a:tailEnd type="none" w="med" len="med"/>
                                </a:ln>
                              </wps:spPr>
                              <wps:bodyPr/>
                            </wps:wsp>
                            <wps:wsp>
                              <wps:cNvPr id="91" name="直接箭头连接符 91"/>
                              <wps:cNvCnPr/>
                              <wps:spPr>
                                <a:xfrm>
                                  <a:off x="2975610" y="574040"/>
                                  <a:ext cx="3175" cy="600710"/>
                                </a:xfrm>
                                <a:prstGeom prst="straightConnector1">
                                  <a:avLst/>
                                </a:prstGeom>
                                <a:ln w="9525" cap="flat" cmpd="sng">
                                  <a:solidFill>
                                    <a:srgbClr val="000000"/>
                                  </a:solidFill>
                                  <a:prstDash val="solid"/>
                                  <a:headEnd type="none" w="med" len="med"/>
                                  <a:tailEnd type="none" w="med" len="med"/>
                                </a:ln>
                              </wps:spPr>
                              <wps:bodyPr/>
                            </wps:wsp>
                            <wps:wsp>
                              <wps:cNvPr id="92" name="文本框 92"/>
                              <wps:cNvSpPr txBox="1"/>
                              <wps:spPr>
                                <a:xfrm>
                                  <a:off x="1525905" y="941070"/>
                                  <a:ext cx="1593850" cy="270510"/>
                                </a:xfrm>
                                <a:prstGeom prst="rect">
                                  <a:avLst/>
                                </a:prstGeom>
                                <a:noFill/>
                                <a:ln>
                                  <a:noFill/>
                                </a:ln>
                              </wps:spPr>
                              <wps:txbx>
                                <w:txbxContent>
                                  <w:p>
                                    <w:pPr>
                                      <w:jc w:val="center"/>
                                      <w:rPr>
                                        <w:rFonts w:hint="eastAsia"/>
                                        <w:sz w:val="18"/>
                                        <w:szCs w:val="18"/>
                                      </w:rPr>
                                    </w:pPr>
                                    <w:r>
                                      <w:rPr>
                                        <w:rFonts w:hint="eastAsia"/>
                                        <w:sz w:val="18"/>
                                        <w:szCs w:val="18"/>
                                      </w:rPr>
                                      <w:t>循环能力</w:t>
                                    </w:r>
                                    <w:r>
                                      <w:rPr>
                                        <w:rFonts w:hint="eastAsia"/>
                                        <w:sz w:val="18"/>
                                        <w:szCs w:val="18"/>
                                        <w:lang w:val="en-US" w:eastAsia="zh-CN"/>
                                      </w:rPr>
                                      <w:t>1728</w:t>
                                    </w:r>
                                    <w:r>
                                      <w:rPr>
                                        <w:sz w:val="18"/>
                                        <w:szCs w:val="18"/>
                                      </w:rPr>
                                      <w:t>000m</w:t>
                                    </w:r>
                                    <w:r>
                                      <w:rPr>
                                        <w:sz w:val="18"/>
                                        <w:szCs w:val="18"/>
                                        <w:vertAlign w:val="superscript"/>
                                      </w:rPr>
                                      <w:t>3</w:t>
                                    </w:r>
                                    <w:r>
                                      <w:rPr>
                                        <w:sz w:val="18"/>
                                        <w:szCs w:val="18"/>
                                      </w:rPr>
                                      <w:t>/a</w:t>
                                    </w:r>
                                  </w:p>
                                </w:txbxContent>
                              </wps:txbx>
                              <wps:bodyPr lIns="0" tIns="36000" rIns="0" bIns="36000" upright="1">
                                <a:spAutoFit/>
                              </wps:bodyPr>
                            </wps:wsp>
                            <wps:wsp>
                              <wps:cNvPr id="93" name="直接箭头连接符 93"/>
                              <wps:cNvCnPr/>
                              <wps:spPr>
                                <a:xfrm flipH="1" flipV="1">
                                  <a:off x="1718945" y="1172845"/>
                                  <a:ext cx="1242060" cy="3810"/>
                                </a:xfrm>
                                <a:prstGeom prst="straightConnector1">
                                  <a:avLst/>
                                </a:prstGeom>
                                <a:ln w="9525" cap="flat" cmpd="sng">
                                  <a:solidFill>
                                    <a:srgbClr val="000000"/>
                                  </a:solidFill>
                                  <a:prstDash val="solid"/>
                                  <a:headEnd type="none" w="med" len="med"/>
                                  <a:tailEnd type="none" w="med" len="med"/>
                                </a:ln>
                              </wps:spPr>
                              <wps:bodyPr/>
                            </wps:wsp>
                            <wps:wsp>
                              <wps:cNvPr id="94" name="直接箭头连接符 94"/>
                              <wps:cNvCnPr/>
                              <wps:spPr>
                                <a:xfrm flipV="1">
                                  <a:off x="1713230" y="726440"/>
                                  <a:ext cx="1905" cy="443865"/>
                                </a:xfrm>
                                <a:prstGeom prst="straightConnector1">
                                  <a:avLst/>
                                </a:prstGeom>
                                <a:ln w="9525" cap="flat" cmpd="sng">
                                  <a:solidFill>
                                    <a:srgbClr val="000000"/>
                                  </a:solidFill>
                                  <a:prstDash val="solid"/>
                                  <a:headEnd type="none" w="med" len="med"/>
                                  <a:tailEnd type="stealth" w="med" len="med"/>
                                </a:ln>
                              </wps:spPr>
                              <wps:bodyPr/>
                            </wps:wsp>
                            <wps:wsp>
                              <wps:cNvPr id="111" name="圆角矩形 111"/>
                              <wps:cNvSpPr/>
                              <wps:spPr>
                                <a:xfrm>
                                  <a:off x="2370455" y="269875"/>
                                  <a:ext cx="537845" cy="309245"/>
                                </a:xfrm>
                                <a:prstGeom prst="roundRect">
                                  <a:avLst>
                                    <a:gd name="adj" fmla="val 16667"/>
                                  </a:avLst>
                                </a:prstGeom>
                                <a:noFill/>
                                <a:ln>
                                  <a:noFill/>
                                </a:ln>
                              </wps:spPr>
                              <wps:txbx>
                                <w:txbxContent>
                                  <w:p>
                                    <w:pPr>
                                      <w:jc w:val="center"/>
                                      <w:rPr>
                                        <w:rFonts w:hint="default" w:eastAsia="宋体"/>
                                        <w:sz w:val="18"/>
                                        <w:szCs w:val="18"/>
                                        <w:lang w:val="en-US" w:eastAsia="zh-CN"/>
                                      </w:rPr>
                                    </w:pPr>
                                    <w:r>
                                      <w:rPr>
                                        <w:rFonts w:hint="eastAsia"/>
                                        <w:sz w:val="18"/>
                                        <w:szCs w:val="18"/>
                                        <w:lang w:val="en-US" w:eastAsia="zh-CN"/>
                                      </w:rPr>
                                      <w:t>240</w:t>
                                    </w:r>
                                  </w:p>
                                </w:txbxContent>
                              </wps:txbx>
                              <wps:bodyPr upright="1"/>
                            </wps:wsp>
                            <wps:wsp>
                              <wps:cNvPr id="183" name="直接连接符 183"/>
                              <wps:cNvCnPr/>
                              <wps:spPr>
                                <a:xfrm flipV="1">
                                  <a:off x="2270125" y="498475"/>
                                  <a:ext cx="725170" cy="6350"/>
                                </a:xfrm>
                                <a:prstGeom prst="line">
                                  <a:avLst/>
                                </a:prstGeom>
                                <a:ln w="9525" cap="flat" cmpd="sng">
                                  <a:solidFill>
                                    <a:srgbClr val="000000"/>
                                  </a:solidFill>
                                  <a:prstDash val="solid"/>
                                  <a:headEnd type="none" w="med" len="med"/>
                                  <a:tailEnd type="triangle" w="med" len="med"/>
                                </a:ln>
                              </wps:spPr>
                              <wps:bodyPr upright="1"/>
                            </wps:wsp>
                            <wps:wsp>
                              <wps:cNvPr id="9" name="圆角矩形 9"/>
                              <wps:cNvSpPr/>
                              <wps:spPr>
                                <a:xfrm>
                                  <a:off x="1424305" y="1558290"/>
                                  <a:ext cx="819785" cy="31432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sz w:val="18"/>
                                        <w:szCs w:val="18"/>
                                      </w:rPr>
                                    </w:pPr>
                                    <w:r>
                                      <w:rPr>
                                        <w:rFonts w:hint="eastAsia"/>
                                        <w:sz w:val="18"/>
                                        <w:szCs w:val="18"/>
                                        <w:lang w:eastAsia="zh-CN"/>
                                      </w:rPr>
                                      <w:t>生活</w:t>
                                    </w:r>
                                    <w:r>
                                      <w:rPr>
                                        <w:rFonts w:hint="eastAsia"/>
                                        <w:sz w:val="18"/>
                                        <w:szCs w:val="18"/>
                                      </w:rPr>
                                      <w:t>用水</w:t>
                                    </w:r>
                                  </w:p>
                                </w:txbxContent>
                              </wps:txbx>
                              <wps:bodyPr upright="1"/>
                            </wps:wsp>
                            <wps:wsp>
                              <wps:cNvPr id="10" name="曲线连接符 10"/>
                              <wps:cNvCnPr/>
                              <wps:spPr>
                                <a:xfrm rot="-5400000">
                                  <a:off x="1816100" y="1456690"/>
                                  <a:ext cx="119380" cy="99060"/>
                                </a:xfrm>
                                <a:prstGeom prst="curvedConnector3">
                                  <a:avLst>
                                    <a:gd name="adj1" fmla="val 50000"/>
                                  </a:avLst>
                                </a:prstGeom>
                                <a:ln w="9525" cap="flat" cmpd="sng">
                                  <a:solidFill>
                                    <a:srgbClr val="000000"/>
                                  </a:solidFill>
                                  <a:prstDash val="solid"/>
                                  <a:headEnd type="none" w="med" len="med"/>
                                  <a:tailEnd type="triangle" w="med" len="med"/>
                                </a:ln>
                              </wps:spPr>
                              <wps:bodyPr/>
                            </wps:wsp>
                            <wps:wsp>
                              <wps:cNvPr id="11" name="圆角矩形 11"/>
                              <wps:cNvSpPr/>
                              <wps:spPr>
                                <a:xfrm>
                                  <a:off x="1652270" y="1184910"/>
                                  <a:ext cx="716280" cy="264160"/>
                                </a:xfrm>
                                <a:prstGeom prst="roundRect">
                                  <a:avLst>
                                    <a:gd name="adj" fmla="val 16667"/>
                                  </a:avLst>
                                </a:prstGeom>
                                <a:noFill/>
                                <a:ln>
                                  <a:noFill/>
                                </a:ln>
                              </wps:spPr>
                              <wps:txbx>
                                <w:txbxContent>
                                  <w:p>
                                    <w:pPr>
                                      <w:jc w:val="center"/>
                                      <w:rPr>
                                        <w:rFonts w:hint="default" w:eastAsia="宋体"/>
                                        <w:sz w:val="18"/>
                                        <w:szCs w:val="18"/>
                                        <w:lang w:val="en-US" w:eastAsia="zh-CN"/>
                                      </w:rPr>
                                    </w:pPr>
                                    <w:r>
                                      <w:rPr>
                                        <w:rFonts w:hint="eastAsia"/>
                                        <w:sz w:val="18"/>
                                        <w:szCs w:val="18"/>
                                        <w:lang w:val="en-US" w:eastAsia="zh-CN"/>
                                      </w:rPr>
                                      <w:t>720</w:t>
                                    </w:r>
                                  </w:p>
                                </w:txbxContent>
                              </wps:txbx>
                              <wps:bodyPr upright="1"/>
                            </wps:wsp>
                            <wps:wsp>
                              <wps:cNvPr id="32" name="直接连接符 32"/>
                              <wps:cNvCnPr/>
                              <wps:spPr>
                                <a:xfrm>
                                  <a:off x="798195" y="1718310"/>
                                  <a:ext cx="617220" cy="6350"/>
                                </a:xfrm>
                                <a:prstGeom prst="line">
                                  <a:avLst/>
                                </a:prstGeom>
                                <a:ln w="9525" cap="flat" cmpd="sng">
                                  <a:solidFill>
                                    <a:srgbClr val="000000"/>
                                  </a:solidFill>
                                  <a:prstDash val="solid"/>
                                  <a:headEnd type="none" w="med" len="med"/>
                                  <a:tailEnd type="triangle" w="med" len="med"/>
                                </a:ln>
                              </wps:spPr>
                              <wps:bodyPr upright="1"/>
                            </wps:wsp>
                            <wps:wsp>
                              <wps:cNvPr id="35" name="圆角矩形 35"/>
                              <wps:cNvSpPr/>
                              <wps:spPr>
                                <a:xfrm>
                                  <a:off x="694055" y="1442085"/>
                                  <a:ext cx="654050" cy="285750"/>
                                </a:xfrm>
                                <a:prstGeom prst="roundRect">
                                  <a:avLst>
                                    <a:gd name="adj" fmla="val 16667"/>
                                  </a:avLst>
                                </a:prstGeom>
                                <a:noFill/>
                                <a:ln>
                                  <a:noFill/>
                                </a:ln>
                              </wps:spPr>
                              <wps:txbx>
                                <w:txbxContent>
                                  <w:p>
                                    <w:pPr>
                                      <w:jc w:val="center"/>
                                      <w:rPr>
                                        <w:rFonts w:hint="default" w:eastAsia="宋体"/>
                                        <w:sz w:val="18"/>
                                        <w:szCs w:val="18"/>
                                        <w:lang w:val="en-US" w:eastAsia="zh-CN"/>
                                      </w:rPr>
                                    </w:pPr>
                                    <w:r>
                                      <w:rPr>
                                        <w:rFonts w:hint="eastAsia"/>
                                        <w:sz w:val="18"/>
                                        <w:szCs w:val="18"/>
                                        <w:lang w:val="en-US" w:eastAsia="zh-CN"/>
                                      </w:rPr>
                                      <w:t>3600</w:t>
                                    </w:r>
                                  </w:p>
                                </w:txbxContent>
                              </wps:txbx>
                              <wps:bodyPr upright="1"/>
                            </wps:wsp>
                            <wps:wsp>
                              <wps:cNvPr id="36" name="直接箭头连接符 36"/>
                              <wps:cNvCnPr/>
                              <wps:spPr>
                                <a:xfrm flipH="1">
                                  <a:off x="796290" y="577215"/>
                                  <a:ext cx="1905" cy="2554605"/>
                                </a:xfrm>
                                <a:prstGeom prst="straightConnector1">
                                  <a:avLst/>
                                </a:prstGeom>
                                <a:ln w="9525" cap="flat" cmpd="sng">
                                  <a:solidFill>
                                    <a:srgbClr val="000000"/>
                                  </a:solidFill>
                                  <a:prstDash val="solid"/>
                                  <a:headEnd type="none" w="med" len="med"/>
                                  <a:tailEnd type="none" w="med" len="med"/>
                                </a:ln>
                              </wps:spPr>
                              <wps:bodyPr/>
                            </wps:wsp>
                            <wps:wsp>
                              <wps:cNvPr id="39" name="圆角矩形 39"/>
                              <wps:cNvSpPr/>
                              <wps:spPr>
                                <a:xfrm>
                                  <a:off x="2706370" y="1551305"/>
                                  <a:ext cx="819785" cy="31432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sz w:val="18"/>
                                        <w:szCs w:val="18"/>
                                      </w:rPr>
                                    </w:pPr>
                                    <w:r>
                                      <w:rPr>
                                        <w:rFonts w:hint="eastAsia"/>
                                        <w:sz w:val="18"/>
                                        <w:szCs w:val="18"/>
                                        <w:lang w:eastAsia="zh-CN"/>
                                      </w:rPr>
                                      <w:t>化粪池</w:t>
                                    </w:r>
                                  </w:p>
                                </w:txbxContent>
                              </wps:txbx>
                              <wps:bodyPr upright="1"/>
                            </wps:wsp>
                            <wps:wsp>
                              <wps:cNvPr id="40" name="圆角矩形 40"/>
                              <wps:cNvSpPr/>
                              <wps:spPr>
                                <a:xfrm>
                                  <a:off x="685165" y="2146300"/>
                                  <a:ext cx="654050" cy="285750"/>
                                </a:xfrm>
                                <a:prstGeom prst="roundRect">
                                  <a:avLst>
                                    <a:gd name="adj" fmla="val 16667"/>
                                  </a:avLst>
                                </a:prstGeom>
                                <a:noFill/>
                                <a:ln>
                                  <a:noFill/>
                                </a:ln>
                              </wps:spPr>
                              <wps:txbx>
                                <w:txbxContent>
                                  <w:p>
                                    <w:pPr>
                                      <w:jc w:val="center"/>
                                      <w:rPr>
                                        <w:rFonts w:hint="default" w:eastAsia="宋体"/>
                                        <w:sz w:val="18"/>
                                        <w:szCs w:val="18"/>
                                        <w:lang w:val="en-US" w:eastAsia="zh-CN"/>
                                      </w:rPr>
                                    </w:pPr>
                                    <w:r>
                                      <w:rPr>
                                        <w:rFonts w:hint="eastAsia"/>
                                        <w:sz w:val="18"/>
                                        <w:szCs w:val="18"/>
                                        <w:lang w:val="en-US" w:eastAsia="zh-CN"/>
                                      </w:rPr>
                                      <w:t>120</w:t>
                                    </w:r>
                                  </w:p>
                                </w:txbxContent>
                              </wps:txbx>
                              <wps:bodyPr upright="1"/>
                            </wps:wsp>
                            <wps:wsp>
                              <wps:cNvPr id="41" name="直接连接符 41"/>
                              <wps:cNvCnPr/>
                              <wps:spPr>
                                <a:xfrm>
                                  <a:off x="801370" y="2430145"/>
                                  <a:ext cx="569595" cy="1270"/>
                                </a:xfrm>
                                <a:prstGeom prst="line">
                                  <a:avLst/>
                                </a:prstGeom>
                                <a:ln w="9525" cap="flat" cmpd="sng">
                                  <a:solidFill>
                                    <a:srgbClr val="000000"/>
                                  </a:solidFill>
                                  <a:prstDash val="solid"/>
                                  <a:headEnd type="none" w="med" len="med"/>
                                  <a:tailEnd type="triangle" w="med" len="med"/>
                                </a:ln>
                              </wps:spPr>
                              <wps:bodyPr upright="1"/>
                            </wps:wsp>
                            <wps:wsp>
                              <wps:cNvPr id="42" name="圆角矩形 42"/>
                              <wps:cNvSpPr/>
                              <wps:spPr>
                                <a:xfrm>
                                  <a:off x="1379855" y="2261235"/>
                                  <a:ext cx="819785" cy="31432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sz w:val="18"/>
                                        <w:szCs w:val="18"/>
                                      </w:rPr>
                                    </w:pPr>
                                    <w:r>
                                      <w:rPr>
                                        <w:rFonts w:hint="eastAsia"/>
                                        <w:sz w:val="18"/>
                                        <w:szCs w:val="18"/>
                                        <w:lang w:eastAsia="zh-CN"/>
                                      </w:rPr>
                                      <w:t>食堂</w:t>
                                    </w:r>
                                    <w:r>
                                      <w:rPr>
                                        <w:rFonts w:hint="eastAsia"/>
                                        <w:sz w:val="18"/>
                                        <w:szCs w:val="18"/>
                                      </w:rPr>
                                      <w:t>用水</w:t>
                                    </w:r>
                                  </w:p>
                                </w:txbxContent>
                              </wps:txbx>
                              <wps:bodyPr upright="1"/>
                            </wps:wsp>
                            <wps:wsp>
                              <wps:cNvPr id="44" name="曲线连接符 44"/>
                              <wps:cNvCnPr/>
                              <wps:spPr>
                                <a:xfrm rot="-5400000">
                                  <a:off x="1771650" y="2159635"/>
                                  <a:ext cx="119380" cy="99060"/>
                                </a:xfrm>
                                <a:prstGeom prst="curvedConnector3">
                                  <a:avLst>
                                    <a:gd name="adj1" fmla="val 50000"/>
                                  </a:avLst>
                                </a:prstGeom>
                                <a:ln w="9525" cap="flat" cmpd="sng">
                                  <a:solidFill>
                                    <a:srgbClr val="000000"/>
                                  </a:solidFill>
                                  <a:prstDash val="solid"/>
                                  <a:headEnd type="none" w="med" len="med"/>
                                  <a:tailEnd type="triangle" w="med" len="med"/>
                                </a:ln>
                              </wps:spPr>
                              <wps:bodyPr/>
                            </wps:wsp>
                            <wps:wsp>
                              <wps:cNvPr id="45" name="圆角矩形 45"/>
                              <wps:cNvSpPr/>
                              <wps:spPr>
                                <a:xfrm>
                                  <a:off x="1607820" y="1887855"/>
                                  <a:ext cx="716280" cy="264160"/>
                                </a:xfrm>
                                <a:prstGeom prst="roundRect">
                                  <a:avLst>
                                    <a:gd name="adj" fmla="val 16667"/>
                                  </a:avLst>
                                </a:prstGeom>
                                <a:noFill/>
                                <a:ln>
                                  <a:noFill/>
                                </a:ln>
                              </wps:spPr>
                              <wps:txbx>
                                <w:txbxContent>
                                  <w:p>
                                    <w:pPr>
                                      <w:jc w:val="center"/>
                                      <w:rPr>
                                        <w:rFonts w:hint="default" w:eastAsia="宋体"/>
                                        <w:sz w:val="18"/>
                                        <w:szCs w:val="18"/>
                                        <w:lang w:val="en-US" w:eastAsia="zh-CN"/>
                                      </w:rPr>
                                    </w:pPr>
                                    <w:r>
                                      <w:rPr>
                                        <w:rFonts w:hint="eastAsia"/>
                                        <w:sz w:val="18"/>
                                        <w:szCs w:val="18"/>
                                        <w:lang w:val="en-US" w:eastAsia="zh-CN"/>
                                      </w:rPr>
                                      <w:t>24</w:t>
                                    </w:r>
                                  </w:p>
                                </w:txbxContent>
                              </wps:txbx>
                              <wps:bodyPr upright="1"/>
                            </wps:wsp>
                            <wps:wsp>
                              <wps:cNvPr id="46" name="圆角矩形 46"/>
                              <wps:cNvSpPr/>
                              <wps:spPr>
                                <a:xfrm>
                                  <a:off x="2710815" y="2258695"/>
                                  <a:ext cx="819785" cy="31432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sz w:val="18"/>
                                        <w:szCs w:val="18"/>
                                      </w:rPr>
                                    </w:pPr>
                                    <w:r>
                                      <w:rPr>
                                        <w:rFonts w:hint="eastAsia"/>
                                        <w:sz w:val="18"/>
                                        <w:szCs w:val="18"/>
                                        <w:lang w:eastAsia="zh-CN"/>
                                      </w:rPr>
                                      <w:t>隔油池</w:t>
                                    </w:r>
                                  </w:p>
                                </w:txbxContent>
                              </wps:txbx>
                              <wps:bodyPr upright="1"/>
                            </wps:wsp>
                            <wps:wsp>
                              <wps:cNvPr id="47" name="直接连接符 47"/>
                              <wps:cNvCnPr>
                                <a:stCxn id="42" idx="3"/>
                                <a:endCxn id="46" idx="1"/>
                              </wps:cNvCnPr>
                              <wps:spPr>
                                <a:xfrm flipV="1">
                                  <a:off x="2199640" y="2416175"/>
                                  <a:ext cx="511175" cy="2540"/>
                                </a:xfrm>
                                <a:prstGeom prst="line">
                                  <a:avLst/>
                                </a:prstGeom>
                                <a:ln w="9525" cap="flat" cmpd="sng">
                                  <a:solidFill>
                                    <a:srgbClr val="000000"/>
                                  </a:solidFill>
                                  <a:prstDash val="solid"/>
                                  <a:headEnd type="none" w="med" len="med"/>
                                  <a:tailEnd type="triangle" w="med" len="med"/>
                                </a:ln>
                              </wps:spPr>
                              <wps:bodyPr upright="1"/>
                            </wps:wsp>
                            <wps:wsp>
                              <wps:cNvPr id="48" name="直接连接符 48"/>
                              <wps:cNvCnPr/>
                              <wps:spPr>
                                <a:xfrm flipV="1">
                                  <a:off x="2252980" y="1718310"/>
                                  <a:ext cx="438150" cy="2540"/>
                                </a:xfrm>
                                <a:prstGeom prst="line">
                                  <a:avLst/>
                                </a:prstGeom>
                                <a:ln w="9525" cap="flat" cmpd="sng">
                                  <a:solidFill>
                                    <a:srgbClr val="000000"/>
                                  </a:solidFill>
                                  <a:prstDash val="solid"/>
                                  <a:headEnd type="none" w="med" len="med"/>
                                  <a:tailEnd type="triangle" w="med" len="med"/>
                                </a:ln>
                              </wps:spPr>
                              <wps:bodyPr upright="1"/>
                            </wps:wsp>
                            <wps:wsp>
                              <wps:cNvPr id="49" name="圆角矩形 49"/>
                              <wps:cNvSpPr/>
                              <wps:spPr>
                                <a:xfrm>
                                  <a:off x="2060575" y="2163445"/>
                                  <a:ext cx="716280" cy="264160"/>
                                </a:xfrm>
                                <a:prstGeom prst="roundRect">
                                  <a:avLst>
                                    <a:gd name="adj" fmla="val 16667"/>
                                  </a:avLst>
                                </a:prstGeom>
                                <a:noFill/>
                                <a:ln>
                                  <a:noFill/>
                                </a:ln>
                              </wps:spPr>
                              <wps:txbx>
                                <w:txbxContent>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96</w:t>
                                    </w:r>
                                  </w:p>
                                </w:txbxContent>
                              </wps:txbx>
                              <wps:bodyPr upright="1"/>
                            </wps:wsp>
                            <wps:wsp>
                              <wps:cNvPr id="50" name="直接连接符 50"/>
                              <wps:cNvCnPr>
                                <a:stCxn id="46" idx="0"/>
                                <a:endCxn id="39" idx="2"/>
                              </wps:cNvCnPr>
                              <wps:spPr>
                                <a:xfrm flipH="1" flipV="1">
                                  <a:off x="3116580" y="1865630"/>
                                  <a:ext cx="4445" cy="393065"/>
                                </a:xfrm>
                                <a:prstGeom prst="line">
                                  <a:avLst/>
                                </a:prstGeom>
                                <a:ln w="9525" cap="flat" cmpd="sng">
                                  <a:solidFill>
                                    <a:srgbClr val="000000"/>
                                  </a:solidFill>
                                  <a:prstDash val="solid"/>
                                  <a:headEnd type="none" w="med" len="med"/>
                                  <a:tailEnd type="triangle" w="med" len="med"/>
                                </a:ln>
                              </wps:spPr>
                              <wps:bodyPr upright="1"/>
                            </wps:wsp>
                            <wps:wsp>
                              <wps:cNvPr id="51" name="圆角矩形 51"/>
                              <wps:cNvSpPr/>
                              <wps:spPr>
                                <a:xfrm>
                                  <a:off x="2098675" y="1465580"/>
                                  <a:ext cx="654050" cy="285750"/>
                                </a:xfrm>
                                <a:prstGeom prst="roundRect">
                                  <a:avLst>
                                    <a:gd name="adj" fmla="val 16667"/>
                                  </a:avLst>
                                </a:prstGeom>
                                <a:noFill/>
                                <a:ln>
                                  <a:noFill/>
                                </a:ln>
                              </wps:spPr>
                              <wps:txbx>
                                <w:txbxContent>
                                  <w:p>
                                    <w:pPr>
                                      <w:jc w:val="center"/>
                                      <w:rPr>
                                        <w:rFonts w:hint="default" w:eastAsia="宋体"/>
                                        <w:sz w:val="18"/>
                                        <w:szCs w:val="18"/>
                                        <w:lang w:val="en-US" w:eastAsia="zh-CN"/>
                                      </w:rPr>
                                    </w:pPr>
                                    <w:r>
                                      <w:rPr>
                                        <w:rFonts w:hint="eastAsia"/>
                                        <w:sz w:val="18"/>
                                        <w:szCs w:val="18"/>
                                        <w:lang w:val="en-US" w:eastAsia="zh-CN"/>
                                      </w:rPr>
                                      <w:t>2880</w:t>
                                    </w:r>
                                  </w:p>
                                </w:txbxContent>
                              </wps:txbx>
                              <wps:bodyPr upright="1"/>
                            </wps:wsp>
                            <wps:wsp>
                              <wps:cNvPr id="52" name="肘形连接符 52"/>
                              <wps:cNvCnPr>
                                <a:stCxn id="39" idx="3"/>
                                <a:endCxn id="53" idx="2"/>
                              </wps:cNvCnPr>
                              <wps:spPr>
                                <a:xfrm flipV="1">
                                  <a:off x="3526155" y="859155"/>
                                  <a:ext cx="860425" cy="849630"/>
                                </a:xfrm>
                                <a:prstGeom prst="bentConnector2">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54" name="圆角矩形 54"/>
                              <wps:cNvSpPr/>
                              <wps:spPr>
                                <a:xfrm>
                                  <a:off x="3669030" y="1470660"/>
                                  <a:ext cx="537845" cy="309245"/>
                                </a:xfrm>
                                <a:prstGeom prst="roundRect">
                                  <a:avLst>
                                    <a:gd name="adj" fmla="val 16667"/>
                                  </a:avLst>
                                </a:prstGeom>
                                <a:noFill/>
                                <a:ln>
                                  <a:noFill/>
                                </a:ln>
                              </wps:spPr>
                              <wps:txbx>
                                <w:txbxContent>
                                  <w:p>
                                    <w:pPr>
                                      <w:jc w:val="center"/>
                                      <w:rPr>
                                        <w:rFonts w:hint="default" w:eastAsia="宋体"/>
                                        <w:sz w:val="18"/>
                                        <w:szCs w:val="18"/>
                                        <w:lang w:val="en-US" w:eastAsia="zh-CN"/>
                                      </w:rPr>
                                    </w:pPr>
                                    <w:r>
                                      <w:rPr>
                                        <w:rFonts w:hint="eastAsia"/>
                                        <w:sz w:val="18"/>
                                        <w:szCs w:val="18"/>
                                        <w:lang w:val="en-US" w:eastAsia="zh-CN"/>
                                      </w:rPr>
                                      <w:t>2976</w:t>
                                    </w:r>
                                  </w:p>
                                </w:txbxContent>
                              </wps:txbx>
                              <wps:bodyPr upright="1"/>
                            </wps:wsp>
                            <wps:wsp>
                              <wps:cNvPr id="8" name="圆角矩形 85"/>
                              <wps:cNvSpPr/>
                              <wps:spPr>
                                <a:xfrm>
                                  <a:off x="2990850" y="304165"/>
                                  <a:ext cx="632460" cy="31432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sz w:val="18"/>
                                        <w:szCs w:val="18"/>
                                      </w:rPr>
                                    </w:pPr>
                                    <w:r>
                                      <w:rPr>
                                        <w:rFonts w:hint="eastAsia"/>
                                        <w:sz w:val="18"/>
                                        <w:szCs w:val="18"/>
                                        <w:lang w:eastAsia="zh-CN"/>
                                      </w:rPr>
                                      <w:t>沉淀池</w:t>
                                    </w:r>
                                  </w:p>
                                </w:txbxContent>
                              </wps:txbx>
                              <wps:bodyPr upright="1"/>
                            </wps:wsp>
                            <wps:wsp>
                              <wps:cNvPr id="12" name="直接连接符 12"/>
                              <wps:cNvCnPr/>
                              <wps:spPr>
                                <a:xfrm>
                                  <a:off x="3656330" y="449580"/>
                                  <a:ext cx="415290" cy="2540"/>
                                </a:xfrm>
                                <a:prstGeom prst="line">
                                  <a:avLst/>
                                </a:prstGeom>
                                <a:ln w="9525" cap="flat" cmpd="sng">
                                  <a:solidFill>
                                    <a:srgbClr val="000000"/>
                                  </a:solidFill>
                                  <a:prstDash val="solid"/>
                                  <a:headEnd type="none" w="med" len="med"/>
                                  <a:tailEnd type="triangle" w="med" len="med"/>
                                </a:ln>
                              </wps:spPr>
                              <wps:bodyPr upright="1"/>
                            </wps:wsp>
                            <wps:wsp>
                              <wps:cNvPr id="4" name="圆角矩形 4"/>
                              <wps:cNvSpPr/>
                              <wps:spPr>
                                <a:xfrm>
                                  <a:off x="660400" y="2863215"/>
                                  <a:ext cx="654050" cy="285750"/>
                                </a:xfrm>
                                <a:prstGeom prst="roundRect">
                                  <a:avLst>
                                    <a:gd name="adj" fmla="val 16667"/>
                                  </a:avLst>
                                </a:prstGeom>
                                <a:noFill/>
                                <a:ln>
                                  <a:noFill/>
                                </a:ln>
                              </wps:spPr>
                              <wps:txbx>
                                <w:txbxContent>
                                  <w:p>
                                    <w:pPr>
                                      <w:jc w:val="center"/>
                                      <w:rPr>
                                        <w:rFonts w:hint="default" w:eastAsia="宋体"/>
                                        <w:sz w:val="18"/>
                                        <w:szCs w:val="18"/>
                                        <w:lang w:val="en-US" w:eastAsia="zh-CN"/>
                                      </w:rPr>
                                    </w:pPr>
                                    <w:r>
                                      <w:rPr>
                                        <w:rFonts w:hint="eastAsia"/>
                                        <w:sz w:val="18"/>
                                        <w:szCs w:val="18"/>
                                        <w:lang w:val="en-US" w:eastAsia="zh-CN"/>
                                      </w:rPr>
                                      <w:t>2.74</w:t>
                                    </w:r>
                                  </w:p>
                                </w:txbxContent>
                              </wps:txbx>
                              <wps:bodyPr upright="1"/>
                            </wps:wsp>
                            <wps:wsp>
                              <wps:cNvPr id="13" name="直接连接符 13"/>
                              <wps:cNvCnPr/>
                              <wps:spPr>
                                <a:xfrm>
                                  <a:off x="804545" y="3114675"/>
                                  <a:ext cx="648335" cy="635"/>
                                </a:xfrm>
                                <a:prstGeom prst="line">
                                  <a:avLst/>
                                </a:prstGeom>
                                <a:ln w="9525" cap="flat" cmpd="sng">
                                  <a:solidFill>
                                    <a:srgbClr val="000000"/>
                                  </a:solidFill>
                                  <a:prstDash val="solid"/>
                                  <a:headEnd type="none" w="med" len="med"/>
                                  <a:tailEnd type="triangle" w="med" len="med"/>
                                </a:ln>
                              </wps:spPr>
                              <wps:bodyPr upright="1"/>
                            </wps:wsp>
                            <wps:wsp>
                              <wps:cNvPr id="14" name="圆角矩形 14"/>
                              <wps:cNvSpPr/>
                              <wps:spPr>
                                <a:xfrm>
                                  <a:off x="1461770" y="2945130"/>
                                  <a:ext cx="819785" cy="31432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eastAsia="宋体"/>
                                        <w:sz w:val="18"/>
                                        <w:szCs w:val="18"/>
                                        <w:lang w:eastAsia="zh-CN"/>
                                      </w:rPr>
                                    </w:pPr>
                                    <w:r>
                                      <w:rPr>
                                        <w:rFonts w:hint="eastAsia"/>
                                        <w:sz w:val="18"/>
                                        <w:szCs w:val="18"/>
                                        <w:lang w:eastAsia="zh-CN"/>
                                      </w:rPr>
                                      <w:t>切削液配水</w:t>
                                    </w:r>
                                  </w:p>
                                </w:txbxContent>
                              </wps:txbx>
                              <wps:bodyPr upright="1"/>
                            </wps:wsp>
                            <wps:wsp>
                              <wps:cNvPr id="15" name="圆角矩形 15"/>
                              <wps:cNvSpPr/>
                              <wps:spPr>
                                <a:xfrm>
                                  <a:off x="1689735" y="2571750"/>
                                  <a:ext cx="716280" cy="264160"/>
                                </a:xfrm>
                                <a:prstGeom prst="roundRect">
                                  <a:avLst>
                                    <a:gd name="adj" fmla="val 16667"/>
                                  </a:avLst>
                                </a:prstGeom>
                                <a:noFill/>
                                <a:ln>
                                  <a:noFill/>
                                </a:ln>
                              </wps:spPr>
                              <wps:txbx>
                                <w:txbxContent>
                                  <w:p>
                                    <w:pPr>
                                      <w:jc w:val="center"/>
                                      <w:rPr>
                                        <w:rFonts w:hint="default" w:eastAsia="宋体"/>
                                        <w:sz w:val="18"/>
                                        <w:szCs w:val="18"/>
                                        <w:lang w:val="en-US" w:eastAsia="zh-CN"/>
                                      </w:rPr>
                                    </w:pPr>
                                    <w:r>
                                      <w:rPr>
                                        <w:rFonts w:hint="eastAsia"/>
                                        <w:sz w:val="18"/>
                                        <w:szCs w:val="18"/>
                                        <w:lang w:val="en-US" w:eastAsia="zh-CN"/>
                                      </w:rPr>
                                      <w:t>0.548</w:t>
                                    </w:r>
                                  </w:p>
                                </w:txbxContent>
                              </wps:txbx>
                              <wps:bodyPr upright="1"/>
                            </wps:wsp>
                            <wps:wsp>
                              <wps:cNvPr id="16" name="曲线连接符 16"/>
                              <wps:cNvCnPr/>
                              <wps:spPr>
                                <a:xfrm rot="-5400000">
                                  <a:off x="1913255" y="2813050"/>
                                  <a:ext cx="119380" cy="99060"/>
                                </a:xfrm>
                                <a:prstGeom prst="curvedConnector3">
                                  <a:avLst>
                                    <a:gd name="adj1" fmla="val 50000"/>
                                  </a:avLst>
                                </a:prstGeom>
                                <a:ln w="9525" cap="flat" cmpd="sng">
                                  <a:solidFill>
                                    <a:srgbClr val="000000"/>
                                  </a:solidFill>
                                  <a:prstDash val="solid"/>
                                  <a:headEnd type="none" w="med" len="med"/>
                                  <a:tailEnd type="triangle" w="med" len="med"/>
                                </a:ln>
                              </wps:spPr>
                              <wps:bodyPr/>
                            </wps:wsp>
                            <wps:wsp>
                              <wps:cNvPr id="17" name="直接连接符 17"/>
                              <wps:cNvCnPr/>
                              <wps:spPr>
                                <a:xfrm>
                                  <a:off x="1538605" y="2828290"/>
                                  <a:ext cx="5080" cy="135890"/>
                                </a:xfrm>
                                <a:prstGeom prst="line">
                                  <a:avLst/>
                                </a:prstGeom>
                                <a:ln w="9525" cap="flat" cmpd="sng">
                                  <a:solidFill>
                                    <a:srgbClr val="000000"/>
                                  </a:solidFill>
                                  <a:prstDash val="solid"/>
                                  <a:headEnd type="none" w="med" len="med"/>
                                  <a:tailEnd type="triangle" w="med" len="med"/>
                                </a:ln>
                              </wps:spPr>
                              <wps:bodyPr upright="1"/>
                            </wps:wsp>
                            <wps:wsp>
                              <wps:cNvPr id="18" name="文本框 18"/>
                              <wps:cNvSpPr txBox="1"/>
                              <wps:spPr>
                                <a:xfrm>
                                  <a:off x="1028065" y="2605405"/>
                                  <a:ext cx="787400" cy="270510"/>
                                </a:xfrm>
                                <a:prstGeom prst="rect">
                                  <a:avLst/>
                                </a:prstGeom>
                                <a:noFill/>
                                <a:ln>
                                  <a:noFill/>
                                </a:ln>
                              </wps:spPr>
                              <wps:txbx>
                                <w:txbxContent>
                                  <w:p>
                                    <w:pPr>
                                      <w:jc w:val="center"/>
                                      <w:rPr>
                                        <w:rFonts w:hint="default" w:eastAsia="宋体"/>
                                        <w:sz w:val="18"/>
                                        <w:szCs w:val="18"/>
                                        <w:lang w:val="en-US" w:eastAsia="zh-CN"/>
                                      </w:rPr>
                                    </w:pPr>
                                    <w:r>
                                      <w:rPr>
                                        <w:rFonts w:hint="eastAsia"/>
                                        <w:sz w:val="18"/>
                                        <w:szCs w:val="18"/>
                                        <w:lang w:eastAsia="zh-CN"/>
                                      </w:rPr>
                                      <w:t>切削液</w:t>
                                    </w:r>
                                    <w:r>
                                      <w:rPr>
                                        <w:rFonts w:hint="eastAsia"/>
                                        <w:sz w:val="18"/>
                                        <w:szCs w:val="18"/>
                                        <w:lang w:val="en-US" w:eastAsia="zh-CN"/>
                                      </w:rPr>
                                      <w:t>0.137</w:t>
                                    </w:r>
                                  </w:p>
                                </w:txbxContent>
                              </wps:txbx>
                              <wps:bodyPr wrap="square" lIns="0" tIns="36000" rIns="0" bIns="36000" upright="1">
                                <a:spAutoFit/>
                              </wps:bodyPr>
                            </wps:wsp>
                            <wps:wsp>
                              <wps:cNvPr id="19" name="直接连接符 19"/>
                              <wps:cNvCnPr/>
                              <wps:spPr>
                                <a:xfrm flipV="1">
                                  <a:off x="2292985" y="3088640"/>
                                  <a:ext cx="598805" cy="635"/>
                                </a:xfrm>
                                <a:prstGeom prst="line">
                                  <a:avLst/>
                                </a:prstGeom>
                                <a:ln w="9525" cap="flat" cmpd="sng">
                                  <a:solidFill>
                                    <a:srgbClr val="000000"/>
                                  </a:solidFill>
                                  <a:prstDash val="solid"/>
                                  <a:headEnd type="none" w="med" len="med"/>
                                  <a:tailEnd type="triangle" w="med" len="med"/>
                                </a:ln>
                              </wps:spPr>
                              <wps:bodyPr upright="1"/>
                            </wps:wsp>
                            <wps:wsp>
                              <wps:cNvPr id="20" name="文本框 20"/>
                              <wps:cNvSpPr txBox="1"/>
                              <wps:spPr>
                                <a:xfrm>
                                  <a:off x="2880995" y="2959100"/>
                                  <a:ext cx="1031875" cy="270510"/>
                                </a:xfrm>
                                <a:prstGeom prst="rect">
                                  <a:avLst/>
                                </a:prstGeom>
                                <a:noFill/>
                                <a:ln>
                                  <a:noFill/>
                                </a:ln>
                              </wps:spPr>
                              <wps:txbx>
                                <w:txbxContent>
                                  <w:p>
                                    <w:pPr>
                                      <w:jc w:val="center"/>
                                      <w:rPr>
                                        <w:rFonts w:hint="default" w:eastAsia="宋体"/>
                                        <w:sz w:val="18"/>
                                        <w:szCs w:val="18"/>
                                        <w:lang w:val="en-US" w:eastAsia="zh-CN"/>
                                      </w:rPr>
                                    </w:pPr>
                                    <w:r>
                                      <w:rPr>
                                        <w:rFonts w:hint="eastAsia"/>
                                        <w:sz w:val="18"/>
                                        <w:szCs w:val="18"/>
                                        <w:lang w:eastAsia="zh-CN"/>
                                      </w:rPr>
                                      <w:t>废切削液（作危废）</w:t>
                                    </w:r>
                                  </w:p>
                                </w:txbxContent>
                              </wps:txbx>
                              <wps:bodyPr wrap="square" lIns="0" tIns="36000" rIns="0" bIns="36000" upright="1">
                                <a:spAutoFit/>
                              </wps:bodyPr>
                            </wps:wsp>
                            <wps:wsp>
                              <wps:cNvPr id="21" name="圆角矩形 21"/>
                              <wps:cNvSpPr/>
                              <wps:spPr>
                                <a:xfrm>
                                  <a:off x="2230755" y="2807970"/>
                                  <a:ext cx="716280" cy="264160"/>
                                </a:xfrm>
                                <a:prstGeom prst="roundRect">
                                  <a:avLst>
                                    <a:gd name="adj" fmla="val 16667"/>
                                  </a:avLst>
                                </a:prstGeom>
                                <a:noFill/>
                                <a:ln>
                                  <a:noFill/>
                                </a:ln>
                              </wps:spPr>
                              <wps:txbx>
                                <w:txbxContent>
                                  <w:p>
                                    <w:pPr>
                                      <w:jc w:val="center"/>
                                      <w:rPr>
                                        <w:rFonts w:hint="default" w:eastAsia="宋体"/>
                                        <w:sz w:val="18"/>
                                        <w:szCs w:val="18"/>
                                        <w:lang w:val="en-US" w:eastAsia="zh-CN"/>
                                      </w:rPr>
                                    </w:pPr>
                                    <w:r>
                                      <w:rPr>
                                        <w:rFonts w:hint="eastAsia"/>
                                        <w:sz w:val="18"/>
                                        <w:szCs w:val="18"/>
                                        <w:lang w:val="en-US" w:eastAsia="zh-CN"/>
                                      </w:rPr>
                                      <w:t>2.329</w:t>
                                    </w:r>
                                  </w:p>
                                </w:txbxContent>
                              </wps:txbx>
                              <wps:bodyPr upright="1"/>
                            </wps:wsp>
                            <wps:wsp>
                              <wps:cNvPr id="82" name="圆角矩形 82"/>
                              <wps:cNvSpPr/>
                              <wps:spPr>
                                <a:xfrm>
                                  <a:off x="3837305" y="701675"/>
                                  <a:ext cx="537845" cy="309245"/>
                                </a:xfrm>
                                <a:prstGeom prst="roundRect">
                                  <a:avLst>
                                    <a:gd name="adj" fmla="val 16667"/>
                                  </a:avLst>
                                </a:prstGeom>
                                <a:noFill/>
                                <a:ln>
                                  <a:noFill/>
                                </a:ln>
                              </wps:spPr>
                              <wps:txbx>
                                <w:txbxContent>
                                  <w:p>
                                    <w:pPr>
                                      <w:jc w:val="center"/>
                                      <w:rPr>
                                        <w:rFonts w:hint="default" w:eastAsia="宋体"/>
                                        <w:color w:val="auto"/>
                                        <w:sz w:val="18"/>
                                        <w:szCs w:val="18"/>
                                        <w:lang w:val="en-US" w:eastAsia="zh-CN"/>
                                      </w:rPr>
                                    </w:pPr>
                                    <w:r>
                                      <w:rPr>
                                        <w:rFonts w:hint="eastAsia"/>
                                        <w:color w:val="auto"/>
                                        <w:sz w:val="18"/>
                                        <w:szCs w:val="18"/>
                                        <w:lang w:val="en-US" w:eastAsia="zh-CN"/>
                                      </w:rPr>
                                      <w:t>3216</w:t>
                                    </w:r>
                                  </w:p>
                                </w:txbxContent>
                              </wps:txbx>
                              <wps:bodyPr upright="1"/>
                            </wps:wsp>
                            <wps:wsp>
                              <wps:cNvPr id="102" name="圆角矩形 102"/>
                              <wps:cNvSpPr/>
                              <wps:spPr>
                                <a:xfrm>
                                  <a:off x="3535045" y="196215"/>
                                  <a:ext cx="537845" cy="309245"/>
                                </a:xfrm>
                                <a:prstGeom prst="roundRect">
                                  <a:avLst>
                                    <a:gd name="adj" fmla="val 16667"/>
                                  </a:avLst>
                                </a:prstGeom>
                                <a:noFill/>
                                <a:ln>
                                  <a:noFill/>
                                </a:ln>
                              </wps:spPr>
                              <wps:txbx>
                                <w:txbxContent>
                                  <w:p>
                                    <w:pPr>
                                      <w:jc w:val="center"/>
                                      <w:rPr>
                                        <w:rFonts w:hint="default" w:eastAsia="宋体"/>
                                        <w:sz w:val="18"/>
                                        <w:szCs w:val="18"/>
                                        <w:lang w:val="en-US" w:eastAsia="zh-CN"/>
                                      </w:rPr>
                                    </w:pPr>
                                    <w:r>
                                      <w:rPr>
                                        <w:rFonts w:hint="eastAsia"/>
                                        <w:sz w:val="18"/>
                                        <w:szCs w:val="18"/>
                                        <w:lang w:val="en-US" w:eastAsia="zh-CN"/>
                                      </w:rPr>
                                      <w:t>240</w:t>
                                    </w:r>
                                  </w:p>
                                </w:txbxContent>
                              </wps:txbx>
                              <wps:bodyPr upright="1"/>
                            </wps:wsp>
                          </wpc:wpc>
                        </a:graphicData>
                      </a:graphic>
                    </wp:inline>
                  </w:drawing>
                </mc:Choice>
                <mc:Fallback>
                  <w:pict>
                    <v:group id="_x0000_s1026" o:spid="_x0000_s1026" o:spt="203" style="height:269.9pt;width:385.05pt;" coordsize="4890135,3427730" editas="canvas" o:gfxdata="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">
                      <o:lock v:ext="edit" aspectratio="f"/>
                      <v:shape id="_x0000_s1026" o:spid="_x0000_s1026" style="position:absolute;left:0;top:0;height:3427730;width:4890135;" filled="f" stroked="f" coordsize="21600,21600" o:gfxdata="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">
                        <v:fill on="f" focussize="0,0"/>
                        <v:stroke on="f"/>
                        <v:imagedata o:title=""/>
                        <o:lock v:ext="edit" aspectratio="t"/>
                      </v:shape>
                      <v:roundrect id="_x0000_s1026" o:spid="_x0000_s1026" o:spt="2" style="position:absolute;left:69215;top:386715;height:548640;width:696595;" filled="f" stroked="f" coordsize="21600,21600" arcsize="0.166666666666667" o:gfxdata="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WAAAAZHJzL1BLAQIUABQAAAAIAIdO4kBHFLbW&#10;1gAAAAUBAAAPAAAAAAAAAAEAIAAAADgAAABkcnMvZG93bnJldi54bWxQSwECFAAUAAAACACHTuJA&#10;jeVu0tQBAACCAwAADgAAAAAAAAABACAAAAA7AQAAZHJzL2Uyb0RvYy54bWxQSwUGAAAAAAYABgBZ&#10;AQAAgQUAAAAA&#10;">
                        <v:fill on="f" focussize="0,0"/>
                        <v:stroke on="f"/>
                        <v:imagedata o:title=""/>
                        <o:lock v:ext="edit" aspectratio="f"/>
                        <v:textbox>
                          <w:txbxContent>
                            <w:p>
                              <w:pPr>
                                <w:jc w:val="center"/>
                                <w:rPr>
                                  <w:rFonts w:hint="eastAsia"/>
                                  <w:sz w:val="18"/>
                                  <w:szCs w:val="18"/>
                                </w:rPr>
                              </w:pPr>
                              <w:r>
                                <w:rPr>
                                  <w:rFonts w:hint="eastAsia"/>
                                  <w:sz w:val="18"/>
                                  <w:szCs w:val="18"/>
                                </w:rPr>
                                <w:t>自来水</w:t>
                              </w:r>
                            </w:p>
                            <w:p>
                              <w:pPr>
                                <w:jc w:val="center"/>
                                <w:rPr>
                                  <w:rFonts w:hint="default" w:eastAsia="宋体"/>
                                  <w:sz w:val="18"/>
                                  <w:szCs w:val="18"/>
                                  <w:lang w:val="en-US" w:eastAsia="zh-CN"/>
                                </w:rPr>
                              </w:pPr>
                              <w:r>
                                <w:rPr>
                                  <w:rFonts w:hint="eastAsia"/>
                                  <w:sz w:val="18"/>
                                  <w:szCs w:val="18"/>
                                  <w:lang w:val="en-US" w:eastAsia="zh-CN"/>
                                </w:rPr>
                                <w:t>38522.74</w:t>
                              </w:r>
                            </w:p>
                          </w:txbxContent>
                        </v:textbox>
                      </v:roundrect>
                      <v:roundrect id="_x0000_s1026" o:spid="_x0000_s1026" o:spt="2" style="position:absolute;left:3912870;top:121920;height:737235;width:946785;" fillcolor="#FFFFFF" filled="t" stroked="f" coordsize="21600,21600" arcsize="0.166666666666667" o:gfxdata="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D9YcOh0wAAAAUBAAAPAAAAAAAAAAEAIAAAADgAAABkcnMvZG93&#10;bnJldi54bWxQSwECFAAUAAAACACHTuJAC0AASSgCAAA5BAAADgAAAAAAAAABACAAAAA4AQAAZHJz&#10;L2Uyb0RvYy54bWxQSwUGAAAAAAYABgBZAQAA0gUAAAAA&#10;">
                        <v:fill on="t" focussize="0,0"/>
                        <v:stroke on="f"/>
                        <v:imagedata o:title=""/>
                        <o:lock v:ext="edit" aspectratio="f"/>
                        <v:textbox>
                          <w:txbxContent>
                            <w:p>
                              <w:pPr>
                                <w:jc w:val="center"/>
                                <w:rPr>
                                  <w:rFonts w:hint="eastAsia"/>
                                  <w:sz w:val="18"/>
                                  <w:szCs w:val="18"/>
                                </w:rPr>
                              </w:pPr>
                              <w:r>
                                <w:rPr>
                                  <w:rFonts w:hint="eastAsia" w:ascii="Times New Roman" w:hAnsi="Times New Roman" w:eastAsia="宋体" w:cs="Times New Roman"/>
                                  <w:b w:val="0"/>
                                  <w:bCs w:val="0"/>
                                  <w:color w:val="auto"/>
                                  <w:kern w:val="0"/>
                                  <w:sz w:val="18"/>
                                  <w:szCs w:val="18"/>
                                  <w:vertAlign w:val="baseline"/>
                                  <w:lang w:val="en-US" w:eastAsia="zh-CN" w:bidi="ar"/>
                                </w:rPr>
                                <w:t>如皋市富港水处理有限公司分厂</w:t>
                              </w:r>
                            </w:p>
                          </w:txbxContent>
                        </v:textbox>
                      </v:roundrect>
                      <v:line id="_x0000_s1026" o:spid="_x0000_s1026" o:spt="20" style="position:absolute;left:798195;top:570865;height:635;width:655955;" filled="f" stroked="t" coordsize="21600,21600" o:gfxdata="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FgAAAGRycy9QSwECFAAU&#10;AAAACACHTuJAUOHkW9cAAAAFAQAADwAAAAAAAAABACAAAAA4AAAAZHJzL2Rvd25yZXYueG1sUEsB&#10;AhQAFAAAAAgAh07iQEB55SQZAgAAHQQAAA4AAAAAAAAAAQAgAAAAPAEAAGRycy9lMm9Eb2MueG1s&#10;UEsFBgAAAAAGAAYAWQEAAMcFAAAAAA==&#10;">
                        <v:fill on="f" focussize="0,0"/>
                        <v:stroke color="#000000" joinstyle="round" endarrow="block"/>
                        <v:imagedata o:title=""/>
                        <o:lock v:ext="edit" aspectratio="f"/>
                      </v:line>
                      <v:roundrect id="_x0000_s1026" o:spid="_x0000_s1026" o:spt="2" style="position:absolute;left:1454150;top:414020;height:314325;width:819785;" fillcolor="#FFFFFF" filled="t" stroked="t" coordsize="21600,21600" arcsize="0.166666666666667" o:gfxdata="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Cma/s70wAAAAUBAAAPAAAAAAAAAAEAIAAAADgAAABk&#10;cnMvZG93bnJldi54bWxQSwECFAAUAAAACACHTuJAvxCSIy4CAABiBAAADgAAAAAAAAABACAAAAA4&#10;AQAAZHJzL2Uyb0RvYy54bWxQSwUGAAAAAAYABgBZAQAA2AUAAAAA&#10;">
                        <v:fill on="t" focussize="0,0"/>
                        <v:stroke color="#000000" joinstyle="round"/>
                        <v:imagedata o:title=""/>
                        <o:lock v:ext="edit" aspectratio="f"/>
                        <v:textbox>
                          <w:txbxContent>
                            <w:p>
                              <w:pPr>
                                <w:jc w:val="center"/>
                                <w:rPr>
                                  <w:rFonts w:hint="eastAsia"/>
                                  <w:sz w:val="18"/>
                                  <w:szCs w:val="18"/>
                                </w:rPr>
                              </w:pPr>
                              <w:r>
                                <w:rPr>
                                  <w:rFonts w:hint="eastAsia"/>
                                  <w:sz w:val="18"/>
                                  <w:szCs w:val="18"/>
                                </w:rPr>
                                <w:t>冷却用水</w:t>
                              </w:r>
                            </w:p>
                          </w:txbxContent>
                        </v:textbox>
                      </v:roundrect>
                      <v:shape id="_x0000_s1026" o:spid="_x0000_s1026" o:spt="38" type="#_x0000_t38" style="position:absolute;left:1852295;top:302260;height:99060;width:119380;rotation:-5898240f;" filled="f" stroked="t" coordsize="21600,21600" o:gfxdata="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FgAAAGRycy9QSwECFAAUAAAACACHTuJApQlQE9YAAAAFAQAADwAAAAAAAAABACAAAAA4&#10;AAAAZHJzL2Rvd25yZXYueG1sUEsBAhQAFAAAAAgAh07iQFtzHNsvAgAANAQAAA4AAAAAAAAAAQAg&#10;AAAAOwEAAGRycy9lMm9Eb2MueG1sUEsFBgAAAAAGAAYAWQEAANwFAAAAAA==&#10;" adj="10800">
                        <v:fill on="f" focussize="0,0"/>
                        <v:stroke color="#000000" joinstyle="round" endarrow="block"/>
                        <v:imagedata o:title=""/>
                        <o:lock v:ext="edit" aspectratio="f"/>
                      </v:shape>
                      <v:roundrect id="_x0000_s1026" o:spid="_x0000_s1026" o:spt="2" style="position:absolute;left:636905;top:314960;height:285750;width:654050;" filled="f" stroked="f" coordsize="21600,21600" arcsize="0.166666666666667" o:gfxdata="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WAAAAZHJzL1BLAQIUABQAAAAIAIdO4kBHFLbW&#10;1gAAAAUBAAAPAAAAAAAAAAEAIAAAADgAAABkcnMvZG93bnJldi54bWxQSwECFAAUAAAACACHTuJA&#10;LWkn5dQBAACDAwAADgAAAAAAAAABACAAAAA7AQAAZHJzL2Uyb0RvYy54bWxQSwUGAAAAAAYABgBZ&#10;AQAAgQUAAAAA&#10;">
                        <v:fill on="f" focussize="0,0"/>
                        <v:stroke on="f"/>
                        <v:imagedata o:title=""/>
                        <o:lock v:ext="edit" aspectratio="f"/>
                        <v:textbox>
                          <w:txbxContent>
                            <w:p>
                              <w:pPr>
                                <w:jc w:val="center"/>
                                <w:rPr>
                                  <w:rFonts w:hint="default" w:eastAsia="宋体"/>
                                  <w:sz w:val="18"/>
                                  <w:szCs w:val="18"/>
                                  <w:lang w:val="en-US" w:eastAsia="zh-CN"/>
                                </w:rPr>
                              </w:pPr>
                              <w:r>
                                <w:rPr>
                                  <w:rFonts w:hint="eastAsia"/>
                                  <w:sz w:val="18"/>
                                  <w:szCs w:val="18"/>
                                  <w:lang w:val="en-US" w:eastAsia="zh-CN"/>
                                </w:rPr>
                                <w:t>34800</w:t>
                              </w:r>
                            </w:p>
                          </w:txbxContent>
                        </v:textbox>
                      </v:roundrect>
                      <v:roundrect id="_x0000_s1026" o:spid="_x0000_s1026" o:spt="2" style="position:absolute;left:1688465;top:30480;height:264160;width:716280;" filled="f" stroked="f" coordsize="21600,21600" arcsize="0.166666666666667" o:gfxdata="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BYAAABkcnMvUEsBAhQAFAAAAAgAh07iQEcUttbW&#10;AAAABQEAAA8AAAAAAAAAAQAgAAAAOAAAAGRycy9kb3ducmV2LnhtbFBLAQIUABQAAAAIAIdO4kCn&#10;Hfip0wEAAIMDAAAOAAAAAAAAAAEAIAAAADsBAABkcnMvZTJvRG9jLnhtbFBLBQYAAAAABgAGAFkB&#10;AACABQAAAAA=&#10;">
                        <v:fill on="f" focussize="0,0"/>
                        <v:stroke on="f"/>
                        <v:imagedata o:title=""/>
                        <o:lock v:ext="edit" aspectratio="f"/>
                        <v:textbox>
                          <w:txbxContent>
                            <w:p>
                              <w:pPr>
                                <w:jc w:val="center"/>
                                <w:rPr>
                                  <w:rFonts w:hint="default" w:eastAsia="宋体"/>
                                  <w:sz w:val="18"/>
                                  <w:szCs w:val="18"/>
                                  <w:lang w:val="en-US" w:eastAsia="zh-CN"/>
                                </w:rPr>
                              </w:pPr>
                              <w:r>
                                <w:rPr>
                                  <w:rFonts w:hint="eastAsia"/>
                                  <w:sz w:val="18"/>
                                  <w:szCs w:val="18"/>
                                  <w:lang w:val="en-US" w:eastAsia="zh-CN"/>
                                </w:rPr>
                                <w:t>34560</w:t>
                              </w:r>
                            </w:p>
                            <w:p>
                              <w:pPr>
                                <w:jc w:val="center"/>
                                <w:rPr>
                                  <w:rFonts w:hint="default" w:eastAsia="宋体"/>
                                  <w:sz w:val="18"/>
                                  <w:szCs w:val="18"/>
                                  <w:lang w:val="en-US" w:eastAsia="zh-CN"/>
                                </w:rPr>
                              </w:pPr>
                            </w:p>
                          </w:txbxContent>
                        </v:textbox>
                      </v:roundrect>
                      <v:shape id="_x0000_s1026" o:spid="_x0000_s1026" o:spt="32" type="#_x0000_t32" style="position:absolute;left:2282825;top:574040;height:635;width:692785;" filled="f" stroked="t" coordsize="21600,21600" o:gfxdata="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kn07dUAAAAF&#10;AQAADwAAAAAAAAABACAAAAA4AAAAZHJzL2Rvd25yZXYueG1sUEsBAhQAFAAAAAgAh07iQPFAXR0J&#10;AgAA+gMAAA4AAAAAAAAAAQAgAAAAOgEAAGRycy9lMm9Eb2MueG1sUEsFBgAAAAAGAAYAWQEAALUF&#10;AAAAAA==&#10;">
                        <v:fill on="f" focussize="0,0"/>
                        <v:stroke color="#000000" joinstyle="round"/>
                        <v:imagedata o:title=""/>
                        <o:lock v:ext="edit" aspectratio="f"/>
                      </v:shape>
                      <v:shape id="_x0000_s1026" o:spid="_x0000_s1026" o:spt="32" type="#_x0000_t32" style="position:absolute;left:2975610;top:574040;height:600710;width:3175;" filled="f" stroked="t" coordsize="21600,21600" o:gfxdata="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D+SfTt1QAA&#10;AAUBAAAPAAAAAAAAAAEAIAAAADgAAABkcnMvZG93bnJldi54bWxQSwECFAAUAAAACACHTuJA0qc2&#10;SwsCAAD7AwAADgAAAAAAAAABACAAAAA6AQAAZHJzL2Uyb0RvYy54bWxQSwUGAAAAAAYABgBZAQAA&#10;twUAAAAA&#10;">
                        <v:fill on="f" focussize="0,0"/>
                        <v:stroke color="#000000" joinstyle="round"/>
                        <v:imagedata o:title=""/>
                        <o:lock v:ext="edit" aspectratio="f"/>
                      </v:shape>
                      <v:shape id="_x0000_s1026" o:spid="_x0000_s1026" o:spt="202" type="#_x0000_t202" style="position:absolute;left:1525905;top:941070;height:270510;width:1593850;" filled="f" stroked="f" coordsize="21600,21600" o:gfxdata="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BYAAABkcnMvUEsBAhQAFAAAAAgAh07iQDr6&#10;+4XWAAAABQEAAA8AAAAAAAAAAQAgAAAAOAAAAGRycy9kb3ducmV2LnhtbFBLAQIUABQAAAAIAIdO&#10;4kDsfbEE1gEAAKEDAAAOAAAAAAAAAAEAIAAAADsBAABkcnMvZTJvRG9jLnhtbFBLBQYAAAAABgAG&#10;AFkBAACDBQAAAAA=&#10;">
                        <v:fill on="f" focussize="0,0"/>
                        <v:stroke on="f"/>
                        <v:imagedata o:title=""/>
                        <o:lock v:ext="edit" aspectratio="f"/>
                        <v:textbox inset="0mm,1mm,0mm,1mm" style="mso-fit-shape-to-text:t;">
                          <w:txbxContent>
                            <w:p>
                              <w:pPr>
                                <w:jc w:val="center"/>
                                <w:rPr>
                                  <w:rFonts w:hint="eastAsia"/>
                                  <w:sz w:val="18"/>
                                  <w:szCs w:val="18"/>
                                </w:rPr>
                              </w:pPr>
                              <w:r>
                                <w:rPr>
                                  <w:rFonts w:hint="eastAsia"/>
                                  <w:sz w:val="18"/>
                                  <w:szCs w:val="18"/>
                                </w:rPr>
                                <w:t>循环能力</w:t>
                              </w:r>
                              <w:r>
                                <w:rPr>
                                  <w:rFonts w:hint="eastAsia"/>
                                  <w:sz w:val="18"/>
                                  <w:szCs w:val="18"/>
                                  <w:lang w:val="en-US" w:eastAsia="zh-CN"/>
                                </w:rPr>
                                <w:t>1728</w:t>
                              </w:r>
                              <w:r>
                                <w:rPr>
                                  <w:sz w:val="18"/>
                                  <w:szCs w:val="18"/>
                                </w:rPr>
                                <w:t>000m</w:t>
                              </w:r>
                              <w:r>
                                <w:rPr>
                                  <w:sz w:val="18"/>
                                  <w:szCs w:val="18"/>
                                  <w:vertAlign w:val="superscript"/>
                                </w:rPr>
                                <w:t>3</w:t>
                              </w:r>
                              <w:r>
                                <w:rPr>
                                  <w:sz w:val="18"/>
                                  <w:szCs w:val="18"/>
                                </w:rPr>
                                <w:t>/a</w:t>
                              </w:r>
                            </w:p>
                          </w:txbxContent>
                        </v:textbox>
                      </v:shape>
                      <v:shape id="_x0000_s1026" o:spid="_x0000_s1026" o:spt="32" type="#_x0000_t32" style="position:absolute;left:1718945;top:1172845;flip:x y;height:3810;width:1242060;" filled="f" stroked="t" coordsize="21600,21600" o:gfxdata="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A5x/161wAAAAUBAAAPAAAAAAAAAAEAIAAAADgAAABkcnMvZG93bnJldi54bWxQSwEC&#10;FAAUAAAACACHTuJA904UXhgCAAARBAAADgAAAAAAAAABACAAAAA8AQAAZHJzL2Uyb0RvYy54bWxQ&#10;SwUGAAAAAAYABgBZAQAAxgUAAAAA&#10;">
                        <v:fill on="f" focussize="0,0"/>
                        <v:stroke color="#000000" joinstyle="round"/>
                        <v:imagedata o:title=""/>
                        <o:lock v:ext="edit" aspectratio="f"/>
                      </v:shape>
                      <v:shape id="_x0000_s1026" o:spid="_x0000_s1026" o:spt="32" type="#_x0000_t32" style="position:absolute;left:1713230;top:726440;flip:y;height:443865;width:1905;" filled="f" stroked="t" coordsize="21600,21600" o:gfxdata="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5ukDgtUAAAAFAQAADwAAAAAAAAABACAAAAA4AAAAZHJzL2Rvd25yZXYueG1sUEsBAhQA&#10;FAAAAAgAh07iQL9OLoUYAgAACAQAAA4AAAAAAAAAAQAgAAAAOgEAAGRycy9lMm9Eb2MueG1sUEsF&#10;BgAAAAAGAAYAWQEAAMQFAAAAAA==&#10;">
                        <v:fill on="f" focussize="0,0"/>
                        <v:stroke color="#000000" joinstyle="round" endarrow="classic"/>
                        <v:imagedata o:title=""/>
                        <o:lock v:ext="edit" aspectratio="f"/>
                      </v:shape>
                      <v:roundrect id="_x0000_s1026" o:spid="_x0000_s1026" o:spt="2" style="position:absolute;left:2370455;top:269875;height:309245;width:537845;" filled="f" stroked="f" coordsize="21600,21600" arcsize="0.166666666666667" o:gfxdata="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BYAAABkcnMvUEsBAhQAFAAAAAgAh07iQEcU&#10;ttbWAAAABQEAAA8AAAAAAAAAAQAgAAAAOAAAAGRycy9kb3ducmV2LnhtbFBLAQIUABQAAAAIAIdO&#10;4kB11VpR1gEAAIYDAAAOAAAAAAAAAAEAIAAAADsBAABkcnMvZTJvRG9jLnhtbFBLBQYAAAAABgAG&#10;AFkBAACDBQAAAAA=&#10;">
                        <v:fill on="f" focussize="0,0"/>
                        <v:stroke on="f"/>
                        <v:imagedata o:title=""/>
                        <o:lock v:ext="edit" aspectratio="f"/>
                        <v:textbox>
                          <w:txbxContent>
                            <w:p>
                              <w:pPr>
                                <w:jc w:val="center"/>
                                <w:rPr>
                                  <w:rFonts w:hint="default" w:eastAsia="宋体"/>
                                  <w:sz w:val="18"/>
                                  <w:szCs w:val="18"/>
                                  <w:lang w:val="en-US" w:eastAsia="zh-CN"/>
                                </w:rPr>
                              </w:pPr>
                              <w:r>
                                <w:rPr>
                                  <w:rFonts w:hint="eastAsia"/>
                                  <w:sz w:val="18"/>
                                  <w:szCs w:val="18"/>
                                  <w:lang w:val="en-US" w:eastAsia="zh-CN"/>
                                </w:rPr>
                                <w:t>240</w:t>
                              </w:r>
                            </w:p>
                          </w:txbxContent>
                        </v:textbox>
                      </v:roundrect>
                      <v:line id="_x0000_s1026" o:spid="_x0000_s1026" o:spt="20" style="position:absolute;left:2270125;top:498475;flip:y;height:6350;width:725170;" filled="f" stroked="t" coordsize="21600,21600" o:gfxdata="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JiJcQjXAAAABQEAAA8AAAAAAAAAAQAgAAAAOAAAAGRycy9kb3ducmV2LnhtbFBLAQIU&#10;ABQAAAAIAIdO4kAICXolFwIAAAMEAAAOAAAAAAAAAAEAIAAAADwBAABkcnMvZTJvRG9jLnhtbFBL&#10;BQYAAAAABgAGAFkBAADFBQAAAAA=&#10;">
                        <v:fill on="f" focussize="0,0"/>
                        <v:stroke color="#000000" joinstyle="round" endarrow="block"/>
                        <v:imagedata o:title=""/>
                        <o:lock v:ext="edit" aspectratio="f"/>
                      </v:line>
                      <v:roundrect id="_x0000_s1026" o:spid="_x0000_s1026" o:spt="2" style="position:absolute;left:1424305;top:1558290;height:314325;width:819785;" fillcolor="#FFFFFF" filled="t" stroked="t" coordsize="21600,21600" arcsize="0.166666666666667" o:gfxdata="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FgAAAGRycy9QSwECFAAUAAAACACHTuJApmv7O9MAAAAFAQAADwAAAAAAAAABACAAAAA4AAAAZHJz&#10;L2Rvd25yZXYueG1sUEsBAhQAFAAAAAgAh07iQLdACjcsAgAAYQQAAA4AAAAAAAAAAQAgAAAAOAEA&#10;AGRycy9lMm9Eb2MueG1sUEsFBgAAAAAGAAYAWQEAANYFAAAAAA==&#10;">
                        <v:fill on="t" focussize="0,0"/>
                        <v:stroke color="#000000" joinstyle="round"/>
                        <v:imagedata o:title=""/>
                        <o:lock v:ext="edit" aspectratio="f"/>
                        <v:textbox>
                          <w:txbxContent>
                            <w:p>
                              <w:pPr>
                                <w:jc w:val="center"/>
                                <w:rPr>
                                  <w:rFonts w:hint="eastAsia"/>
                                  <w:sz w:val="18"/>
                                  <w:szCs w:val="18"/>
                                </w:rPr>
                              </w:pPr>
                              <w:r>
                                <w:rPr>
                                  <w:rFonts w:hint="eastAsia"/>
                                  <w:sz w:val="18"/>
                                  <w:szCs w:val="18"/>
                                  <w:lang w:eastAsia="zh-CN"/>
                                </w:rPr>
                                <w:t>生活</w:t>
                              </w:r>
                              <w:r>
                                <w:rPr>
                                  <w:rFonts w:hint="eastAsia"/>
                                  <w:sz w:val="18"/>
                                  <w:szCs w:val="18"/>
                                </w:rPr>
                                <w:t>用水</w:t>
                              </w:r>
                            </w:p>
                          </w:txbxContent>
                        </v:textbox>
                      </v:roundrect>
                      <v:shape id="_x0000_s1026" o:spid="_x0000_s1026" o:spt="38" type="#_x0000_t38" style="position:absolute;left:1816100;top:1456690;height:99060;width:119380;rotation:-5898240f;" filled="f" stroked="t" coordsize="21600,21600" o:gfxdata="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FgAAAGRycy9QSwECFAAUAAAACACHTuJApQlQE9YAAAAFAQAADwAAAAAAAAABACAAAAA4&#10;AAAAZHJzL2Rvd25yZXYueG1sUEsBAhQAFAAAAAgAh07iQKELxJIvAgAANQQAAA4AAAAAAAAAAQAg&#10;AAAAOwEAAGRycy9lMm9Eb2MueG1sUEsFBgAAAAAGAAYAWQEAANwFAAAAAA==&#10;" adj="10800">
                        <v:fill on="f" focussize="0,0"/>
                        <v:stroke color="#000000" joinstyle="round" endarrow="block"/>
                        <v:imagedata o:title=""/>
                        <o:lock v:ext="edit" aspectratio="f"/>
                      </v:shape>
                      <v:roundrect id="_x0000_s1026" o:spid="_x0000_s1026" o:spt="2" style="position:absolute;left:1652270;top:1184910;height:264160;width:716280;" filled="f" stroked="f" coordsize="21600,21600" arcsize="0.166666666666667" o:gfxdata="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BYAAABkcnMvUEsBAhQAFAAAAAgAh07iQEcUttbW&#10;AAAABQEAAA8AAAAAAAAAAQAgAAAAOAAAAGRycy9kb3ducmV2LnhtbFBLAQIUABQAAAAIAIdO4kDf&#10;w4xg0wEAAIUDAAAOAAAAAAAAAAEAIAAAADsBAABkcnMvZTJvRG9jLnhtbFBLBQYAAAAABgAGAFkB&#10;AACABQAAAAA=&#10;">
                        <v:fill on="f" focussize="0,0"/>
                        <v:stroke on="f"/>
                        <v:imagedata o:title=""/>
                        <o:lock v:ext="edit" aspectratio="f"/>
                        <v:textbox>
                          <w:txbxContent>
                            <w:p>
                              <w:pPr>
                                <w:jc w:val="center"/>
                                <w:rPr>
                                  <w:rFonts w:hint="default" w:eastAsia="宋体"/>
                                  <w:sz w:val="18"/>
                                  <w:szCs w:val="18"/>
                                  <w:lang w:val="en-US" w:eastAsia="zh-CN"/>
                                </w:rPr>
                              </w:pPr>
                              <w:r>
                                <w:rPr>
                                  <w:rFonts w:hint="eastAsia"/>
                                  <w:sz w:val="18"/>
                                  <w:szCs w:val="18"/>
                                  <w:lang w:val="en-US" w:eastAsia="zh-CN"/>
                                </w:rPr>
                                <w:t>720</w:t>
                              </w:r>
                            </w:p>
                          </w:txbxContent>
                        </v:textbox>
                      </v:roundrect>
                      <v:line id="_x0000_s1026" o:spid="_x0000_s1026" o:spt="20" style="position:absolute;left:798195;top:1718310;height:6350;width:617220;" filled="f" stroked="t" coordsize="21600,21600" o:gfxdata="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UOHk&#10;W9cAAAAFAQAADwAAAAAAAAABACAAAAA4AAAAZHJzL2Rvd25yZXYueG1sUEsBAhQAFAAAAAgAh07i&#10;QFeY9pINAgAA9wMAAA4AAAAAAAAAAQAgAAAAPAEAAGRycy9lMm9Eb2MueG1sUEsFBgAAAAAGAAYA&#10;WQEAALsFAAAAAA==&#10;">
                        <v:fill on="f" focussize="0,0"/>
                        <v:stroke color="#000000" joinstyle="round" endarrow="block"/>
                        <v:imagedata o:title=""/>
                        <o:lock v:ext="edit" aspectratio="f"/>
                      </v:line>
                      <v:roundrect id="_x0000_s1026" o:spid="_x0000_s1026" o:spt="2" style="position:absolute;left:694055;top:1442085;height:285750;width:654050;" filled="f" stroked="f" coordsize="21600,21600" arcsize="0.166666666666667" o:gfxdata="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WAAAAZHJzL1BLAQIUABQAAAAIAIdO4kBHFLbW&#10;1gAAAAUBAAAPAAAAAAAAAAEAIAAAADgAAABkcnMvZG93bnJldi54bWxQSwECFAAUAAAACACHTuJA&#10;wRxX0NQBAACEAwAADgAAAAAAAAABACAAAAA7AQAAZHJzL2Uyb0RvYy54bWxQSwUGAAAAAAYABgBZ&#10;AQAAgQUAAAAA&#10;">
                        <v:fill on="f" focussize="0,0"/>
                        <v:stroke on="f"/>
                        <v:imagedata o:title=""/>
                        <o:lock v:ext="edit" aspectratio="f"/>
                        <v:textbox>
                          <w:txbxContent>
                            <w:p>
                              <w:pPr>
                                <w:jc w:val="center"/>
                                <w:rPr>
                                  <w:rFonts w:hint="default" w:eastAsia="宋体"/>
                                  <w:sz w:val="18"/>
                                  <w:szCs w:val="18"/>
                                  <w:lang w:val="en-US" w:eastAsia="zh-CN"/>
                                </w:rPr>
                              </w:pPr>
                              <w:r>
                                <w:rPr>
                                  <w:rFonts w:hint="eastAsia"/>
                                  <w:sz w:val="18"/>
                                  <w:szCs w:val="18"/>
                                  <w:lang w:val="en-US" w:eastAsia="zh-CN"/>
                                </w:rPr>
                                <w:t>3600</w:t>
                              </w:r>
                            </w:p>
                          </w:txbxContent>
                        </v:textbox>
                      </v:roundrect>
                      <v:shape id="_x0000_s1026" o:spid="_x0000_s1026" o:spt="32" type="#_x0000_t32" style="position:absolute;left:796290;top:577215;flip:x;height:2554605;width:1905;" filled="f" stroked="t" coordsize="21600,21600" o:gfxdata="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BDmWDa1QAAAAUBAAAPAAAAAAAAAAEAIAAAADgAAABkcnMvZG93bnJldi54bWxQSwECFAAUAAAA&#10;CACHTuJAGqtoXBQCAAAFBAAADgAAAAAAAAABACAAAAA6AQAAZHJzL2Uyb0RvYy54bWxQSwUGAAAA&#10;AAYABgBZAQAAwAUAAAAA&#10;">
                        <v:fill on="f" focussize="0,0"/>
                        <v:stroke color="#000000" joinstyle="round"/>
                        <v:imagedata o:title=""/>
                        <o:lock v:ext="edit" aspectratio="f"/>
                      </v:shape>
                      <v:roundrect id="_x0000_s1026" o:spid="_x0000_s1026" o:spt="2" style="position:absolute;left:2706370;top:1551305;height:314325;width:819785;" fillcolor="#FFFFFF" filled="t" stroked="t" coordsize="21600,21600" arcsize="0.166666666666667" o:gfxdata="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BYAAABkcnMvUEsBAhQAFAAAAAgAh07iQKZr+zvTAAAABQEAAA8AAAAAAAAAAQAgAAAAOAAA&#10;AGRycy9kb3ducmV2LnhtbFBLAQIUABQAAAAIAIdO4kDD7BLcMAIAAGMEAAAOAAAAAAAAAAEAIAAA&#10;ADgBAABkcnMvZTJvRG9jLnhtbFBLBQYAAAAABgAGAFkBAADaBQAAAAA=&#10;">
                        <v:fill on="t" focussize="0,0"/>
                        <v:stroke color="#000000" joinstyle="round"/>
                        <v:imagedata o:title=""/>
                        <o:lock v:ext="edit" aspectratio="f"/>
                        <v:textbox>
                          <w:txbxContent>
                            <w:p>
                              <w:pPr>
                                <w:jc w:val="center"/>
                                <w:rPr>
                                  <w:rFonts w:hint="eastAsia"/>
                                  <w:sz w:val="18"/>
                                  <w:szCs w:val="18"/>
                                </w:rPr>
                              </w:pPr>
                              <w:r>
                                <w:rPr>
                                  <w:rFonts w:hint="eastAsia"/>
                                  <w:sz w:val="18"/>
                                  <w:szCs w:val="18"/>
                                  <w:lang w:eastAsia="zh-CN"/>
                                </w:rPr>
                                <w:t>化粪池</w:t>
                              </w:r>
                            </w:p>
                          </w:txbxContent>
                        </v:textbox>
                      </v:roundrect>
                      <v:roundrect id="_x0000_s1026" o:spid="_x0000_s1026" o:spt="2" style="position:absolute;left:685165;top:2146300;height:285750;width:654050;" filled="f" stroked="f" coordsize="21600,21600" arcsize="0.166666666666667" o:gfxdata="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WAAAAZHJzL1BLAQIUABQAAAAIAIdO4kBHFLbW&#10;1gAAAAUBAAAPAAAAAAAAAAEAIAAAADgAAABkcnMvZG93bnJldi54bWxQSwECFAAUAAAACACHTuJA&#10;Y1Ck9NQBAACEAwAADgAAAAAAAAABACAAAAA7AQAAZHJzL2Uyb0RvYy54bWxQSwUGAAAAAAYABgBZ&#10;AQAAgQUAAAAA&#10;">
                        <v:fill on="f" focussize="0,0"/>
                        <v:stroke on="f"/>
                        <v:imagedata o:title=""/>
                        <o:lock v:ext="edit" aspectratio="f"/>
                        <v:textbox>
                          <w:txbxContent>
                            <w:p>
                              <w:pPr>
                                <w:jc w:val="center"/>
                                <w:rPr>
                                  <w:rFonts w:hint="default" w:eastAsia="宋体"/>
                                  <w:sz w:val="18"/>
                                  <w:szCs w:val="18"/>
                                  <w:lang w:val="en-US" w:eastAsia="zh-CN"/>
                                </w:rPr>
                              </w:pPr>
                              <w:r>
                                <w:rPr>
                                  <w:rFonts w:hint="eastAsia"/>
                                  <w:sz w:val="18"/>
                                  <w:szCs w:val="18"/>
                                  <w:lang w:val="en-US" w:eastAsia="zh-CN"/>
                                </w:rPr>
                                <w:t>120</w:t>
                              </w:r>
                            </w:p>
                          </w:txbxContent>
                        </v:textbox>
                      </v:roundrect>
                      <v:line id="_x0000_s1026" o:spid="_x0000_s1026" o:spt="20" style="position:absolute;left:801370;top:2430145;height:1270;width:569595;" filled="f" stroked="t" coordsize="21600,21600" o:gfxdata="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FDh5FvX&#10;AAAABQEAAA8AAAAAAAAAAQAgAAAAOAAAAGRycy9kb3ducmV2LnhtbFBLAQIUABQAAAAIAIdO4kDx&#10;iut7CwIAAPcDAAAOAAAAAAAAAAEAIAAAADwBAABkcnMvZTJvRG9jLnhtbFBLBQYAAAAABgAGAFkB&#10;AAC5BQAAAAA=&#10;">
                        <v:fill on="f" focussize="0,0"/>
                        <v:stroke color="#000000" joinstyle="round" endarrow="block"/>
                        <v:imagedata o:title=""/>
                        <o:lock v:ext="edit" aspectratio="f"/>
                      </v:line>
                      <v:roundrect id="_x0000_s1026" o:spid="_x0000_s1026" o:spt="2" style="position:absolute;left:1379855;top:2261235;height:314325;width:819785;" fillcolor="#FFFFFF" filled="t" stroked="t" coordsize="21600,21600" arcsize="0.166666666666667" o:gfxdata="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pmv7O9MAAAAFAQAADwAAAAAAAAABACAAAAA4AAAA&#10;ZHJzL2Rvd25yZXYueG1sUEsBAhQAFAAAAAgAh07iQDA9hbcvAgAAYwQAAA4AAAAAAAAAAQAgAAAA&#10;OAEAAGRycy9lMm9Eb2MueG1sUEsFBgAAAAAGAAYAWQEAANkFAAAAAA==&#10;">
                        <v:fill on="t" focussize="0,0"/>
                        <v:stroke color="#000000" joinstyle="round"/>
                        <v:imagedata o:title=""/>
                        <o:lock v:ext="edit" aspectratio="f"/>
                        <v:textbox>
                          <w:txbxContent>
                            <w:p>
                              <w:pPr>
                                <w:jc w:val="center"/>
                                <w:rPr>
                                  <w:rFonts w:hint="eastAsia"/>
                                  <w:sz w:val="18"/>
                                  <w:szCs w:val="18"/>
                                </w:rPr>
                              </w:pPr>
                              <w:r>
                                <w:rPr>
                                  <w:rFonts w:hint="eastAsia"/>
                                  <w:sz w:val="18"/>
                                  <w:szCs w:val="18"/>
                                  <w:lang w:eastAsia="zh-CN"/>
                                </w:rPr>
                                <w:t>食堂</w:t>
                              </w:r>
                              <w:r>
                                <w:rPr>
                                  <w:rFonts w:hint="eastAsia"/>
                                  <w:sz w:val="18"/>
                                  <w:szCs w:val="18"/>
                                </w:rPr>
                                <w:t>用水</w:t>
                              </w:r>
                            </w:p>
                          </w:txbxContent>
                        </v:textbox>
                      </v:roundrect>
                      <v:shape id="_x0000_s1026" o:spid="_x0000_s1026" o:spt="38" type="#_x0000_t38" style="position:absolute;left:1771650;top:2159635;height:99060;width:119380;rotation:-5898240f;" filled="f" stroked="t" coordsize="21600,21600" o:gfxdata="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FgAAAGRycy9QSwECFAAUAAAACACHTuJApQlQE9YAAAAFAQAADwAAAAAAAAABACAA&#10;AAA4AAAAZHJzL2Rvd25yZXYueG1sUEsBAhQAFAAAAAgAh07iQGTBHpgyAgAANQQAAA4AAAAAAAAA&#10;AQAgAAAAOwEAAGRycy9lMm9Eb2MueG1sUEsFBgAAAAAGAAYAWQEAAN8FAAAAAA==&#10;" adj="10800">
                        <v:fill on="f" focussize="0,0"/>
                        <v:stroke color="#000000" joinstyle="round" endarrow="block"/>
                        <v:imagedata o:title=""/>
                        <o:lock v:ext="edit" aspectratio="f"/>
                      </v:shape>
                      <v:roundrect id="_x0000_s1026" o:spid="_x0000_s1026" o:spt="2" style="position:absolute;left:1607820;top:1887855;height:264160;width:716280;" filled="f" stroked="f" coordsize="21600,21600" arcsize="0.166666666666667" o:gfxdata="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WAAAAZHJzL1BLAQIUABQAAAAIAIdO4kBHFLbW&#10;1gAAAAUBAAAPAAAAAAAAAAEAIAAAADgAAABkcnMvZG93bnJldi54bWxQSwECFAAUAAAACACHTuJA&#10;DXKv/9QBAACFAwAADgAAAAAAAAABACAAAAA7AQAAZHJzL2Uyb0RvYy54bWxQSwUGAAAAAAYABgBZ&#10;AQAAgQUAAAAA&#10;">
                        <v:fill on="f" focussize="0,0"/>
                        <v:stroke on="f"/>
                        <v:imagedata o:title=""/>
                        <o:lock v:ext="edit" aspectratio="f"/>
                        <v:textbox>
                          <w:txbxContent>
                            <w:p>
                              <w:pPr>
                                <w:jc w:val="center"/>
                                <w:rPr>
                                  <w:rFonts w:hint="default" w:eastAsia="宋体"/>
                                  <w:sz w:val="18"/>
                                  <w:szCs w:val="18"/>
                                  <w:lang w:val="en-US" w:eastAsia="zh-CN"/>
                                </w:rPr>
                              </w:pPr>
                              <w:r>
                                <w:rPr>
                                  <w:rFonts w:hint="eastAsia"/>
                                  <w:sz w:val="18"/>
                                  <w:szCs w:val="18"/>
                                  <w:lang w:val="en-US" w:eastAsia="zh-CN"/>
                                </w:rPr>
                                <w:t>24</w:t>
                              </w:r>
                            </w:p>
                          </w:txbxContent>
                        </v:textbox>
                      </v:roundrect>
                      <v:roundrect id="_x0000_s1026" o:spid="_x0000_s1026" o:spt="2" style="position:absolute;left:2710815;top:2258695;height:314325;width:819785;" fillcolor="#FFFFFF" filled="t" stroked="t" coordsize="21600,21600" arcsize="0.166666666666667" o:gfxdata="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BYAAABkcnMvUEsBAhQAFAAAAAgAh07iQKZr+zvTAAAABQEAAA8AAAAAAAAAAQAgAAAAOAAA&#10;AGRycy9kb3ducmV2LnhtbFBLAQIUABQAAAAIAIdO4kCOXOGkMAIAAGMEAAAOAAAAAAAAAAEAIAAA&#10;ADgBAABkcnMvZTJvRG9jLnhtbFBLBQYAAAAABgAGAFkBAADaBQAAAAA=&#10;">
                        <v:fill on="t" focussize="0,0"/>
                        <v:stroke color="#000000" joinstyle="round"/>
                        <v:imagedata o:title=""/>
                        <o:lock v:ext="edit" aspectratio="f"/>
                        <v:textbox>
                          <w:txbxContent>
                            <w:p>
                              <w:pPr>
                                <w:jc w:val="center"/>
                                <w:rPr>
                                  <w:rFonts w:hint="eastAsia"/>
                                  <w:sz w:val="18"/>
                                  <w:szCs w:val="18"/>
                                </w:rPr>
                              </w:pPr>
                              <w:r>
                                <w:rPr>
                                  <w:rFonts w:hint="eastAsia"/>
                                  <w:sz w:val="18"/>
                                  <w:szCs w:val="18"/>
                                  <w:lang w:eastAsia="zh-CN"/>
                                </w:rPr>
                                <w:t>隔油池</w:t>
                              </w:r>
                            </w:p>
                          </w:txbxContent>
                        </v:textbox>
                      </v:roundrect>
                      <v:line id="_x0000_s1026" o:spid="_x0000_s1026" o:spt="20" style="position:absolute;left:2199640;top:2416175;flip:y;height:2540;width:511175;" filled="f" stroked="t" coordsize="21600,21600" o:gfxdata="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CYiXEI1wAAAAUBAAAPAAAAAAAAAAEAIAAAADgAAABkcnMv&#10;ZG93bnJldi54bWxQSwECFAAUAAAACACHTuJAhczM5icCAABEBAAADgAAAAAAAAABACAAAAA8AQAA&#10;ZHJzL2Uyb0RvYy54bWxQSwUGAAAAAAYABgBZAQAA1QUAAAAA&#10;">
                        <v:fill on="f" focussize="0,0"/>
                        <v:stroke color="#000000" joinstyle="round" endarrow="block"/>
                        <v:imagedata o:title=""/>
                        <o:lock v:ext="edit" aspectratio="f"/>
                      </v:line>
                      <v:line id="_x0000_s1026" o:spid="_x0000_s1026" o:spt="20" style="position:absolute;left:2252980;top:1718310;flip:y;height:2540;width:438150;" filled="f" stroked="t" coordsize="21600,21600" o:gfxdata="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YiXEI1wAAAAUBAAAPAAAAAAAAAAEAIAAAADgAAABkcnMvZG93bnJldi54bWxQSwECFAAU&#10;AAAACACHTuJAAQap9hUCAAACBAAADgAAAAAAAAABACAAAAA8AQAAZHJzL2Uyb0RvYy54bWxQSwUG&#10;AAAAAAYABgBZAQAAwwUAAAAA&#10;">
                        <v:fill on="f" focussize="0,0"/>
                        <v:stroke color="#000000" joinstyle="round" endarrow="block"/>
                        <v:imagedata o:title=""/>
                        <o:lock v:ext="edit" aspectratio="f"/>
                      </v:line>
                      <v:roundrect id="_x0000_s1026" o:spid="_x0000_s1026" o:spt="2" style="position:absolute;left:2060575;top:2163445;height:264160;width:716280;" filled="f" stroked="f" coordsize="21600,21600" arcsize="0.166666666666667" o:gfxdata="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WAAAAZHJzL1BLAQIUABQAAAAIAIdO4kBH&#10;FLbW1gAAAAUBAAAPAAAAAAAAAAEAIAAAADgAAABkcnMvZG93bnJldi54bWxQSwECFAAUAAAACACH&#10;TuJAVnupXtcBAACFAwAADgAAAAAAAAABACAAAAA7AQAAZHJzL2Uyb0RvYy54bWxQSwUGAAAAAAYA&#10;BgBZAQAAhAUAAAAA&#10;">
                        <v:fill on="f" focussize="0,0"/>
                        <v:stroke on="f"/>
                        <v:imagedata o:title=""/>
                        <o:lock v:ext="edit" aspectratio="f"/>
                        <v:textbox>
                          <w:txbxContent>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96</w:t>
                              </w:r>
                            </w:p>
                          </w:txbxContent>
                        </v:textbox>
                      </v:roundrect>
                      <v:line id="_x0000_s1026" o:spid="_x0000_s1026" o:spt="20" style="position:absolute;left:3116580;top:1865630;flip:x y;height:393065;width:4445;" filled="f" stroked="t" coordsize="21600,21600" o:gfxdata="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WAAAAZHJzL1BLAQIUABQAAAAIAIdO4kB2Xgj+1wAAAAUBAAAPAAAAAAAAAAEAIAAA&#10;ADgAAABkcnMvZG93bnJldi54bWxQSwECFAAUAAAACACHTuJASgV9bTACAABOBAAADgAAAAAAAAAB&#10;ACAAAAA8AQAAZHJzL2Uyb0RvYy54bWxQSwUGAAAAAAYABgBZAQAA3gUAAAAA&#10;">
                        <v:fill on="f" focussize="0,0"/>
                        <v:stroke color="#000000" joinstyle="round" endarrow="block"/>
                        <v:imagedata o:title=""/>
                        <o:lock v:ext="edit" aspectratio="f"/>
                      </v:line>
                      <v:roundrect id="_x0000_s1026" o:spid="_x0000_s1026" o:spt="2" style="position:absolute;left:2098675;top:1465580;height:285750;width:654050;" filled="f" stroked="f" coordsize="21600,21600" arcsize="0.166666666666667" o:gfxdata="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FgAAAGRycy9QSwECFAAUAAAACACHTuJARxS2&#10;1tYAAAAFAQAADwAAAAAAAAABACAAAAA4AAAAZHJzL2Rvd25yZXYueG1sUEsBAhQAFAAAAAgAh07i&#10;QAPtmS3VAQAAhQMAAA4AAAAAAAAAAQAgAAAAOwEAAGRycy9lMm9Eb2MueG1sUEsFBgAAAAAGAAYA&#10;WQEAAIIFAAAAAA==&#10;">
                        <v:fill on="f" focussize="0,0"/>
                        <v:stroke on="f"/>
                        <v:imagedata o:title=""/>
                        <o:lock v:ext="edit" aspectratio="f"/>
                        <v:textbox>
                          <w:txbxContent>
                            <w:p>
                              <w:pPr>
                                <w:jc w:val="center"/>
                                <w:rPr>
                                  <w:rFonts w:hint="default" w:eastAsia="宋体"/>
                                  <w:sz w:val="18"/>
                                  <w:szCs w:val="18"/>
                                  <w:lang w:val="en-US" w:eastAsia="zh-CN"/>
                                </w:rPr>
                              </w:pPr>
                              <w:r>
                                <w:rPr>
                                  <w:rFonts w:hint="eastAsia"/>
                                  <w:sz w:val="18"/>
                                  <w:szCs w:val="18"/>
                                  <w:lang w:val="en-US" w:eastAsia="zh-CN"/>
                                </w:rPr>
                                <w:t>2880</w:t>
                              </w:r>
                            </w:p>
                          </w:txbxContent>
                        </v:textbox>
                      </v:roundrect>
                      <v:shape id="_x0000_s1026" o:spid="_x0000_s1026" o:spt="33" type="#_x0000_t33" style="position:absolute;left:3526155;top:859155;flip:y;height:849630;width:860425;" filled="f" stroked="t" coordsize="21600,21600" o:gfxdata="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FgAAAGRycy9QSwECFAAUAAAACACHTuJA4Rex&#10;l9YAAAAFAQAADwAAAAAAAAABACAAAAA4AAAAZHJzL2Rvd25yZXYueG1sUEsBAhQAFAAAAAgAh07i&#10;QE6Cz2lHAgAAXwQAAA4AAAAAAAAAAQAgAAAAOwEAAGRycy9lMm9Eb2MueG1sUEsFBgAAAAAGAAYA&#10;WQEAAPQFAAAAAA==&#10;">
                        <v:fill on="f" focussize="0,0"/>
                        <v:stroke weight="1pt" color="#000000 [3213]" miterlimit="8" joinstyle="miter" endarrow="block"/>
                        <v:imagedata o:title=""/>
                        <o:lock v:ext="edit" aspectratio="f"/>
                      </v:shape>
                      <v:roundrect id="_x0000_s1026" o:spid="_x0000_s1026" o:spt="2" style="position:absolute;left:3669030;top:1470660;height:309245;width:537845;" filled="f" stroked="f" coordsize="21600,21600" arcsize="0.166666666666667" o:gfxdata="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WAAAAZHJzL1BLAQIUABQAAAAIAIdO4kBH&#10;FLbW1gAAAAUBAAAPAAAAAAAAAAEAIAAAADgAAABkcnMvZG93bnJldi54bWxQSwECFAAUAAAACACH&#10;TuJAUi4Q89cBAACFAwAADgAAAAAAAAABACAAAAA7AQAAZHJzL2Uyb0RvYy54bWxQSwUGAAAAAAYA&#10;BgBZAQAAhAUAAAAA&#10;">
                        <v:fill on="f" focussize="0,0"/>
                        <v:stroke on="f"/>
                        <v:imagedata o:title=""/>
                        <o:lock v:ext="edit" aspectratio="f"/>
                        <v:textbox>
                          <w:txbxContent>
                            <w:p>
                              <w:pPr>
                                <w:jc w:val="center"/>
                                <w:rPr>
                                  <w:rFonts w:hint="default" w:eastAsia="宋体"/>
                                  <w:sz w:val="18"/>
                                  <w:szCs w:val="18"/>
                                  <w:lang w:val="en-US" w:eastAsia="zh-CN"/>
                                </w:rPr>
                              </w:pPr>
                              <w:r>
                                <w:rPr>
                                  <w:rFonts w:hint="eastAsia"/>
                                  <w:sz w:val="18"/>
                                  <w:szCs w:val="18"/>
                                  <w:lang w:val="en-US" w:eastAsia="zh-CN"/>
                                </w:rPr>
                                <w:t>2976</w:t>
                              </w:r>
                            </w:p>
                          </w:txbxContent>
                        </v:textbox>
                      </v:roundrect>
                      <v:roundrect id="圆角矩形 85" o:spid="_x0000_s1026" o:spt="2" style="position:absolute;left:2990850;top:304165;height:314325;width:632460;" fillcolor="#FFFFFF" filled="t" stroked="t" coordsize="21600,21600" arcsize="0.166666666666667" o:gfxdata="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&#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Cma/s70wAAAAUBAAAPAAAAAAAAAAEAIAAAADgAAABk&#10;cnMvZG93bnJldi54bWxQSwECFAAUAAAACACHTuJABWnVtC4CAABhBAAADgAAAAAAAAABACAAAAA4&#10;AQAAZHJzL2Uyb0RvYy54bWxQSwUGAAAAAAYABgBZAQAA2AUAAAAA&#10;">
                        <v:fill on="t" focussize="0,0"/>
                        <v:stroke color="#000000" joinstyle="round"/>
                        <v:imagedata o:title=""/>
                        <o:lock v:ext="edit" aspectratio="f"/>
                        <v:textbox>
                          <w:txbxContent>
                            <w:p>
                              <w:pPr>
                                <w:jc w:val="center"/>
                                <w:rPr>
                                  <w:rFonts w:hint="eastAsia"/>
                                  <w:sz w:val="18"/>
                                  <w:szCs w:val="18"/>
                                </w:rPr>
                              </w:pPr>
                              <w:r>
                                <w:rPr>
                                  <w:rFonts w:hint="eastAsia"/>
                                  <w:sz w:val="18"/>
                                  <w:szCs w:val="18"/>
                                  <w:lang w:eastAsia="zh-CN"/>
                                </w:rPr>
                                <w:t>沉淀池</w:t>
                              </w:r>
                            </w:p>
                          </w:txbxContent>
                        </v:textbox>
                      </v:roundrect>
                      <v:line id="_x0000_s1026" o:spid="_x0000_s1026" o:spt="20" style="position:absolute;left:3656330;top:449580;height:2540;width:415290;" filled="f" stroked="t" coordsize="21600,21600" o:gfxdata="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BQ4eRb&#10;1wAAAAUBAAAPAAAAAAAAAAEAIAAAADgAAABkcnMvZG93bnJldi54bWxQSwECFAAUAAAACACHTuJA&#10;eADu6QwCAAD3AwAADgAAAAAAAAABACAAAAA8AQAAZHJzL2Uyb0RvYy54bWxQSwUGAAAAAAYABgBZ&#10;AQAAugUAAAAA&#10;">
                        <v:fill on="f" focussize="0,0"/>
                        <v:stroke color="#000000" joinstyle="round" endarrow="block"/>
                        <v:imagedata o:title=""/>
                        <o:lock v:ext="edit" aspectratio="f"/>
                      </v:line>
                      <v:roundrect id="_x0000_s1026" o:spid="_x0000_s1026" o:spt="2" style="position:absolute;left:660400;top:2863215;height:285750;width:654050;" filled="f" stroked="f" coordsize="21600,21600" arcsize="0.166666666666667" o:gfxdata="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FgAAAGRycy9QSwECFAAUAAAACACHTuJARxS21tYA&#10;AAAFAQAADwAAAAAAAAABACAAAAA4AAAAZHJzL2Rvd25yZXYueG1sUEsBAhQAFAAAAAgAh07iQMr3&#10;RVDSAQAAggMAAA4AAAAAAAAAAQAgAAAAOwEAAGRycy9lMm9Eb2MueG1sUEsFBgAAAAAGAAYAWQEA&#10;AH8FAAAAAA==&#10;">
                        <v:fill on="f" focussize="0,0"/>
                        <v:stroke on="f"/>
                        <v:imagedata o:title=""/>
                        <o:lock v:ext="edit" aspectratio="f"/>
                        <v:textbox>
                          <w:txbxContent>
                            <w:p>
                              <w:pPr>
                                <w:jc w:val="center"/>
                                <w:rPr>
                                  <w:rFonts w:hint="default" w:eastAsia="宋体"/>
                                  <w:sz w:val="18"/>
                                  <w:szCs w:val="18"/>
                                  <w:lang w:val="en-US" w:eastAsia="zh-CN"/>
                                </w:rPr>
                              </w:pPr>
                              <w:r>
                                <w:rPr>
                                  <w:rFonts w:hint="eastAsia"/>
                                  <w:sz w:val="18"/>
                                  <w:szCs w:val="18"/>
                                  <w:lang w:val="en-US" w:eastAsia="zh-CN"/>
                                </w:rPr>
                                <w:t>2.74</w:t>
                              </w:r>
                            </w:p>
                          </w:txbxContent>
                        </v:textbox>
                      </v:roundrect>
                      <v:line id="_x0000_s1026" o:spid="_x0000_s1026" o:spt="20" style="position:absolute;left:804545;top:3114675;height:635;width:648335;" filled="f" stroked="t" coordsize="21600,21600" o:gfxdata="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FDh5FvXAAAA&#10;BQEAAA8AAAAAAAAAAQAgAAAAOAAAAGRycy9kb3ducmV2LnhtbFBLAQIUABQAAAAIAIdO4kDaZf23&#10;CAIAAPYDAAAOAAAAAAAAAAEAIAAAADwBAABkcnMvZTJvRG9jLnhtbFBLBQYAAAAABgAGAFkBAAC2&#10;BQAAAAA=&#10;">
                        <v:fill on="f" focussize="0,0"/>
                        <v:stroke color="#000000" joinstyle="round" endarrow="block"/>
                        <v:imagedata o:title=""/>
                        <o:lock v:ext="edit" aspectratio="f"/>
                      </v:line>
                      <v:roundrect id="_x0000_s1026" o:spid="_x0000_s1026" o:spt="2" style="position:absolute;left:1461770;top:2945130;height:314325;width:819785;" fillcolor="#FFFFFF" filled="t" stroked="t" coordsize="21600,21600" arcsize="0.166666666666667" o:gfxdata="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Cma/s70wAAAAUBAAAPAAAAAAAAAAEAIAAAADgAAABk&#10;cnMvZG93bnJldi54bWxQSwECFAAUAAAACACHTuJAVL3mgi4CAABjBAAADgAAAAAAAAABACAAAAA4&#10;AQAAZHJzL2Uyb0RvYy54bWxQSwUGAAAAAAYABgBZAQAA2AUAAAAA&#10;">
                        <v:fill on="t" focussize="0,0"/>
                        <v:stroke color="#000000" joinstyle="round"/>
                        <v:imagedata o:title=""/>
                        <o:lock v:ext="edit" aspectratio="f"/>
                        <v:textbox>
                          <w:txbxContent>
                            <w:p>
                              <w:pPr>
                                <w:jc w:val="center"/>
                                <w:rPr>
                                  <w:rFonts w:hint="eastAsia" w:eastAsia="宋体"/>
                                  <w:sz w:val="18"/>
                                  <w:szCs w:val="18"/>
                                  <w:lang w:eastAsia="zh-CN"/>
                                </w:rPr>
                              </w:pPr>
                              <w:r>
                                <w:rPr>
                                  <w:rFonts w:hint="eastAsia"/>
                                  <w:sz w:val="18"/>
                                  <w:szCs w:val="18"/>
                                  <w:lang w:eastAsia="zh-CN"/>
                                </w:rPr>
                                <w:t>切削液配水</w:t>
                              </w:r>
                            </w:p>
                          </w:txbxContent>
                        </v:textbox>
                      </v:roundrect>
                      <v:roundrect id="_x0000_s1026" o:spid="_x0000_s1026" o:spt="2" style="position:absolute;left:1689735;top:2571750;height:264160;width:716280;" filled="f" stroked="f" coordsize="21600,21600" arcsize="0.166666666666667" o:gfxdata="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FgAAAGRycy9QSwECFAAUAAAACACHTuJARxS2&#10;1tYAAAAFAQAADwAAAAAAAAABACAAAAA4AAAAZHJzL2Rvd25yZXYueG1sUEsBAhQAFAAAAAgAh07i&#10;QIskeVbVAQAAhQMAAA4AAAAAAAAAAQAgAAAAOwEAAGRycy9lMm9Eb2MueG1sUEsFBgAAAAAGAAYA&#10;WQEAAIIFAAAAAA==&#10;">
                        <v:fill on="f" focussize="0,0"/>
                        <v:stroke on="f"/>
                        <v:imagedata o:title=""/>
                        <o:lock v:ext="edit" aspectratio="f"/>
                        <v:textbox>
                          <w:txbxContent>
                            <w:p>
                              <w:pPr>
                                <w:jc w:val="center"/>
                                <w:rPr>
                                  <w:rFonts w:hint="default" w:eastAsia="宋体"/>
                                  <w:sz w:val="18"/>
                                  <w:szCs w:val="18"/>
                                  <w:lang w:val="en-US" w:eastAsia="zh-CN"/>
                                </w:rPr>
                              </w:pPr>
                              <w:r>
                                <w:rPr>
                                  <w:rFonts w:hint="eastAsia"/>
                                  <w:sz w:val="18"/>
                                  <w:szCs w:val="18"/>
                                  <w:lang w:val="en-US" w:eastAsia="zh-CN"/>
                                </w:rPr>
                                <w:t>0.548</w:t>
                              </w:r>
                            </w:p>
                          </w:txbxContent>
                        </v:textbox>
                      </v:roundrect>
                      <v:shape id="_x0000_s1026" o:spid="_x0000_s1026" o:spt="38" type="#_x0000_t38" style="position:absolute;left:1913255;top:2813050;height:99060;width:119380;rotation:-5898240f;" filled="f" stroked="t" coordsize="21600,21600" o:gfxdata="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BYAAABkcnMvUEsBAhQAFAAAAAgAh07iQKUJUBPWAAAABQEAAA8AAAAAAAAAAQAgAAAA&#10;OAAAAGRycy9kb3ducmV2LnhtbFBLAQIUABQAAAAIAIdO4kDyXk1JMAIAADUEAAAOAAAAAAAAAAEA&#10;IAAAADsBAABkcnMvZTJvRG9jLnhtbFBLBQYAAAAABgAGAFkBAADdBQAAAAA=&#10;" adj="10800">
                        <v:fill on="f" focussize="0,0"/>
                        <v:stroke color="#000000" joinstyle="round" endarrow="block"/>
                        <v:imagedata o:title=""/>
                        <o:lock v:ext="edit" aspectratio="f"/>
                      </v:shape>
                      <v:line id="_x0000_s1026" o:spid="_x0000_s1026" o:spt="20" style="position:absolute;left:1538605;top:2828290;height:135890;width:5080;" filled="f" stroked="t" coordsize="21600,21600" o:gfxdata="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BQ4eRb&#10;1wAAAAUBAAAPAAAAAAAAAAEAIAAAADgAAABkcnMvZG93bnJldi54bWxQSwECFAAUAAAACACHTuJA&#10;C6tBYAwCAAD4AwAADgAAAAAAAAABACAAAAA8AQAAZHJzL2Uyb0RvYy54bWxQSwUGAAAAAAYABgBZ&#10;AQAAugUAAAAA&#10;">
                        <v:fill on="f" focussize="0,0"/>
                        <v:stroke color="#000000" joinstyle="round" endarrow="block"/>
                        <v:imagedata o:title=""/>
                        <o:lock v:ext="edit" aspectratio="f"/>
                      </v:line>
                      <v:shape id="_x0000_s1026" o:spid="_x0000_s1026" o:spt="202" type="#_x0000_t202" style="position:absolute;left:1028065;top:2605405;height:270510;width:787400;" filled="f" stroked="f" coordsize="21600,21600" o:gfxdata="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WAAAAZHJzL1BLAQIUABQA&#10;AAAIAIdO4kA6+vuF1gAAAAUBAAAPAAAAAAAAAAEAIAAAADgAAABkcnMvZG93bnJldi54bWxQSwEC&#10;FAAUAAAACACHTuJAH7Wr/eABAACvAwAADgAAAAAAAAABACAAAAA7AQAAZHJzL2Uyb0RvYy54bWxQ&#10;SwUGAAAAAAYABgBZAQAAjQUAAAAA&#10;">
                        <v:fill on="f" focussize="0,0"/>
                        <v:stroke on="f"/>
                        <v:imagedata o:title=""/>
                        <o:lock v:ext="edit" aspectratio="f"/>
                        <v:textbox inset="0mm,1mm,0mm,1mm" style="mso-fit-shape-to-text:t;">
                          <w:txbxContent>
                            <w:p>
                              <w:pPr>
                                <w:jc w:val="center"/>
                                <w:rPr>
                                  <w:rFonts w:hint="default" w:eastAsia="宋体"/>
                                  <w:sz w:val="18"/>
                                  <w:szCs w:val="18"/>
                                  <w:lang w:val="en-US" w:eastAsia="zh-CN"/>
                                </w:rPr>
                              </w:pPr>
                              <w:r>
                                <w:rPr>
                                  <w:rFonts w:hint="eastAsia"/>
                                  <w:sz w:val="18"/>
                                  <w:szCs w:val="18"/>
                                  <w:lang w:eastAsia="zh-CN"/>
                                </w:rPr>
                                <w:t>切削液</w:t>
                              </w:r>
                              <w:r>
                                <w:rPr>
                                  <w:rFonts w:hint="eastAsia"/>
                                  <w:sz w:val="18"/>
                                  <w:szCs w:val="18"/>
                                  <w:lang w:val="en-US" w:eastAsia="zh-CN"/>
                                </w:rPr>
                                <w:t>0.137</w:t>
                              </w:r>
                            </w:p>
                          </w:txbxContent>
                        </v:textbox>
                      </v:shape>
                      <v:line id="_x0000_s1026" o:spid="_x0000_s1026" o:spt="20" style="position:absolute;left:2292985;top:3088640;flip:y;height:635;width:598805;" filled="f" stroked="t" coordsize="21600,21600" o:gfxdata="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JiJcQjXAAAABQEAAA8AAAAAAAAAAQAgAAAAOAAAAGRycy9kb3ducmV2LnhtbFBLAQIUABQAAAAI&#10;AIdO4kDw4xkuEQIAAAEEAAAOAAAAAAAAAAEAIAAAADwBAABkcnMvZTJvRG9jLnhtbFBLBQYAAAAA&#10;BgAGAFkBAAC/BQAAAAA=&#10;">
                        <v:fill on="f" focussize="0,0"/>
                        <v:stroke color="#000000" joinstyle="round" endarrow="block"/>
                        <v:imagedata o:title=""/>
                        <o:lock v:ext="edit" aspectratio="f"/>
                      </v:line>
                      <v:shape id="_x0000_s1026" o:spid="_x0000_s1026" o:spt="202" type="#_x0000_t202" style="position:absolute;left:2880995;top:2959100;height:270510;width:1031875;" filled="f" stroked="f" coordsize="21600,21600" o:gfxdata="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WAAAAZHJzL1BLAQIUABQA&#10;AAAIAIdO4kA6+vuF1gAAAAUBAAAPAAAAAAAAAAEAIAAAADgAAABkcnMvZG93bnJldi54bWxQSwEC&#10;FAAUAAAACACHTuJAjFqSSuABAACwAwAADgAAAAAAAAABACAAAAA7AQAAZHJzL2Uyb0RvYy54bWxQ&#10;SwUGAAAAAAYABgBZAQAAjQUAAAAA&#10;">
                        <v:fill on="f" focussize="0,0"/>
                        <v:stroke on="f"/>
                        <v:imagedata o:title=""/>
                        <o:lock v:ext="edit" aspectratio="f"/>
                        <v:textbox inset="0mm,1mm,0mm,1mm" style="mso-fit-shape-to-text:t;">
                          <w:txbxContent>
                            <w:p>
                              <w:pPr>
                                <w:jc w:val="center"/>
                                <w:rPr>
                                  <w:rFonts w:hint="default" w:eastAsia="宋体"/>
                                  <w:sz w:val="18"/>
                                  <w:szCs w:val="18"/>
                                  <w:lang w:val="en-US" w:eastAsia="zh-CN"/>
                                </w:rPr>
                              </w:pPr>
                              <w:r>
                                <w:rPr>
                                  <w:rFonts w:hint="eastAsia"/>
                                  <w:sz w:val="18"/>
                                  <w:szCs w:val="18"/>
                                  <w:lang w:eastAsia="zh-CN"/>
                                </w:rPr>
                                <w:t>废切削液（作危废）</w:t>
                              </w:r>
                            </w:p>
                          </w:txbxContent>
                        </v:textbox>
                      </v:shape>
                      <v:roundrect id="_x0000_s1026" o:spid="_x0000_s1026" o:spt="2" style="position:absolute;left:2230755;top:2807970;height:264160;width:716280;" filled="f" stroked="f" coordsize="21600,21600" arcsize="0.166666666666667" o:gfxdata="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BYAAABkcnMvUEsBAhQAFAAAAAgAh07iQEcUttbW&#10;AAAABQEAAA8AAAAAAAAAAQAgAAAAOAAAAGRycy9kb3ducmV2LnhtbFBLAQIUABQAAAAIAIdO4kBs&#10;WBuV0wEAAIUDAAAOAAAAAAAAAAEAIAAAADsBAABkcnMvZTJvRG9jLnhtbFBLBQYAAAAABgAGAFkB&#10;AACABQAAAAA=&#10;">
                        <v:fill on="f" focussize="0,0"/>
                        <v:stroke on="f"/>
                        <v:imagedata o:title=""/>
                        <o:lock v:ext="edit" aspectratio="f"/>
                        <v:textbox>
                          <w:txbxContent>
                            <w:p>
                              <w:pPr>
                                <w:jc w:val="center"/>
                                <w:rPr>
                                  <w:rFonts w:hint="default" w:eastAsia="宋体"/>
                                  <w:sz w:val="18"/>
                                  <w:szCs w:val="18"/>
                                  <w:lang w:val="en-US" w:eastAsia="zh-CN"/>
                                </w:rPr>
                              </w:pPr>
                              <w:r>
                                <w:rPr>
                                  <w:rFonts w:hint="eastAsia"/>
                                  <w:sz w:val="18"/>
                                  <w:szCs w:val="18"/>
                                  <w:lang w:val="en-US" w:eastAsia="zh-CN"/>
                                </w:rPr>
                                <w:t>2.329</w:t>
                              </w:r>
                            </w:p>
                          </w:txbxContent>
                        </v:textbox>
                      </v:roundrect>
                      <v:roundrect id="_x0000_s1026" o:spid="_x0000_s1026" o:spt="2" style="position:absolute;left:3837305;top:701675;height:309245;width:537845;" filled="f" stroked="f" coordsize="21600,21600" arcsize="0.166666666666667" o:gfxdata="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BYAAABkcnMvUEsBAhQAFAAAAAgAh07iQEcU&#10;ttbWAAAABQEAAA8AAAAAAAAAAQAgAAAAOAAAAGRycy9kb3ducmV2LnhtbFBLAQIUABQAAAAIAIdO&#10;4kCi/weM1gEAAIQDAAAOAAAAAAAAAAEAIAAAADsBAABkcnMvZTJvRG9jLnhtbFBLBQYAAAAABgAG&#10;AFkBAACDBQAAAAA=&#10;">
                        <v:fill on="f" focussize="0,0"/>
                        <v:stroke on="f"/>
                        <v:imagedata o:title=""/>
                        <o:lock v:ext="edit" aspectratio="f"/>
                        <v:textbox>
                          <w:txbxContent>
                            <w:p>
                              <w:pPr>
                                <w:jc w:val="center"/>
                                <w:rPr>
                                  <w:rFonts w:hint="default" w:eastAsia="宋体"/>
                                  <w:color w:val="auto"/>
                                  <w:sz w:val="18"/>
                                  <w:szCs w:val="18"/>
                                  <w:lang w:val="en-US" w:eastAsia="zh-CN"/>
                                </w:rPr>
                              </w:pPr>
                              <w:r>
                                <w:rPr>
                                  <w:rFonts w:hint="eastAsia"/>
                                  <w:color w:val="auto"/>
                                  <w:sz w:val="18"/>
                                  <w:szCs w:val="18"/>
                                  <w:lang w:val="en-US" w:eastAsia="zh-CN"/>
                                </w:rPr>
                                <w:t>3216</w:t>
                              </w:r>
                            </w:p>
                          </w:txbxContent>
                        </v:textbox>
                      </v:roundrect>
                      <v:roundrect id="_x0000_s1026" o:spid="_x0000_s1026" o:spt="2" style="position:absolute;left:3535045;top:196215;height:309245;width:537845;" filled="f" stroked="f" coordsize="21600,21600" arcsize="0.166666666666667" o:gfxdata="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BYAAABkcnMvUEsBAhQAFAAAAAgAh07iQEcU&#10;ttbWAAAABQEAAA8AAAAAAAAAAQAgAAAAOAAAAGRycy9kb3ducmV2LnhtbFBLAQIUABQAAAAIAIdO&#10;4kBo6zRV1gEAAIYDAAAOAAAAAAAAAAEAIAAAADsBAABkcnMvZTJvRG9jLnhtbFBLBQYAAAAABgAG&#10;AFkBAACDBQAAAAA=&#10;">
                        <v:fill on="f" focussize="0,0"/>
                        <v:stroke on="f"/>
                        <v:imagedata o:title=""/>
                        <o:lock v:ext="edit" aspectratio="f"/>
                        <v:textbox>
                          <w:txbxContent>
                            <w:p>
                              <w:pPr>
                                <w:jc w:val="center"/>
                                <w:rPr>
                                  <w:rFonts w:hint="default" w:eastAsia="宋体"/>
                                  <w:sz w:val="18"/>
                                  <w:szCs w:val="18"/>
                                  <w:lang w:val="en-US" w:eastAsia="zh-CN"/>
                                </w:rPr>
                              </w:pPr>
                              <w:r>
                                <w:rPr>
                                  <w:rFonts w:hint="eastAsia"/>
                                  <w:sz w:val="18"/>
                                  <w:szCs w:val="18"/>
                                  <w:lang w:val="en-US" w:eastAsia="zh-CN"/>
                                </w:rPr>
                                <w:t>240</w:t>
                              </w:r>
                            </w:p>
                          </w:txbxContent>
                        </v:textbox>
                      </v:roundrect>
                      <w10:wrap type="none"/>
                      <w10:anchorlock/>
                    </v:group>
                  </w:pict>
                </mc:Fallback>
              </mc:AlternateContent>
            </w:r>
          </w:p>
          <w:p>
            <w:pPr>
              <w:jc w:val="center"/>
              <w:rPr>
                <w:rFonts w:hint="eastAsia"/>
                <w:b/>
                <w:bCs/>
                <w:color w:val="auto"/>
                <w:lang w:val="en-US" w:eastAsia="zh-CN"/>
              </w:rPr>
            </w:pPr>
            <w:r>
              <w:rPr>
                <w:b/>
                <w:bCs/>
                <w:color w:val="auto"/>
              </w:rPr>
              <w:t xml:space="preserve">图2-1 </w:t>
            </w:r>
            <w:r>
              <w:rPr>
                <w:rFonts w:hint="eastAsia"/>
                <w:b/>
                <w:bCs/>
                <w:color w:val="auto"/>
                <w:lang w:eastAsia="zh-CN"/>
              </w:rPr>
              <w:t>本</w:t>
            </w:r>
            <w:r>
              <w:rPr>
                <w:b/>
                <w:bCs/>
                <w:color w:val="auto"/>
              </w:rPr>
              <w:t>项目水平衡图    单位：t/</w:t>
            </w:r>
            <w:r>
              <w:rPr>
                <w:rFonts w:hint="eastAsia"/>
                <w:b/>
                <w:bCs/>
                <w:color w:val="auto"/>
                <w:lang w:val="en-US" w:eastAsia="zh-CN"/>
              </w:rPr>
              <w:t>a</w:t>
            </w:r>
          </w:p>
          <w:p>
            <w:pPr>
              <w:jc w:val="center"/>
              <w:rPr>
                <w:rFonts w:hint="eastAsia"/>
                <w:b/>
                <w:bCs/>
                <w:color w:val="auto"/>
                <w:lang w:val="en-US" w:eastAsia="zh-CN"/>
              </w:rPr>
            </w:pPr>
          </w:p>
          <w:p>
            <w:pPr>
              <w:jc w:val="center"/>
              <w:rPr>
                <w:rFonts w:hint="eastAsia"/>
                <w:b/>
                <w:bCs/>
                <w:color w:val="auto"/>
                <w:lang w:val="en-US" w:eastAsia="zh-CN"/>
              </w:rPr>
            </w:pPr>
          </w:p>
          <w:p>
            <w:pPr>
              <w:jc w:val="center"/>
              <w:rPr>
                <w:rFonts w:hint="eastAsia"/>
                <w:b/>
                <w:bCs/>
                <w:color w:val="auto"/>
                <w:lang w:val="en-US" w:eastAsia="zh-CN"/>
              </w:rPr>
            </w:pPr>
          </w:p>
          <w:p>
            <w:pPr>
              <w:jc w:val="center"/>
              <w:rPr>
                <w:rFonts w:hint="eastAsia"/>
                <w:b/>
                <w:bCs/>
                <w:color w:val="auto"/>
                <w:lang w:val="en-US" w:eastAsia="zh-CN"/>
              </w:rPr>
            </w:pPr>
          </w:p>
          <w:p>
            <w:pPr>
              <w:jc w:val="center"/>
              <w:rPr>
                <w:rFonts w:hint="eastAsia"/>
                <w:b/>
                <w:bCs/>
                <w:color w:val="auto"/>
                <w:lang w:val="en-US" w:eastAsia="zh-CN"/>
              </w:rPr>
            </w:pPr>
          </w:p>
          <w:p>
            <w:pPr>
              <w:jc w:val="center"/>
              <w:rPr>
                <w:rFonts w:hint="eastAsia"/>
                <w:b/>
                <w:bCs/>
                <w:color w:val="auto"/>
                <w:lang w:val="en-US" w:eastAsia="zh-CN"/>
              </w:rPr>
            </w:pPr>
          </w:p>
          <w:p>
            <w:pPr>
              <w:pStyle w:val="7"/>
              <w:rPr>
                <w:rFonts w:hint="eastAsia"/>
                <w:b/>
                <w:bCs/>
                <w:color w:val="auto"/>
                <w:lang w:val="en-US" w:eastAsia="zh-CN"/>
              </w:rPr>
            </w:pPr>
          </w:p>
          <w:p>
            <w:pPr>
              <w:rPr>
                <w:rFonts w:hint="eastAsia"/>
                <w:b/>
                <w:bCs/>
                <w:color w:val="auto"/>
                <w:lang w:val="en-US" w:eastAsia="zh-CN"/>
              </w:rPr>
            </w:pPr>
          </w:p>
          <w:p>
            <w:pPr>
              <w:rPr>
                <w:rFonts w:hint="eastAsia"/>
                <w:b/>
                <w:bCs/>
                <w:color w:val="auto"/>
                <w:lang w:val="en-US" w:eastAsia="zh-CN"/>
              </w:rPr>
            </w:pPr>
          </w:p>
          <w:p>
            <w:pPr>
              <w:jc w:val="center"/>
              <w:rPr>
                <w:b/>
                <w:bCs/>
                <w:color w:val="auto"/>
              </w:rPr>
            </w:pPr>
            <w:r>
              <w:rPr>
                <w:rFonts w:cs="宋体"/>
                <w:color w:val="auto"/>
                <w:sz w:val="24"/>
              </w:rPr>
              <mc:AlternateContent>
                <mc:Choice Requires="wpc">
                  <w:drawing>
                    <wp:inline distT="0" distB="0" distL="114300" distR="114300">
                      <wp:extent cx="4890135" cy="3963035"/>
                      <wp:effectExtent l="0" t="0" r="5715" b="0"/>
                      <wp:docPr id="198" name="画布 19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99" name="圆角矩形 43"/>
                              <wps:cNvSpPr/>
                              <wps:spPr>
                                <a:xfrm>
                                  <a:off x="0" y="1174115"/>
                                  <a:ext cx="602615" cy="519430"/>
                                </a:xfrm>
                                <a:prstGeom prst="roundRect">
                                  <a:avLst>
                                    <a:gd name="adj" fmla="val 16667"/>
                                  </a:avLst>
                                </a:prstGeom>
                                <a:noFill/>
                                <a:ln>
                                  <a:noFill/>
                                </a:ln>
                              </wps:spPr>
                              <wps:txbx>
                                <w:txbxContent>
                                  <w:p>
                                    <w:pPr>
                                      <w:jc w:val="center"/>
                                      <w:rPr>
                                        <w:rFonts w:hint="eastAsia"/>
                                        <w:sz w:val="15"/>
                                        <w:szCs w:val="15"/>
                                      </w:rPr>
                                    </w:pPr>
                                    <w:r>
                                      <w:rPr>
                                        <w:rFonts w:hint="eastAsia"/>
                                        <w:sz w:val="15"/>
                                        <w:szCs w:val="15"/>
                                      </w:rPr>
                                      <w:t>自来水</w:t>
                                    </w:r>
                                  </w:p>
                                  <w:p>
                                    <w:pPr>
                                      <w:jc w:val="center"/>
                                      <w:rPr>
                                        <w:rFonts w:hint="default" w:eastAsia="宋体"/>
                                        <w:sz w:val="15"/>
                                        <w:szCs w:val="15"/>
                                        <w:lang w:val="en-US" w:eastAsia="zh-CN"/>
                                      </w:rPr>
                                    </w:pPr>
                                    <w:r>
                                      <w:rPr>
                                        <w:rFonts w:hint="eastAsia"/>
                                        <w:sz w:val="15"/>
                                        <w:szCs w:val="15"/>
                                        <w:lang w:val="en-US" w:eastAsia="zh-CN"/>
                                      </w:rPr>
                                      <w:t>56694.74</w:t>
                                    </w:r>
                                  </w:p>
                                </w:txbxContent>
                              </wps:txbx>
                              <wps:bodyPr upright="1"/>
                            </wps:wsp>
                            <wps:wsp>
                              <wps:cNvPr id="200" name="圆角矩形 53"/>
                              <wps:cNvSpPr/>
                              <wps:spPr>
                                <a:xfrm>
                                  <a:off x="4195445" y="878205"/>
                                  <a:ext cx="694690" cy="737235"/>
                                </a:xfrm>
                                <a:prstGeom prst="roundRect">
                                  <a:avLst>
                                    <a:gd name="adj" fmla="val 16667"/>
                                  </a:avLst>
                                </a:prstGeom>
                                <a:solidFill>
                                  <a:srgbClr val="FFFFFF"/>
                                </a:solidFill>
                                <a:ln w="9525" cap="flat" cmpd="sng">
                                  <a:noFill/>
                                  <a:prstDash val="solid"/>
                                  <a:headEnd type="none" w="med" len="med"/>
                                  <a:tailEnd type="none" w="med" len="med"/>
                                </a:ln>
                              </wps:spPr>
                              <wps:txbx>
                                <w:txbxContent>
                                  <w:p>
                                    <w:pPr>
                                      <w:jc w:val="center"/>
                                      <w:rPr>
                                        <w:rFonts w:hint="eastAsia"/>
                                        <w:sz w:val="15"/>
                                        <w:szCs w:val="15"/>
                                      </w:rPr>
                                    </w:pPr>
                                    <w:r>
                                      <w:rPr>
                                        <w:rFonts w:hint="eastAsia" w:ascii="Times New Roman" w:hAnsi="Times New Roman" w:eastAsia="宋体" w:cs="Times New Roman"/>
                                        <w:b w:val="0"/>
                                        <w:bCs w:val="0"/>
                                        <w:color w:val="auto"/>
                                        <w:kern w:val="0"/>
                                        <w:sz w:val="15"/>
                                        <w:szCs w:val="15"/>
                                        <w:vertAlign w:val="baseline"/>
                                        <w:lang w:val="en-US" w:eastAsia="zh-CN" w:bidi="ar"/>
                                      </w:rPr>
                                      <w:t>如皋市富港水处理有限公司分厂</w:t>
                                    </w:r>
                                  </w:p>
                                </w:txbxContent>
                              </wps:txbx>
                              <wps:bodyPr upright="1"/>
                            </wps:wsp>
                            <wps:wsp>
                              <wps:cNvPr id="201" name="直接连接符 72"/>
                              <wps:cNvCnPr/>
                              <wps:spPr>
                                <a:xfrm flipV="1">
                                  <a:off x="520065" y="584200"/>
                                  <a:ext cx="360680" cy="1270"/>
                                </a:xfrm>
                                <a:prstGeom prst="line">
                                  <a:avLst/>
                                </a:prstGeom>
                                <a:ln w="9525" cap="flat" cmpd="sng">
                                  <a:solidFill>
                                    <a:srgbClr val="000000"/>
                                  </a:solidFill>
                                  <a:prstDash val="solid"/>
                                  <a:headEnd type="none" w="med" len="med"/>
                                  <a:tailEnd type="triangle" w="med" len="med"/>
                                </a:ln>
                              </wps:spPr>
                              <wps:bodyPr upright="1"/>
                            </wps:wsp>
                            <wps:wsp>
                              <wps:cNvPr id="202" name="圆角矩形 85"/>
                              <wps:cNvSpPr/>
                              <wps:spPr>
                                <a:xfrm>
                                  <a:off x="946785" y="424815"/>
                                  <a:ext cx="622935" cy="31432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sz w:val="15"/>
                                        <w:szCs w:val="15"/>
                                      </w:rPr>
                                    </w:pPr>
                                    <w:r>
                                      <w:rPr>
                                        <w:rFonts w:hint="eastAsia"/>
                                        <w:sz w:val="15"/>
                                        <w:szCs w:val="15"/>
                                      </w:rPr>
                                      <w:t>冷却用水</w:t>
                                    </w:r>
                                  </w:p>
                                </w:txbxContent>
                              </wps:txbx>
                              <wps:bodyPr upright="1"/>
                            </wps:wsp>
                            <wps:wsp>
                              <wps:cNvPr id="203" name="曲线连接符 86"/>
                              <wps:cNvCnPr/>
                              <wps:spPr>
                                <a:xfrm rot="-5400000">
                                  <a:off x="1537970" y="325120"/>
                                  <a:ext cx="119380" cy="99060"/>
                                </a:xfrm>
                                <a:prstGeom prst="curvedConnector3">
                                  <a:avLst>
                                    <a:gd name="adj1" fmla="val 50000"/>
                                  </a:avLst>
                                </a:prstGeom>
                                <a:ln w="9525" cap="flat" cmpd="sng">
                                  <a:solidFill>
                                    <a:srgbClr val="000000"/>
                                  </a:solidFill>
                                  <a:prstDash val="solid"/>
                                  <a:headEnd type="none" w="med" len="med"/>
                                  <a:tailEnd type="triangle" w="med" len="med"/>
                                </a:ln>
                              </wps:spPr>
                              <wps:bodyPr/>
                            </wps:wsp>
                            <wps:wsp>
                              <wps:cNvPr id="204" name="圆角矩形 87"/>
                              <wps:cNvSpPr/>
                              <wps:spPr>
                                <a:xfrm>
                                  <a:off x="356235" y="323850"/>
                                  <a:ext cx="654050" cy="285750"/>
                                </a:xfrm>
                                <a:prstGeom prst="roundRect">
                                  <a:avLst>
                                    <a:gd name="adj" fmla="val 16667"/>
                                  </a:avLst>
                                </a:prstGeom>
                                <a:noFill/>
                                <a:ln>
                                  <a:noFill/>
                                </a:ln>
                              </wps:spPr>
                              <wps:txbx>
                                <w:txbxContent>
                                  <w:p>
                                    <w:pPr>
                                      <w:jc w:val="center"/>
                                      <w:rPr>
                                        <w:rFonts w:hint="default" w:eastAsia="宋体"/>
                                        <w:sz w:val="15"/>
                                        <w:szCs w:val="15"/>
                                        <w:lang w:val="en-US" w:eastAsia="zh-CN"/>
                                      </w:rPr>
                                    </w:pPr>
                                    <w:r>
                                      <w:rPr>
                                        <w:rFonts w:hint="eastAsia"/>
                                        <w:sz w:val="15"/>
                                        <w:szCs w:val="15"/>
                                        <w:lang w:val="en-US" w:eastAsia="zh-CN"/>
                                      </w:rPr>
                                      <w:t>48840</w:t>
                                    </w:r>
                                  </w:p>
                                </w:txbxContent>
                              </wps:txbx>
                              <wps:bodyPr upright="1"/>
                            </wps:wsp>
                            <wps:wsp>
                              <wps:cNvPr id="205" name="圆角矩形 88"/>
                              <wps:cNvSpPr/>
                              <wps:spPr>
                                <a:xfrm>
                                  <a:off x="1374140" y="53340"/>
                                  <a:ext cx="716280" cy="264160"/>
                                </a:xfrm>
                                <a:prstGeom prst="roundRect">
                                  <a:avLst>
                                    <a:gd name="adj" fmla="val 16667"/>
                                  </a:avLst>
                                </a:prstGeom>
                                <a:noFill/>
                                <a:ln>
                                  <a:noFill/>
                                </a:ln>
                              </wps:spPr>
                              <wps:txbx>
                                <w:txbxContent>
                                  <w:p>
                                    <w:pPr>
                                      <w:jc w:val="center"/>
                                      <w:rPr>
                                        <w:rFonts w:hint="default" w:eastAsia="宋体"/>
                                        <w:sz w:val="15"/>
                                        <w:szCs w:val="15"/>
                                        <w:lang w:val="en-US" w:eastAsia="zh-CN"/>
                                      </w:rPr>
                                    </w:pPr>
                                    <w:r>
                                      <w:rPr>
                                        <w:rFonts w:hint="eastAsia"/>
                                        <w:sz w:val="15"/>
                                        <w:szCs w:val="15"/>
                                        <w:lang w:val="en-US" w:eastAsia="zh-CN"/>
                                      </w:rPr>
                                      <w:t>37332</w:t>
                                    </w:r>
                                  </w:p>
                                </w:txbxContent>
                              </wps:txbx>
                              <wps:bodyPr upright="1"/>
                            </wps:wsp>
                            <wps:wsp>
                              <wps:cNvPr id="207" name="直接箭头连接符 91"/>
                              <wps:cNvCnPr/>
                              <wps:spPr>
                                <a:xfrm>
                                  <a:off x="1879600" y="594360"/>
                                  <a:ext cx="2540" cy="581025"/>
                                </a:xfrm>
                                <a:prstGeom prst="straightConnector1">
                                  <a:avLst/>
                                </a:prstGeom>
                                <a:ln w="9525" cap="flat" cmpd="sng">
                                  <a:solidFill>
                                    <a:srgbClr val="000000"/>
                                  </a:solidFill>
                                  <a:prstDash val="solid"/>
                                  <a:headEnd type="none" w="med" len="med"/>
                                  <a:tailEnd type="none" w="med" len="med"/>
                                </a:ln>
                              </wps:spPr>
                              <wps:bodyPr/>
                            </wps:wsp>
                            <wps:wsp>
                              <wps:cNvPr id="208" name="文本框 92"/>
                              <wps:cNvSpPr txBox="1"/>
                              <wps:spPr>
                                <a:xfrm>
                                  <a:off x="1131570" y="713740"/>
                                  <a:ext cx="857885" cy="468630"/>
                                </a:xfrm>
                                <a:prstGeom prst="rect">
                                  <a:avLst/>
                                </a:prstGeom>
                                <a:noFill/>
                                <a:ln>
                                  <a:noFill/>
                                </a:ln>
                              </wps:spPr>
                              <wps:txbx>
                                <w:txbxContent>
                                  <w:p>
                                    <w:pPr>
                                      <w:jc w:val="center"/>
                                      <w:rPr>
                                        <w:rFonts w:hint="eastAsia"/>
                                        <w:sz w:val="15"/>
                                        <w:szCs w:val="15"/>
                                      </w:rPr>
                                    </w:pPr>
                                    <w:r>
                                      <w:rPr>
                                        <w:rFonts w:hint="eastAsia"/>
                                        <w:sz w:val="15"/>
                                        <w:szCs w:val="15"/>
                                      </w:rPr>
                                      <w:t>循环能力</w:t>
                                    </w:r>
                                  </w:p>
                                  <w:p>
                                    <w:pPr>
                                      <w:jc w:val="center"/>
                                      <w:rPr>
                                        <w:rFonts w:hint="eastAsia"/>
                                        <w:sz w:val="15"/>
                                        <w:szCs w:val="15"/>
                                      </w:rPr>
                                    </w:pPr>
                                    <w:r>
                                      <w:rPr>
                                        <w:rFonts w:hint="eastAsia"/>
                                        <w:sz w:val="15"/>
                                        <w:szCs w:val="15"/>
                                        <w:lang w:val="en-US" w:eastAsia="zh-CN"/>
                                      </w:rPr>
                                      <w:t>4500</w:t>
                                    </w:r>
                                    <w:r>
                                      <w:rPr>
                                        <w:sz w:val="15"/>
                                        <w:szCs w:val="15"/>
                                      </w:rPr>
                                      <w:t>000m</w:t>
                                    </w:r>
                                    <w:r>
                                      <w:rPr>
                                        <w:sz w:val="15"/>
                                        <w:szCs w:val="15"/>
                                        <w:vertAlign w:val="superscript"/>
                                      </w:rPr>
                                      <w:t>3</w:t>
                                    </w:r>
                                    <w:r>
                                      <w:rPr>
                                        <w:sz w:val="15"/>
                                        <w:szCs w:val="15"/>
                                      </w:rPr>
                                      <w:t>/a</w:t>
                                    </w:r>
                                  </w:p>
                                </w:txbxContent>
                              </wps:txbx>
                              <wps:bodyPr wrap="square" lIns="0" tIns="36000" rIns="0" bIns="36000" upright="1">
                                <a:spAutoFit/>
                              </wps:bodyPr>
                            </wps:wsp>
                            <wps:wsp>
                              <wps:cNvPr id="209" name="直接箭头连接符 93"/>
                              <wps:cNvCnPr/>
                              <wps:spPr>
                                <a:xfrm flipH="1" flipV="1">
                                  <a:off x="1254760" y="1167765"/>
                                  <a:ext cx="623570" cy="7620"/>
                                </a:xfrm>
                                <a:prstGeom prst="straightConnector1">
                                  <a:avLst/>
                                </a:prstGeom>
                                <a:ln w="9525" cap="flat" cmpd="sng">
                                  <a:solidFill>
                                    <a:srgbClr val="000000"/>
                                  </a:solidFill>
                                  <a:prstDash val="solid"/>
                                  <a:headEnd type="none" w="med" len="med"/>
                                  <a:tailEnd type="none" w="med" len="med"/>
                                </a:ln>
                              </wps:spPr>
                              <wps:bodyPr/>
                            </wps:wsp>
                            <wps:wsp>
                              <wps:cNvPr id="210" name="直接箭头连接符 94"/>
                              <wps:cNvCnPr/>
                              <wps:spPr>
                                <a:xfrm flipV="1">
                                  <a:off x="1259205" y="725805"/>
                                  <a:ext cx="1905" cy="443865"/>
                                </a:xfrm>
                                <a:prstGeom prst="straightConnector1">
                                  <a:avLst/>
                                </a:prstGeom>
                                <a:ln w="9525" cap="flat" cmpd="sng">
                                  <a:solidFill>
                                    <a:srgbClr val="000000"/>
                                  </a:solidFill>
                                  <a:prstDash val="solid"/>
                                  <a:headEnd type="none" w="med" len="med"/>
                                  <a:tailEnd type="stealth" w="med" len="med"/>
                                </a:ln>
                              </wps:spPr>
                              <wps:bodyPr/>
                            </wps:wsp>
                            <wps:wsp>
                              <wps:cNvPr id="211" name="圆角矩形 111"/>
                              <wps:cNvSpPr/>
                              <wps:spPr>
                                <a:xfrm>
                                  <a:off x="1695450" y="325755"/>
                                  <a:ext cx="537845" cy="309245"/>
                                </a:xfrm>
                                <a:prstGeom prst="roundRect">
                                  <a:avLst>
                                    <a:gd name="adj" fmla="val 16667"/>
                                  </a:avLst>
                                </a:prstGeom>
                                <a:noFill/>
                                <a:ln>
                                  <a:noFill/>
                                </a:ln>
                              </wps:spPr>
                              <wps:txbx>
                                <w:txbxContent>
                                  <w:p>
                                    <w:pPr>
                                      <w:jc w:val="center"/>
                                      <w:rPr>
                                        <w:rFonts w:hint="default" w:eastAsia="宋体"/>
                                        <w:sz w:val="15"/>
                                        <w:szCs w:val="15"/>
                                        <w:lang w:val="en-US" w:eastAsia="zh-CN"/>
                                      </w:rPr>
                                    </w:pPr>
                                    <w:r>
                                      <w:rPr>
                                        <w:rFonts w:hint="eastAsia"/>
                                        <w:sz w:val="15"/>
                                        <w:szCs w:val="15"/>
                                        <w:lang w:val="en-US" w:eastAsia="zh-CN"/>
                                      </w:rPr>
                                      <w:t>1365</w:t>
                                    </w:r>
                                  </w:p>
                                </w:txbxContent>
                              </wps:txbx>
                              <wps:bodyPr upright="1"/>
                            </wps:wsp>
                            <wps:wsp>
                              <wps:cNvPr id="212" name="直接连接符 183"/>
                              <wps:cNvCnPr>
                                <a:stCxn id="202" idx="3"/>
                                <a:endCxn id="213" idx="1"/>
                              </wps:cNvCnPr>
                              <wps:spPr>
                                <a:xfrm flipV="1">
                                  <a:off x="1569720" y="581025"/>
                                  <a:ext cx="563880" cy="1270"/>
                                </a:xfrm>
                                <a:prstGeom prst="line">
                                  <a:avLst/>
                                </a:prstGeom>
                                <a:ln w="9525" cap="flat" cmpd="sng">
                                  <a:solidFill>
                                    <a:srgbClr val="000000"/>
                                  </a:solidFill>
                                  <a:prstDash val="solid"/>
                                  <a:headEnd type="none" w="med" len="med"/>
                                  <a:tailEnd type="triangle" w="med" len="med"/>
                                </a:ln>
                              </wps:spPr>
                              <wps:bodyPr upright="1"/>
                            </wps:wsp>
                            <wps:wsp>
                              <wps:cNvPr id="213" name="圆角矩形 85"/>
                              <wps:cNvSpPr/>
                              <wps:spPr>
                                <a:xfrm>
                                  <a:off x="2133600" y="423545"/>
                                  <a:ext cx="802640" cy="31432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sz w:val="15"/>
                                        <w:szCs w:val="15"/>
                                      </w:rPr>
                                    </w:pPr>
                                    <w:r>
                                      <w:rPr>
                                        <w:rFonts w:hint="eastAsia"/>
                                        <w:sz w:val="15"/>
                                        <w:szCs w:val="15"/>
                                        <w:lang w:eastAsia="zh-CN"/>
                                      </w:rPr>
                                      <w:t>地面冲洗</w:t>
                                    </w:r>
                                    <w:r>
                                      <w:rPr>
                                        <w:rFonts w:hint="eastAsia"/>
                                        <w:sz w:val="15"/>
                                        <w:szCs w:val="15"/>
                                      </w:rPr>
                                      <w:t>用水</w:t>
                                    </w:r>
                                  </w:p>
                                </w:txbxContent>
                              </wps:txbx>
                              <wps:bodyPr upright="1"/>
                            </wps:wsp>
                            <wps:wsp>
                              <wps:cNvPr id="214" name="直接连接符 183"/>
                              <wps:cNvCnPr/>
                              <wps:spPr>
                                <a:xfrm flipV="1">
                                  <a:off x="2935605" y="588010"/>
                                  <a:ext cx="279400" cy="2540"/>
                                </a:xfrm>
                                <a:prstGeom prst="line">
                                  <a:avLst/>
                                </a:prstGeom>
                                <a:ln w="9525" cap="flat" cmpd="sng">
                                  <a:solidFill>
                                    <a:srgbClr val="000000"/>
                                  </a:solidFill>
                                  <a:prstDash val="solid"/>
                                  <a:headEnd type="none" w="med" len="med"/>
                                  <a:tailEnd type="triangle" w="med" len="med"/>
                                </a:ln>
                              </wps:spPr>
                              <wps:bodyPr upright="1"/>
                            </wps:wsp>
                            <wps:wsp>
                              <wps:cNvPr id="215" name="圆角矩形 85"/>
                              <wps:cNvSpPr/>
                              <wps:spPr>
                                <a:xfrm>
                                  <a:off x="3191510" y="431800"/>
                                  <a:ext cx="563245" cy="31432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sz w:val="15"/>
                                        <w:szCs w:val="15"/>
                                      </w:rPr>
                                    </w:pPr>
                                    <w:r>
                                      <w:rPr>
                                        <w:rFonts w:hint="eastAsia"/>
                                        <w:sz w:val="15"/>
                                        <w:szCs w:val="15"/>
                                        <w:lang w:eastAsia="zh-CN"/>
                                      </w:rPr>
                                      <w:t>沉淀池</w:t>
                                    </w:r>
                                  </w:p>
                                </w:txbxContent>
                              </wps:txbx>
                              <wps:bodyPr upright="1"/>
                            </wps:wsp>
                            <wps:wsp>
                              <wps:cNvPr id="217" name="直接连接符 72"/>
                              <wps:cNvCnPr/>
                              <wps:spPr>
                                <a:xfrm>
                                  <a:off x="127635" y="1669415"/>
                                  <a:ext cx="845185" cy="0"/>
                                </a:xfrm>
                                <a:prstGeom prst="line">
                                  <a:avLst/>
                                </a:prstGeom>
                                <a:ln w="9525" cap="flat" cmpd="sng">
                                  <a:solidFill>
                                    <a:srgbClr val="000000"/>
                                  </a:solidFill>
                                  <a:prstDash val="solid"/>
                                  <a:headEnd type="none" w="med" len="med"/>
                                  <a:tailEnd type="triangle" w="med" len="med"/>
                                </a:ln>
                              </wps:spPr>
                              <wps:bodyPr upright="1"/>
                            </wps:wsp>
                            <wps:wsp>
                              <wps:cNvPr id="218" name="圆角矩形 85"/>
                              <wps:cNvSpPr/>
                              <wps:spPr>
                                <a:xfrm>
                                  <a:off x="967740" y="1515745"/>
                                  <a:ext cx="622935" cy="31432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sz w:val="15"/>
                                        <w:szCs w:val="15"/>
                                      </w:rPr>
                                    </w:pPr>
                                    <w:r>
                                      <w:rPr>
                                        <w:rFonts w:hint="eastAsia"/>
                                        <w:sz w:val="15"/>
                                        <w:szCs w:val="15"/>
                                        <w:lang w:eastAsia="zh-CN"/>
                                      </w:rPr>
                                      <w:t>生活</w:t>
                                    </w:r>
                                    <w:r>
                                      <w:rPr>
                                        <w:rFonts w:hint="eastAsia"/>
                                        <w:sz w:val="15"/>
                                        <w:szCs w:val="15"/>
                                      </w:rPr>
                                      <w:t>用水</w:t>
                                    </w:r>
                                  </w:p>
                                </w:txbxContent>
                              </wps:txbx>
                              <wps:bodyPr upright="1"/>
                            </wps:wsp>
                            <wps:wsp>
                              <wps:cNvPr id="219" name="直接连接符 72"/>
                              <wps:cNvCnPr/>
                              <wps:spPr>
                                <a:xfrm flipV="1">
                                  <a:off x="1599565" y="1664335"/>
                                  <a:ext cx="380365" cy="1905"/>
                                </a:xfrm>
                                <a:prstGeom prst="line">
                                  <a:avLst/>
                                </a:prstGeom>
                                <a:ln w="9525" cap="flat" cmpd="sng">
                                  <a:solidFill>
                                    <a:srgbClr val="000000"/>
                                  </a:solidFill>
                                  <a:prstDash val="solid"/>
                                  <a:headEnd type="none" w="med" len="med"/>
                                  <a:tailEnd type="triangle" w="med" len="med"/>
                                </a:ln>
                              </wps:spPr>
                              <wps:bodyPr upright="1"/>
                            </wps:wsp>
                            <wps:wsp>
                              <wps:cNvPr id="220" name="圆角矩形 85"/>
                              <wps:cNvSpPr/>
                              <wps:spPr>
                                <a:xfrm>
                                  <a:off x="1974215" y="1493520"/>
                                  <a:ext cx="563245" cy="31432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sz w:val="15"/>
                                        <w:szCs w:val="15"/>
                                      </w:rPr>
                                    </w:pPr>
                                    <w:r>
                                      <w:rPr>
                                        <w:rFonts w:hint="eastAsia"/>
                                        <w:sz w:val="15"/>
                                        <w:szCs w:val="15"/>
                                        <w:lang w:eastAsia="zh-CN"/>
                                      </w:rPr>
                                      <w:t>化粪池</w:t>
                                    </w:r>
                                  </w:p>
                                </w:txbxContent>
                              </wps:txbx>
                              <wps:bodyPr upright="1"/>
                            </wps:wsp>
                            <wps:wsp>
                              <wps:cNvPr id="222" name="圆角矩形 111"/>
                              <wps:cNvSpPr/>
                              <wps:spPr>
                                <a:xfrm>
                                  <a:off x="2778125" y="301625"/>
                                  <a:ext cx="537845" cy="309245"/>
                                </a:xfrm>
                                <a:prstGeom prst="roundRect">
                                  <a:avLst>
                                    <a:gd name="adj" fmla="val 16667"/>
                                  </a:avLst>
                                </a:prstGeom>
                                <a:noFill/>
                                <a:ln>
                                  <a:noFill/>
                                </a:ln>
                              </wps:spPr>
                              <wps:txbx>
                                <w:txbxContent>
                                  <w:p>
                                    <w:pPr>
                                      <w:jc w:val="center"/>
                                      <w:rPr>
                                        <w:rFonts w:hint="default" w:eastAsia="宋体"/>
                                        <w:sz w:val="15"/>
                                        <w:szCs w:val="15"/>
                                        <w:lang w:val="en-US" w:eastAsia="zh-CN"/>
                                      </w:rPr>
                                    </w:pPr>
                                    <w:r>
                                      <w:rPr>
                                        <w:rFonts w:hint="eastAsia"/>
                                        <w:sz w:val="15"/>
                                        <w:szCs w:val="15"/>
                                        <w:lang w:val="en-US" w:eastAsia="zh-CN"/>
                                      </w:rPr>
                                      <w:t>1140</w:t>
                                    </w:r>
                                  </w:p>
                                </w:txbxContent>
                              </wps:txbx>
                              <wps:bodyPr upright="1"/>
                            </wps:wsp>
                            <wps:wsp>
                              <wps:cNvPr id="223" name="圆角矩形 111"/>
                              <wps:cNvSpPr/>
                              <wps:spPr>
                                <a:xfrm>
                                  <a:off x="3622040" y="324485"/>
                                  <a:ext cx="537845" cy="309245"/>
                                </a:xfrm>
                                <a:prstGeom prst="roundRect">
                                  <a:avLst>
                                    <a:gd name="adj" fmla="val 16667"/>
                                  </a:avLst>
                                </a:prstGeom>
                                <a:noFill/>
                                <a:ln>
                                  <a:noFill/>
                                </a:ln>
                              </wps:spPr>
                              <wps:txbx>
                                <w:txbxContent>
                                  <w:p>
                                    <w:pPr>
                                      <w:jc w:val="center"/>
                                      <w:rPr>
                                        <w:rFonts w:hint="default" w:eastAsia="宋体"/>
                                        <w:sz w:val="15"/>
                                        <w:szCs w:val="15"/>
                                        <w:lang w:val="en-US" w:eastAsia="zh-CN"/>
                                      </w:rPr>
                                    </w:pPr>
                                    <w:r>
                                      <w:rPr>
                                        <w:rFonts w:hint="eastAsia"/>
                                        <w:sz w:val="15"/>
                                        <w:szCs w:val="15"/>
                                        <w:lang w:val="en-US" w:eastAsia="zh-CN"/>
                                      </w:rPr>
                                      <w:t>1140</w:t>
                                    </w:r>
                                  </w:p>
                                </w:txbxContent>
                              </wps:txbx>
                              <wps:bodyPr upright="1"/>
                            </wps:wsp>
                            <wps:wsp>
                              <wps:cNvPr id="224" name="直接连接符 72"/>
                              <wps:cNvCnPr/>
                              <wps:spPr>
                                <a:xfrm>
                                  <a:off x="519430" y="3004820"/>
                                  <a:ext cx="455295" cy="1905"/>
                                </a:xfrm>
                                <a:prstGeom prst="line">
                                  <a:avLst/>
                                </a:prstGeom>
                                <a:ln w="9525" cap="flat" cmpd="sng">
                                  <a:solidFill>
                                    <a:srgbClr val="000000"/>
                                  </a:solidFill>
                                  <a:prstDash val="solid"/>
                                  <a:headEnd type="none" w="med" len="med"/>
                                  <a:tailEnd type="triangle" w="med" len="med"/>
                                </a:ln>
                              </wps:spPr>
                              <wps:bodyPr upright="1"/>
                            </wps:wsp>
                            <wps:wsp>
                              <wps:cNvPr id="225" name="圆角矩形 85"/>
                              <wps:cNvSpPr/>
                              <wps:spPr>
                                <a:xfrm>
                                  <a:off x="960120" y="2855595"/>
                                  <a:ext cx="622935" cy="31432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sz w:val="15"/>
                                        <w:szCs w:val="15"/>
                                      </w:rPr>
                                    </w:pPr>
                                    <w:r>
                                      <w:rPr>
                                        <w:rFonts w:hint="eastAsia"/>
                                        <w:sz w:val="15"/>
                                        <w:szCs w:val="15"/>
                                        <w:lang w:eastAsia="zh-CN"/>
                                      </w:rPr>
                                      <w:t>绿化</w:t>
                                    </w:r>
                                    <w:r>
                                      <w:rPr>
                                        <w:rFonts w:hint="eastAsia"/>
                                        <w:sz w:val="15"/>
                                        <w:szCs w:val="15"/>
                                      </w:rPr>
                                      <w:t>用水</w:t>
                                    </w:r>
                                  </w:p>
                                </w:txbxContent>
                              </wps:txbx>
                              <wps:bodyPr upright="1"/>
                            </wps:wsp>
                            <wps:wsp>
                              <wps:cNvPr id="226" name="曲线连接符 86"/>
                              <wps:cNvCnPr/>
                              <wps:spPr>
                                <a:xfrm rot="-5400000">
                                  <a:off x="1532255" y="2743200"/>
                                  <a:ext cx="119380" cy="99060"/>
                                </a:xfrm>
                                <a:prstGeom prst="curvedConnector3">
                                  <a:avLst>
                                    <a:gd name="adj1" fmla="val 50000"/>
                                  </a:avLst>
                                </a:prstGeom>
                                <a:ln w="9525" cap="flat" cmpd="sng">
                                  <a:solidFill>
                                    <a:srgbClr val="000000"/>
                                  </a:solidFill>
                                  <a:prstDash val="solid"/>
                                  <a:headEnd type="none" w="med" len="med"/>
                                  <a:tailEnd type="triangle" w="med" len="med"/>
                                </a:ln>
                              </wps:spPr>
                              <wps:bodyPr/>
                            </wps:wsp>
                            <wps:wsp>
                              <wps:cNvPr id="227" name="圆角矩形 88"/>
                              <wps:cNvSpPr/>
                              <wps:spPr>
                                <a:xfrm>
                                  <a:off x="1478915" y="2512695"/>
                                  <a:ext cx="1405255" cy="264160"/>
                                </a:xfrm>
                                <a:prstGeom prst="roundRect">
                                  <a:avLst>
                                    <a:gd name="adj" fmla="val 16667"/>
                                  </a:avLst>
                                </a:prstGeom>
                                <a:noFill/>
                                <a:ln>
                                  <a:noFill/>
                                </a:ln>
                              </wps:spPr>
                              <wps:txbx>
                                <w:txbxContent>
                                  <w:p>
                                    <w:pPr>
                                      <w:jc w:val="center"/>
                                      <w:rPr>
                                        <w:rFonts w:hint="default" w:eastAsia="宋体"/>
                                        <w:sz w:val="15"/>
                                        <w:szCs w:val="15"/>
                                        <w:lang w:val="en-US" w:eastAsia="zh-CN"/>
                                      </w:rPr>
                                    </w:pPr>
                                    <w:r>
                                      <w:rPr>
                                        <w:rFonts w:hint="eastAsia"/>
                                        <w:sz w:val="15"/>
                                        <w:szCs w:val="15"/>
                                        <w:lang w:val="en-US" w:eastAsia="zh-CN"/>
                                      </w:rPr>
                                      <w:t>进入土壤损耗或蒸发650</w:t>
                                    </w:r>
                                  </w:p>
                                </w:txbxContent>
                              </wps:txbx>
                              <wps:bodyPr upright="1"/>
                            </wps:wsp>
                            <wps:wsp>
                              <wps:cNvPr id="228" name="圆角矩形 87"/>
                              <wps:cNvSpPr/>
                              <wps:spPr>
                                <a:xfrm>
                                  <a:off x="387985" y="1412875"/>
                                  <a:ext cx="654050" cy="285750"/>
                                </a:xfrm>
                                <a:prstGeom prst="roundRect">
                                  <a:avLst>
                                    <a:gd name="adj" fmla="val 16667"/>
                                  </a:avLst>
                                </a:prstGeom>
                                <a:noFill/>
                                <a:ln>
                                  <a:noFill/>
                                </a:ln>
                              </wps:spPr>
                              <wps:txbx>
                                <w:txbxContent>
                                  <w:p>
                                    <w:pPr>
                                      <w:jc w:val="center"/>
                                      <w:rPr>
                                        <w:rFonts w:hint="default" w:eastAsia="宋体"/>
                                        <w:sz w:val="15"/>
                                        <w:szCs w:val="15"/>
                                        <w:lang w:val="en-US" w:eastAsia="zh-CN"/>
                                      </w:rPr>
                                    </w:pPr>
                                    <w:r>
                                      <w:rPr>
                                        <w:rFonts w:hint="eastAsia"/>
                                        <w:sz w:val="15"/>
                                        <w:szCs w:val="15"/>
                                        <w:lang w:val="en-US" w:eastAsia="zh-CN"/>
                                      </w:rPr>
                                      <w:t>7080</w:t>
                                    </w:r>
                                  </w:p>
                                </w:txbxContent>
                              </wps:txbx>
                              <wps:bodyPr upright="1"/>
                            </wps:wsp>
                            <wps:wsp>
                              <wps:cNvPr id="229" name="圆角矩形 87"/>
                              <wps:cNvSpPr/>
                              <wps:spPr>
                                <a:xfrm>
                                  <a:off x="410845" y="2704465"/>
                                  <a:ext cx="654050" cy="285750"/>
                                </a:xfrm>
                                <a:prstGeom prst="roundRect">
                                  <a:avLst>
                                    <a:gd name="adj" fmla="val 16667"/>
                                  </a:avLst>
                                </a:prstGeom>
                                <a:noFill/>
                                <a:ln>
                                  <a:noFill/>
                                </a:ln>
                              </wps:spPr>
                              <wps:txbx>
                                <w:txbxContent>
                                  <w:p>
                                    <w:pPr>
                                      <w:jc w:val="center"/>
                                      <w:rPr>
                                        <w:rFonts w:hint="default" w:eastAsia="宋体"/>
                                        <w:sz w:val="15"/>
                                        <w:szCs w:val="15"/>
                                        <w:lang w:val="en-US" w:eastAsia="zh-CN"/>
                                      </w:rPr>
                                    </w:pPr>
                                    <w:r>
                                      <w:rPr>
                                        <w:rFonts w:hint="eastAsia"/>
                                        <w:sz w:val="15"/>
                                        <w:szCs w:val="15"/>
                                        <w:lang w:val="en-US" w:eastAsia="zh-CN"/>
                                      </w:rPr>
                                      <w:t>650</w:t>
                                    </w:r>
                                  </w:p>
                                </w:txbxContent>
                              </wps:txbx>
                              <wps:bodyPr upright="1"/>
                            </wps:wsp>
                            <wps:wsp>
                              <wps:cNvPr id="230" name="曲线连接符 86"/>
                              <wps:cNvCnPr/>
                              <wps:spPr>
                                <a:xfrm rot="-5400000">
                                  <a:off x="1477010" y="1409700"/>
                                  <a:ext cx="119380" cy="99060"/>
                                </a:xfrm>
                                <a:prstGeom prst="curvedConnector3">
                                  <a:avLst>
                                    <a:gd name="adj1" fmla="val 50000"/>
                                  </a:avLst>
                                </a:prstGeom>
                                <a:ln w="9525" cap="flat" cmpd="sng">
                                  <a:solidFill>
                                    <a:srgbClr val="000000"/>
                                  </a:solidFill>
                                  <a:prstDash val="solid"/>
                                  <a:headEnd type="none" w="med" len="med"/>
                                  <a:tailEnd type="triangle" w="med" len="med"/>
                                </a:ln>
                              </wps:spPr>
                              <wps:bodyPr/>
                            </wps:wsp>
                            <wps:wsp>
                              <wps:cNvPr id="231" name="圆角矩形 88"/>
                              <wps:cNvSpPr/>
                              <wps:spPr>
                                <a:xfrm>
                                  <a:off x="1313180" y="1137920"/>
                                  <a:ext cx="716280" cy="264160"/>
                                </a:xfrm>
                                <a:prstGeom prst="roundRect">
                                  <a:avLst>
                                    <a:gd name="adj" fmla="val 16667"/>
                                  </a:avLst>
                                </a:prstGeom>
                                <a:noFill/>
                                <a:ln>
                                  <a:noFill/>
                                </a:ln>
                              </wps:spPr>
                              <wps:txbx>
                                <w:txbxContent>
                                  <w:p>
                                    <w:pPr>
                                      <w:jc w:val="center"/>
                                      <w:rPr>
                                        <w:rFonts w:hint="default" w:eastAsia="宋体"/>
                                        <w:sz w:val="15"/>
                                        <w:szCs w:val="15"/>
                                        <w:lang w:val="en-US" w:eastAsia="zh-CN"/>
                                      </w:rPr>
                                    </w:pPr>
                                    <w:r>
                                      <w:rPr>
                                        <w:rFonts w:hint="eastAsia"/>
                                        <w:sz w:val="15"/>
                                        <w:szCs w:val="15"/>
                                        <w:lang w:val="en-US" w:eastAsia="zh-CN"/>
                                      </w:rPr>
                                      <w:t>1416</w:t>
                                    </w:r>
                                  </w:p>
                                </w:txbxContent>
                              </wps:txbx>
                              <wps:bodyPr upright="1"/>
                            </wps:wsp>
                            <wps:wsp>
                              <wps:cNvPr id="232" name="圆角矩形 87"/>
                              <wps:cNvSpPr/>
                              <wps:spPr>
                                <a:xfrm>
                                  <a:off x="1435735" y="1390015"/>
                                  <a:ext cx="654050" cy="285750"/>
                                </a:xfrm>
                                <a:prstGeom prst="roundRect">
                                  <a:avLst>
                                    <a:gd name="adj" fmla="val 16667"/>
                                  </a:avLst>
                                </a:prstGeom>
                                <a:noFill/>
                                <a:ln>
                                  <a:noFill/>
                                </a:ln>
                              </wps:spPr>
                              <wps:txbx>
                                <w:txbxContent>
                                  <w:p>
                                    <w:pPr>
                                      <w:jc w:val="center"/>
                                      <w:rPr>
                                        <w:rFonts w:hint="default" w:eastAsia="宋体"/>
                                        <w:sz w:val="15"/>
                                        <w:szCs w:val="15"/>
                                        <w:lang w:val="en-US" w:eastAsia="zh-CN"/>
                                      </w:rPr>
                                    </w:pPr>
                                    <w:r>
                                      <w:rPr>
                                        <w:rFonts w:hint="eastAsia"/>
                                        <w:sz w:val="15"/>
                                        <w:szCs w:val="15"/>
                                        <w:lang w:val="en-US" w:eastAsia="zh-CN"/>
                                      </w:rPr>
                                      <w:t>5664</w:t>
                                    </w:r>
                                  </w:p>
                                </w:txbxContent>
                              </wps:txbx>
                              <wps:bodyPr upright="1"/>
                            </wps:wsp>
                            <wps:wsp>
                              <wps:cNvPr id="233" name="圆角矩形 87"/>
                              <wps:cNvSpPr/>
                              <wps:spPr>
                                <a:xfrm>
                                  <a:off x="2797810" y="1424940"/>
                                  <a:ext cx="654050" cy="285750"/>
                                </a:xfrm>
                                <a:prstGeom prst="roundRect">
                                  <a:avLst>
                                    <a:gd name="adj" fmla="val 16667"/>
                                  </a:avLst>
                                </a:prstGeom>
                                <a:noFill/>
                                <a:ln>
                                  <a:noFill/>
                                </a:ln>
                              </wps:spPr>
                              <wps:txbx>
                                <w:txbxContent>
                                  <w:p>
                                    <w:pPr>
                                      <w:jc w:val="center"/>
                                      <w:rPr>
                                        <w:rFonts w:hint="default" w:eastAsia="宋体"/>
                                        <w:sz w:val="15"/>
                                        <w:szCs w:val="15"/>
                                        <w:lang w:val="en-US" w:eastAsia="zh-CN"/>
                                      </w:rPr>
                                    </w:pPr>
                                    <w:r>
                                      <w:rPr>
                                        <w:rFonts w:hint="eastAsia"/>
                                        <w:sz w:val="15"/>
                                        <w:szCs w:val="15"/>
                                        <w:lang w:val="en-US" w:eastAsia="zh-CN"/>
                                      </w:rPr>
                                      <w:t>5760</w:t>
                                    </w:r>
                                  </w:p>
                                </w:txbxContent>
                              </wps:txbx>
                              <wps:bodyPr upright="1"/>
                            </wps:wsp>
                            <wps:wsp>
                              <wps:cNvPr id="234" name="直接箭头连接符 91"/>
                              <wps:cNvCnPr/>
                              <wps:spPr>
                                <a:xfrm>
                                  <a:off x="524510" y="589280"/>
                                  <a:ext cx="4445" cy="3148330"/>
                                </a:xfrm>
                                <a:prstGeom prst="straightConnector1">
                                  <a:avLst/>
                                </a:prstGeom>
                                <a:ln w="9525" cap="flat" cmpd="sng">
                                  <a:solidFill>
                                    <a:srgbClr val="000000"/>
                                  </a:solidFill>
                                  <a:prstDash val="solid"/>
                                  <a:headEnd type="none" w="med" len="med"/>
                                  <a:tailEnd type="none" w="med" len="med"/>
                                </a:ln>
                              </wps:spPr>
                              <wps:bodyPr/>
                            </wps:wsp>
                            <wps:wsp>
                              <wps:cNvPr id="236" name="直接箭头连接符 91"/>
                              <wps:cNvCnPr/>
                              <wps:spPr>
                                <a:xfrm flipH="1">
                                  <a:off x="4034155" y="583565"/>
                                  <a:ext cx="1905" cy="1073785"/>
                                </a:xfrm>
                                <a:prstGeom prst="straightConnector1">
                                  <a:avLst/>
                                </a:prstGeom>
                                <a:ln w="9525" cap="flat" cmpd="sng">
                                  <a:solidFill>
                                    <a:srgbClr val="000000"/>
                                  </a:solidFill>
                                  <a:prstDash val="solid"/>
                                  <a:headEnd type="none" w="med" len="med"/>
                                  <a:tailEnd type="none" w="med" len="med"/>
                                </a:ln>
                              </wps:spPr>
                              <wps:bodyPr/>
                            </wps:wsp>
                            <wps:wsp>
                              <wps:cNvPr id="237" name="直接箭头连接符 93"/>
                              <wps:cNvCnPr>
                                <a:endCxn id="215" idx="3"/>
                              </wps:cNvCnPr>
                              <wps:spPr>
                                <a:xfrm flipH="1" flipV="1">
                                  <a:off x="3754755" y="589280"/>
                                  <a:ext cx="278130" cy="2540"/>
                                </a:xfrm>
                                <a:prstGeom prst="straightConnector1">
                                  <a:avLst/>
                                </a:prstGeom>
                                <a:ln w="9525" cap="flat" cmpd="sng">
                                  <a:solidFill>
                                    <a:srgbClr val="000000"/>
                                  </a:solidFill>
                                  <a:prstDash val="solid"/>
                                  <a:headEnd type="none" w="med" len="med"/>
                                  <a:tailEnd type="none" w="med" len="med"/>
                                </a:ln>
                              </wps:spPr>
                              <wps:bodyPr/>
                            </wps:wsp>
                            <wps:wsp>
                              <wps:cNvPr id="238" name="直接箭头连接符 93"/>
                              <wps:cNvCnPr>
                                <a:endCxn id="220" idx="3"/>
                              </wps:cNvCnPr>
                              <wps:spPr>
                                <a:xfrm flipH="1">
                                  <a:off x="2537460" y="1649730"/>
                                  <a:ext cx="1499235" cy="1270"/>
                                </a:xfrm>
                                <a:prstGeom prst="straightConnector1">
                                  <a:avLst/>
                                </a:prstGeom>
                                <a:ln w="9525" cap="flat" cmpd="sng">
                                  <a:solidFill>
                                    <a:srgbClr val="000000"/>
                                  </a:solidFill>
                                  <a:prstDash val="solid"/>
                                  <a:headEnd type="none" w="med" len="med"/>
                                  <a:tailEnd type="none" w="med" len="med"/>
                                </a:ln>
                              </wps:spPr>
                              <wps:bodyPr/>
                            </wps:wsp>
                            <wps:wsp>
                              <wps:cNvPr id="239" name="直接连接符 183"/>
                              <wps:cNvCnPr/>
                              <wps:spPr>
                                <a:xfrm flipV="1">
                                  <a:off x="4031615" y="1198245"/>
                                  <a:ext cx="298450" cy="3810"/>
                                </a:xfrm>
                                <a:prstGeom prst="line">
                                  <a:avLst/>
                                </a:prstGeom>
                                <a:ln w="9525" cap="flat" cmpd="sng">
                                  <a:solidFill>
                                    <a:srgbClr val="000000"/>
                                  </a:solidFill>
                                  <a:prstDash val="solid"/>
                                  <a:headEnd type="none" w="med" len="med"/>
                                  <a:tailEnd type="triangle" w="med" len="med"/>
                                </a:ln>
                              </wps:spPr>
                              <wps:bodyPr upright="1"/>
                            </wps:wsp>
                            <wps:wsp>
                              <wps:cNvPr id="55" name="圆角矩形 55"/>
                              <wps:cNvSpPr/>
                              <wps:spPr>
                                <a:xfrm>
                                  <a:off x="391160" y="2063750"/>
                                  <a:ext cx="654050" cy="285750"/>
                                </a:xfrm>
                                <a:prstGeom prst="roundRect">
                                  <a:avLst>
                                    <a:gd name="adj" fmla="val 16667"/>
                                  </a:avLst>
                                </a:prstGeom>
                                <a:noFill/>
                                <a:ln>
                                  <a:noFill/>
                                </a:ln>
                              </wps:spPr>
                              <wps:txbx>
                                <w:txbxContent>
                                  <w:p>
                                    <w:pPr>
                                      <w:jc w:val="center"/>
                                      <w:rPr>
                                        <w:rFonts w:hint="default" w:eastAsia="宋体"/>
                                        <w:sz w:val="15"/>
                                        <w:szCs w:val="15"/>
                                        <w:lang w:val="en-US" w:eastAsia="zh-CN"/>
                                      </w:rPr>
                                    </w:pPr>
                                    <w:r>
                                      <w:rPr>
                                        <w:rFonts w:hint="eastAsia"/>
                                        <w:sz w:val="15"/>
                                        <w:szCs w:val="15"/>
                                        <w:lang w:val="en-US" w:eastAsia="zh-CN"/>
                                      </w:rPr>
                                      <w:t>120</w:t>
                                    </w:r>
                                  </w:p>
                                </w:txbxContent>
                              </wps:txbx>
                              <wps:bodyPr upright="1"/>
                            </wps:wsp>
                            <wps:wsp>
                              <wps:cNvPr id="56" name="直接连接符 56"/>
                              <wps:cNvCnPr>
                                <a:endCxn id="57" idx="1"/>
                              </wps:cNvCnPr>
                              <wps:spPr>
                                <a:xfrm>
                                  <a:off x="542290" y="2359025"/>
                                  <a:ext cx="422910" cy="5080"/>
                                </a:xfrm>
                                <a:prstGeom prst="line">
                                  <a:avLst/>
                                </a:prstGeom>
                                <a:ln w="9525" cap="flat" cmpd="sng">
                                  <a:solidFill>
                                    <a:srgbClr val="000000"/>
                                  </a:solidFill>
                                  <a:prstDash val="solid"/>
                                  <a:headEnd type="none" w="med" len="med"/>
                                  <a:tailEnd type="triangle" w="med" len="med"/>
                                </a:ln>
                              </wps:spPr>
                              <wps:bodyPr upright="1"/>
                            </wps:wsp>
                            <wps:wsp>
                              <wps:cNvPr id="57" name="圆角矩形 57"/>
                              <wps:cNvSpPr/>
                              <wps:spPr>
                                <a:xfrm>
                                  <a:off x="965200" y="2206625"/>
                                  <a:ext cx="676910" cy="31432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sz w:val="15"/>
                                        <w:szCs w:val="15"/>
                                      </w:rPr>
                                    </w:pPr>
                                    <w:r>
                                      <w:rPr>
                                        <w:rFonts w:hint="eastAsia"/>
                                        <w:sz w:val="15"/>
                                        <w:szCs w:val="15"/>
                                        <w:lang w:eastAsia="zh-CN"/>
                                      </w:rPr>
                                      <w:t>食堂</w:t>
                                    </w:r>
                                    <w:r>
                                      <w:rPr>
                                        <w:rFonts w:hint="eastAsia"/>
                                        <w:sz w:val="15"/>
                                        <w:szCs w:val="15"/>
                                      </w:rPr>
                                      <w:t>用水</w:t>
                                    </w:r>
                                  </w:p>
                                </w:txbxContent>
                              </wps:txbx>
                              <wps:bodyPr upright="1"/>
                            </wps:wsp>
                            <wps:wsp>
                              <wps:cNvPr id="58" name="圆角矩形 58"/>
                              <wps:cNvSpPr/>
                              <wps:spPr>
                                <a:xfrm>
                                  <a:off x="1363980" y="1866900"/>
                                  <a:ext cx="716280" cy="264160"/>
                                </a:xfrm>
                                <a:prstGeom prst="roundRect">
                                  <a:avLst>
                                    <a:gd name="adj" fmla="val 16667"/>
                                  </a:avLst>
                                </a:prstGeom>
                                <a:noFill/>
                                <a:ln>
                                  <a:noFill/>
                                </a:ln>
                              </wps:spPr>
                              <wps:txbx>
                                <w:txbxContent>
                                  <w:p>
                                    <w:pPr>
                                      <w:jc w:val="center"/>
                                      <w:rPr>
                                        <w:rFonts w:hint="default" w:eastAsia="宋体"/>
                                        <w:sz w:val="15"/>
                                        <w:szCs w:val="15"/>
                                        <w:lang w:val="en-US" w:eastAsia="zh-CN"/>
                                      </w:rPr>
                                    </w:pPr>
                                    <w:r>
                                      <w:rPr>
                                        <w:rFonts w:hint="eastAsia"/>
                                        <w:sz w:val="15"/>
                                        <w:szCs w:val="15"/>
                                        <w:lang w:val="en-US" w:eastAsia="zh-CN"/>
                                      </w:rPr>
                                      <w:t>24</w:t>
                                    </w:r>
                                  </w:p>
                                </w:txbxContent>
                              </wps:txbx>
                              <wps:bodyPr upright="1"/>
                            </wps:wsp>
                            <wps:wsp>
                              <wps:cNvPr id="59" name="圆角矩形 59"/>
                              <wps:cNvSpPr/>
                              <wps:spPr>
                                <a:xfrm>
                                  <a:off x="2001520" y="2193290"/>
                                  <a:ext cx="544195" cy="31432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sz w:val="15"/>
                                        <w:szCs w:val="15"/>
                                      </w:rPr>
                                    </w:pPr>
                                    <w:r>
                                      <w:rPr>
                                        <w:rFonts w:hint="eastAsia"/>
                                        <w:sz w:val="15"/>
                                        <w:szCs w:val="15"/>
                                        <w:lang w:eastAsia="zh-CN"/>
                                      </w:rPr>
                                      <w:t>隔油池</w:t>
                                    </w:r>
                                  </w:p>
                                </w:txbxContent>
                              </wps:txbx>
                              <wps:bodyPr upright="1"/>
                            </wps:wsp>
                            <wps:wsp>
                              <wps:cNvPr id="60" name="圆角矩形 60"/>
                              <wps:cNvSpPr/>
                              <wps:spPr>
                                <a:xfrm>
                                  <a:off x="1607820" y="2098040"/>
                                  <a:ext cx="410845" cy="264160"/>
                                </a:xfrm>
                                <a:prstGeom prst="roundRect">
                                  <a:avLst>
                                    <a:gd name="adj" fmla="val 16667"/>
                                  </a:avLst>
                                </a:prstGeom>
                                <a:noFill/>
                                <a:ln>
                                  <a:noFill/>
                                </a:ln>
                              </wps:spPr>
                              <wps:txbx>
                                <w:txbxContent>
                                  <w:p>
                                    <w:pPr>
                                      <w:jc w:val="center"/>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96</w:t>
                                    </w:r>
                                  </w:p>
                                </w:txbxContent>
                              </wps:txbx>
                              <wps:bodyPr upright="1"/>
                            </wps:wsp>
                            <wps:wsp>
                              <wps:cNvPr id="61" name="直接连接符 61"/>
                              <wps:cNvCnPr>
                                <a:stCxn id="59" idx="0"/>
                              </wps:cNvCnPr>
                              <wps:spPr>
                                <a:xfrm flipH="1" flipV="1">
                                  <a:off x="2269490" y="1800225"/>
                                  <a:ext cx="4445" cy="393065"/>
                                </a:xfrm>
                                <a:prstGeom prst="line">
                                  <a:avLst/>
                                </a:prstGeom>
                                <a:ln w="9525" cap="flat" cmpd="sng">
                                  <a:solidFill>
                                    <a:srgbClr val="000000"/>
                                  </a:solidFill>
                                  <a:prstDash val="solid"/>
                                  <a:headEnd type="none" w="med" len="med"/>
                                  <a:tailEnd type="triangle" w="med" len="med"/>
                                </a:ln>
                              </wps:spPr>
                              <wps:bodyPr upright="1"/>
                            </wps:wsp>
                            <wps:wsp>
                              <wps:cNvPr id="62" name="曲线连接符 86"/>
                              <wps:cNvCnPr/>
                              <wps:spPr>
                                <a:xfrm rot="-5400000">
                                  <a:off x="1561465" y="2101215"/>
                                  <a:ext cx="119380" cy="99060"/>
                                </a:xfrm>
                                <a:prstGeom prst="curvedConnector3">
                                  <a:avLst>
                                    <a:gd name="adj1" fmla="val 50000"/>
                                  </a:avLst>
                                </a:prstGeom>
                                <a:ln w="9525" cap="flat" cmpd="sng">
                                  <a:solidFill>
                                    <a:srgbClr val="000000"/>
                                  </a:solidFill>
                                  <a:prstDash val="solid"/>
                                  <a:headEnd type="none" w="med" len="med"/>
                                  <a:tailEnd type="triangle" w="med" len="med"/>
                                </a:ln>
                              </wps:spPr>
                              <wps:bodyPr/>
                            </wps:wsp>
                            <wps:wsp>
                              <wps:cNvPr id="63" name="直接连接符 63"/>
                              <wps:cNvCnPr/>
                              <wps:spPr>
                                <a:xfrm>
                                  <a:off x="1631315" y="2364105"/>
                                  <a:ext cx="354330" cy="3810"/>
                                </a:xfrm>
                                <a:prstGeom prst="line">
                                  <a:avLst/>
                                </a:prstGeom>
                                <a:ln w="9525" cap="flat" cmpd="sng">
                                  <a:solidFill>
                                    <a:srgbClr val="000000"/>
                                  </a:solidFill>
                                  <a:prstDash val="solid"/>
                                  <a:headEnd type="none" w="med" len="med"/>
                                  <a:tailEnd type="triangle" w="med" len="med"/>
                                </a:ln>
                              </wps:spPr>
                              <wps:bodyPr upright="1"/>
                            </wps:wsp>
                            <wps:wsp>
                              <wps:cNvPr id="64" name="圆角矩形 87"/>
                              <wps:cNvSpPr/>
                              <wps:spPr>
                                <a:xfrm>
                                  <a:off x="3854450" y="913765"/>
                                  <a:ext cx="654050" cy="285750"/>
                                </a:xfrm>
                                <a:prstGeom prst="roundRect">
                                  <a:avLst>
                                    <a:gd name="adj" fmla="val 16667"/>
                                  </a:avLst>
                                </a:prstGeom>
                                <a:noFill/>
                                <a:ln>
                                  <a:noFill/>
                                </a:ln>
                              </wps:spPr>
                              <wps:txbx>
                                <w:txbxContent>
                                  <w:p>
                                    <w:pPr>
                                      <w:jc w:val="center"/>
                                      <w:rPr>
                                        <w:rFonts w:hint="default" w:eastAsia="宋体"/>
                                        <w:sz w:val="15"/>
                                        <w:szCs w:val="15"/>
                                        <w:lang w:val="en-US" w:eastAsia="zh-CN"/>
                                      </w:rPr>
                                    </w:pPr>
                                    <w:r>
                                      <w:rPr>
                                        <w:rFonts w:hint="eastAsia"/>
                                        <w:sz w:val="15"/>
                                        <w:szCs w:val="15"/>
                                        <w:lang w:val="en-US" w:eastAsia="zh-CN"/>
                                      </w:rPr>
                                      <w:t>6900</w:t>
                                    </w:r>
                                  </w:p>
                                </w:txbxContent>
                              </wps:txbx>
                              <wps:bodyPr upright="1"/>
                            </wps:wsp>
                            <wps:wsp>
                              <wps:cNvPr id="100" name="曲线连接符 86"/>
                              <wps:cNvCnPr/>
                              <wps:spPr>
                                <a:xfrm rot="-5400000">
                                  <a:off x="2635250" y="304800"/>
                                  <a:ext cx="119380" cy="99060"/>
                                </a:xfrm>
                                <a:prstGeom prst="curvedConnector3">
                                  <a:avLst>
                                    <a:gd name="adj1" fmla="val 50000"/>
                                  </a:avLst>
                                </a:prstGeom>
                                <a:ln w="9525" cap="flat" cmpd="sng">
                                  <a:solidFill>
                                    <a:srgbClr val="000000"/>
                                  </a:solidFill>
                                  <a:prstDash val="solid"/>
                                  <a:headEnd type="none" w="med" len="med"/>
                                  <a:tailEnd type="triangle" w="med" len="med"/>
                                </a:ln>
                              </wps:spPr>
                              <wps:bodyPr/>
                            </wps:wsp>
                            <wps:wsp>
                              <wps:cNvPr id="101" name="圆角矩形 88"/>
                              <wps:cNvSpPr/>
                              <wps:spPr>
                                <a:xfrm>
                                  <a:off x="2471420" y="33020"/>
                                  <a:ext cx="716280" cy="264160"/>
                                </a:xfrm>
                                <a:prstGeom prst="roundRect">
                                  <a:avLst>
                                    <a:gd name="adj" fmla="val 16667"/>
                                  </a:avLst>
                                </a:prstGeom>
                                <a:noFill/>
                                <a:ln>
                                  <a:noFill/>
                                </a:ln>
                              </wps:spPr>
                              <wps:txbx>
                                <w:txbxContent>
                                  <w:p>
                                    <w:pPr>
                                      <w:jc w:val="center"/>
                                      <w:rPr>
                                        <w:rFonts w:hint="default" w:eastAsia="宋体"/>
                                        <w:sz w:val="15"/>
                                        <w:szCs w:val="15"/>
                                        <w:lang w:val="en-US" w:eastAsia="zh-CN"/>
                                      </w:rPr>
                                    </w:pPr>
                                    <w:r>
                                      <w:rPr>
                                        <w:rFonts w:hint="eastAsia"/>
                                        <w:sz w:val="15"/>
                                        <w:szCs w:val="15"/>
                                        <w:lang w:val="en-US" w:eastAsia="zh-CN"/>
                                      </w:rPr>
                                      <w:t>225</w:t>
                                    </w:r>
                                  </w:p>
                                </w:txbxContent>
                              </wps:txbx>
                              <wps:bodyPr upright="1"/>
                            </wps:wsp>
                            <wps:wsp>
                              <wps:cNvPr id="22" name="圆角矩形 22"/>
                              <wps:cNvSpPr/>
                              <wps:spPr>
                                <a:xfrm>
                                  <a:off x="389255" y="3471545"/>
                                  <a:ext cx="654050" cy="285750"/>
                                </a:xfrm>
                                <a:prstGeom prst="roundRect">
                                  <a:avLst>
                                    <a:gd name="adj" fmla="val 16667"/>
                                  </a:avLst>
                                </a:prstGeom>
                                <a:noFill/>
                                <a:ln>
                                  <a:noFill/>
                                </a:ln>
                              </wps:spPr>
                              <wps:txbx>
                                <w:txbxContent>
                                  <w:p>
                                    <w:pPr>
                                      <w:jc w:val="center"/>
                                      <w:rPr>
                                        <w:rFonts w:hint="default" w:eastAsia="宋体"/>
                                        <w:sz w:val="15"/>
                                        <w:szCs w:val="15"/>
                                        <w:lang w:val="en-US" w:eastAsia="zh-CN"/>
                                      </w:rPr>
                                    </w:pPr>
                                    <w:r>
                                      <w:rPr>
                                        <w:rFonts w:hint="eastAsia"/>
                                        <w:sz w:val="15"/>
                                        <w:szCs w:val="15"/>
                                        <w:lang w:val="en-US" w:eastAsia="zh-CN"/>
                                      </w:rPr>
                                      <w:t>4.74</w:t>
                                    </w:r>
                                  </w:p>
                                </w:txbxContent>
                              </wps:txbx>
                              <wps:bodyPr upright="1"/>
                            </wps:wsp>
                            <wps:wsp>
                              <wps:cNvPr id="23" name="直接连接符 23"/>
                              <wps:cNvCnPr/>
                              <wps:spPr>
                                <a:xfrm>
                                  <a:off x="533400" y="3723005"/>
                                  <a:ext cx="375920" cy="1270"/>
                                </a:xfrm>
                                <a:prstGeom prst="line">
                                  <a:avLst/>
                                </a:prstGeom>
                                <a:ln w="9525" cap="flat" cmpd="sng">
                                  <a:solidFill>
                                    <a:srgbClr val="000000"/>
                                  </a:solidFill>
                                  <a:prstDash val="solid"/>
                                  <a:headEnd type="none" w="med" len="med"/>
                                  <a:tailEnd type="triangle" w="med" len="med"/>
                                </a:ln>
                              </wps:spPr>
                              <wps:bodyPr upright="1"/>
                            </wps:wsp>
                            <wps:wsp>
                              <wps:cNvPr id="24" name="圆角矩形 24"/>
                              <wps:cNvSpPr/>
                              <wps:spPr>
                                <a:xfrm>
                                  <a:off x="918210" y="3553460"/>
                                  <a:ext cx="739775" cy="31432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eastAsia="宋体"/>
                                        <w:sz w:val="15"/>
                                        <w:szCs w:val="15"/>
                                        <w:lang w:eastAsia="zh-CN"/>
                                      </w:rPr>
                                    </w:pPr>
                                    <w:r>
                                      <w:rPr>
                                        <w:rFonts w:hint="eastAsia"/>
                                        <w:sz w:val="15"/>
                                        <w:szCs w:val="15"/>
                                        <w:lang w:eastAsia="zh-CN"/>
                                      </w:rPr>
                                      <w:t>切削液配水</w:t>
                                    </w:r>
                                  </w:p>
                                </w:txbxContent>
                              </wps:txbx>
                              <wps:bodyPr upright="1"/>
                            </wps:wsp>
                            <wps:wsp>
                              <wps:cNvPr id="25" name="圆角矩形 25"/>
                              <wps:cNvSpPr/>
                              <wps:spPr>
                                <a:xfrm>
                                  <a:off x="1200785" y="3199130"/>
                                  <a:ext cx="716280" cy="264160"/>
                                </a:xfrm>
                                <a:prstGeom prst="roundRect">
                                  <a:avLst>
                                    <a:gd name="adj" fmla="val 16667"/>
                                  </a:avLst>
                                </a:prstGeom>
                                <a:noFill/>
                                <a:ln>
                                  <a:noFill/>
                                </a:ln>
                              </wps:spPr>
                              <wps:txbx>
                                <w:txbxContent>
                                  <w:p>
                                    <w:pPr>
                                      <w:jc w:val="center"/>
                                      <w:rPr>
                                        <w:rFonts w:hint="default" w:eastAsia="宋体"/>
                                        <w:sz w:val="15"/>
                                        <w:szCs w:val="15"/>
                                        <w:lang w:val="en-US" w:eastAsia="zh-CN"/>
                                      </w:rPr>
                                    </w:pPr>
                                    <w:r>
                                      <w:rPr>
                                        <w:rFonts w:hint="eastAsia"/>
                                        <w:sz w:val="15"/>
                                        <w:szCs w:val="15"/>
                                        <w:lang w:val="en-US" w:eastAsia="zh-CN"/>
                                      </w:rPr>
                                      <w:t>0.948</w:t>
                                    </w:r>
                                  </w:p>
                                </w:txbxContent>
                              </wps:txbx>
                              <wps:bodyPr upright="1"/>
                            </wps:wsp>
                            <wps:wsp>
                              <wps:cNvPr id="26" name="曲线连接符 26"/>
                              <wps:cNvCnPr/>
                              <wps:spPr>
                                <a:xfrm rot="-5400000">
                                  <a:off x="1408430" y="3436620"/>
                                  <a:ext cx="119380" cy="99060"/>
                                </a:xfrm>
                                <a:prstGeom prst="curvedConnector3">
                                  <a:avLst>
                                    <a:gd name="adj1" fmla="val 50000"/>
                                  </a:avLst>
                                </a:prstGeom>
                                <a:ln w="9525" cap="flat" cmpd="sng">
                                  <a:solidFill>
                                    <a:srgbClr val="000000"/>
                                  </a:solidFill>
                                  <a:prstDash val="solid"/>
                                  <a:headEnd type="none" w="med" len="med"/>
                                  <a:tailEnd type="triangle" w="med" len="med"/>
                                </a:ln>
                              </wps:spPr>
                              <wps:bodyPr/>
                            </wps:wsp>
                            <wps:wsp>
                              <wps:cNvPr id="27" name="文本框 27"/>
                              <wps:cNvSpPr txBox="1"/>
                              <wps:spPr>
                                <a:xfrm>
                                  <a:off x="756920" y="3183890"/>
                                  <a:ext cx="787400" cy="270510"/>
                                </a:xfrm>
                                <a:prstGeom prst="rect">
                                  <a:avLst/>
                                </a:prstGeom>
                                <a:noFill/>
                                <a:ln>
                                  <a:noFill/>
                                </a:ln>
                              </wps:spPr>
                              <wps:txbx>
                                <w:txbxContent>
                                  <w:p>
                                    <w:pPr>
                                      <w:jc w:val="center"/>
                                      <w:rPr>
                                        <w:rFonts w:hint="default" w:eastAsia="宋体"/>
                                        <w:sz w:val="15"/>
                                        <w:szCs w:val="15"/>
                                        <w:lang w:val="en-US" w:eastAsia="zh-CN"/>
                                      </w:rPr>
                                    </w:pPr>
                                    <w:r>
                                      <w:rPr>
                                        <w:rFonts w:hint="eastAsia"/>
                                        <w:sz w:val="15"/>
                                        <w:szCs w:val="15"/>
                                        <w:lang w:eastAsia="zh-CN"/>
                                      </w:rPr>
                                      <w:t>切削液</w:t>
                                    </w:r>
                                    <w:r>
                                      <w:rPr>
                                        <w:rFonts w:hint="eastAsia"/>
                                        <w:sz w:val="15"/>
                                        <w:szCs w:val="15"/>
                                        <w:lang w:val="en-US" w:eastAsia="zh-CN"/>
                                      </w:rPr>
                                      <w:t>0.237</w:t>
                                    </w:r>
                                  </w:p>
                                </w:txbxContent>
                              </wps:txbx>
                              <wps:bodyPr wrap="square" lIns="0" tIns="36000" rIns="0" bIns="36000" upright="1">
                                <a:spAutoFit/>
                              </wps:bodyPr>
                            </wps:wsp>
                            <wps:wsp>
                              <wps:cNvPr id="28" name="文本框 28"/>
                              <wps:cNvSpPr txBox="1"/>
                              <wps:spPr>
                                <a:xfrm>
                                  <a:off x="2214245" y="3567430"/>
                                  <a:ext cx="1031875" cy="270510"/>
                                </a:xfrm>
                                <a:prstGeom prst="rect">
                                  <a:avLst/>
                                </a:prstGeom>
                                <a:noFill/>
                                <a:ln>
                                  <a:noFill/>
                                </a:ln>
                              </wps:spPr>
                              <wps:txbx>
                                <w:txbxContent>
                                  <w:p>
                                    <w:pPr>
                                      <w:jc w:val="center"/>
                                      <w:rPr>
                                        <w:rFonts w:hint="default" w:eastAsia="宋体"/>
                                        <w:sz w:val="15"/>
                                        <w:szCs w:val="15"/>
                                        <w:lang w:val="en-US" w:eastAsia="zh-CN"/>
                                      </w:rPr>
                                    </w:pPr>
                                    <w:r>
                                      <w:rPr>
                                        <w:rFonts w:hint="eastAsia"/>
                                        <w:sz w:val="15"/>
                                        <w:szCs w:val="15"/>
                                        <w:lang w:eastAsia="zh-CN"/>
                                      </w:rPr>
                                      <w:t>废切削液（作危废）</w:t>
                                    </w:r>
                                  </w:p>
                                </w:txbxContent>
                              </wps:txbx>
                              <wps:bodyPr wrap="square" lIns="0" tIns="36000" rIns="0" bIns="36000" upright="1">
                                <a:spAutoFit/>
                              </wps:bodyPr>
                            </wps:wsp>
                            <wps:wsp>
                              <wps:cNvPr id="29" name="圆角矩形 29"/>
                              <wps:cNvSpPr/>
                              <wps:spPr>
                                <a:xfrm>
                                  <a:off x="1593850" y="3479800"/>
                                  <a:ext cx="716280" cy="264160"/>
                                </a:xfrm>
                                <a:prstGeom prst="roundRect">
                                  <a:avLst>
                                    <a:gd name="adj" fmla="val 16667"/>
                                  </a:avLst>
                                </a:prstGeom>
                                <a:noFill/>
                                <a:ln>
                                  <a:noFill/>
                                </a:ln>
                              </wps:spPr>
                              <wps:txbx>
                                <w:txbxContent>
                                  <w:p>
                                    <w:pPr>
                                      <w:jc w:val="center"/>
                                      <w:rPr>
                                        <w:rFonts w:hint="default" w:eastAsia="宋体"/>
                                        <w:sz w:val="15"/>
                                        <w:szCs w:val="15"/>
                                        <w:lang w:val="en-US" w:eastAsia="zh-CN"/>
                                      </w:rPr>
                                    </w:pPr>
                                    <w:r>
                                      <w:rPr>
                                        <w:rFonts w:hint="eastAsia"/>
                                        <w:sz w:val="15"/>
                                        <w:szCs w:val="15"/>
                                        <w:lang w:val="en-US" w:eastAsia="zh-CN"/>
                                      </w:rPr>
                                      <w:t>4.029</w:t>
                                    </w:r>
                                  </w:p>
                                </w:txbxContent>
                              </wps:txbx>
                              <wps:bodyPr upright="1"/>
                            </wps:wsp>
                            <wps:wsp>
                              <wps:cNvPr id="30" name="直接连接符 30"/>
                              <wps:cNvCnPr/>
                              <wps:spPr>
                                <a:xfrm flipH="1">
                                  <a:off x="1130935" y="3371215"/>
                                  <a:ext cx="1905" cy="179070"/>
                                </a:xfrm>
                                <a:prstGeom prst="line">
                                  <a:avLst/>
                                </a:prstGeom>
                                <a:ln w="9525" cap="flat" cmpd="sng">
                                  <a:solidFill>
                                    <a:srgbClr val="000000"/>
                                  </a:solidFill>
                                  <a:prstDash val="solid"/>
                                  <a:headEnd type="none" w="med" len="med"/>
                                  <a:tailEnd type="triangle" w="med" len="med"/>
                                </a:ln>
                              </wps:spPr>
                              <wps:bodyPr upright="1"/>
                            </wps:wsp>
                            <wps:wsp>
                              <wps:cNvPr id="76" name="直接连接符 76"/>
                              <wps:cNvCnPr/>
                              <wps:spPr>
                                <a:xfrm flipV="1">
                                  <a:off x="1661160" y="3713480"/>
                                  <a:ext cx="598805" cy="635"/>
                                </a:xfrm>
                                <a:prstGeom prst="line">
                                  <a:avLst/>
                                </a:prstGeom>
                                <a:ln w="9525" cap="flat" cmpd="sng">
                                  <a:solidFill>
                                    <a:srgbClr val="000000"/>
                                  </a:solidFill>
                                  <a:prstDash val="solid"/>
                                  <a:headEnd type="none" w="med" len="med"/>
                                  <a:tailEnd type="triangle" w="med" len="med"/>
                                </a:ln>
                              </wps:spPr>
                              <wps:bodyPr upright="1"/>
                            </wps:wsp>
                          </wpc:wpc>
                        </a:graphicData>
                      </a:graphic>
                    </wp:inline>
                  </w:drawing>
                </mc:Choice>
                <mc:Fallback>
                  <w:pict>
                    <v:group id="_x0000_s1026" o:spid="_x0000_s1026" o:spt="203" style="height:312.05pt;width:385.05pt;" coordsize="4890135,3963035" editas="canvas" o:gfxdata="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">
                      <o:lock v:ext="edit" aspectratio="f"/>
                      <v:shape id="_x0000_s1026" o:spid="_x0000_s1026" style="position:absolute;left:0;top:0;height:3963035;width:4890135;" filled="f" stroked="f" coordsize="21600,21600" o:gfxdata="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">
                        <v:fill on="f" focussize="0,0"/>
                        <v:stroke on="f"/>
                        <v:imagedata o:title=""/>
                        <o:lock v:ext="edit" aspectratio="t"/>
                      </v:shape>
                      <v:roundrect id="圆角矩形 43" o:spid="_x0000_s1026" o:spt="2" style="position:absolute;left:0;top:1174115;height:519430;width:602615;" filled="f" stroked="f" coordsize="21600,21600" arcsize="0.166666666666667" o:gfxdata="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BYAAABkcnMvUEsBAhQAFAAAAAgAh07iQOmhBhjVAAAA&#10;BQEAAA8AAAAAAAAAAQAgAAAAOAAAAGRycy9kb3ducmV2LnhtbFBLAQIUABQAAAAIAIdO4kDc2YGF&#10;0QEAAIADAAAOAAAAAAAAAAEAIAAAADoBAABkcnMvZTJvRG9jLnhtbFBLBQYAAAAABgAGAFkBAAB9&#10;BQAAAAA=&#10;">
                        <v:fill on="f" focussize="0,0"/>
                        <v:stroke on="f"/>
                        <v:imagedata o:title=""/>
                        <o:lock v:ext="edit" aspectratio="f"/>
                        <v:textbox>
                          <w:txbxContent>
                            <w:p>
                              <w:pPr>
                                <w:jc w:val="center"/>
                                <w:rPr>
                                  <w:rFonts w:hint="eastAsia"/>
                                  <w:sz w:val="15"/>
                                  <w:szCs w:val="15"/>
                                </w:rPr>
                              </w:pPr>
                              <w:r>
                                <w:rPr>
                                  <w:rFonts w:hint="eastAsia"/>
                                  <w:sz w:val="15"/>
                                  <w:szCs w:val="15"/>
                                </w:rPr>
                                <w:t>自来水</w:t>
                              </w:r>
                            </w:p>
                            <w:p>
                              <w:pPr>
                                <w:jc w:val="center"/>
                                <w:rPr>
                                  <w:rFonts w:hint="default" w:eastAsia="宋体"/>
                                  <w:sz w:val="15"/>
                                  <w:szCs w:val="15"/>
                                  <w:lang w:val="en-US" w:eastAsia="zh-CN"/>
                                </w:rPr>
                              </w:pPr>
                              <w:r>
                                <w:rPr>
                                  <w:rFonts w:hint="eastAsia"/>
                                  <w:sz w:val="15"/>
                                  <w:szCs w:val="15"/>
                                  <w:lang w:val="en-US" w:eastAsia="zh-CN"/>
                                </w:rPr>
                                <w:t>56694.74</w:t>
                              </w:r>
                            </w:p>
                          </w:txbxContent>
                        </v:textbox>
                      </v:roundrect>
                      <v:roundrect id="圆角矩形 53" o:spid="_x0000_s1026" o:spt="2" style="position:absolute;left:4195445;top:878205;height:737235;width:694690;" fillcolor="#FFFFFF" filled="t" stroked="f" coordsize="21600,21600" arcsize="0.166666666666667" o:gfxdata="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U9Rzb9MAAAAFAQAADwAAAAAAAAABACAAAAA4AAAAZHJzL2Rv&#10;d25yZXYueG1sUEsBAhQAFAAAAAgAh07iQBYooXEpAgAAOgQAAA4AAAAAAAAAAQAgAAAAOAEAAGRy&#10;cy9lMm9Eb2MueG1sUEsFBgAAAAAGAAYAWQEAANMFAAAAAA==&#10;">
                        <v:fill on="t" focussize="0,0"/>
                        <v:stroke on="f"/>
                        <v:imagedata o:title=""/>
                        <o:lock v:ext="edit" aspectratio="f"/>
                        <v:textbox>
                          <w:txbxContent>
                            <w:p>
                              <w:pPr>
                                <w:jc w:val="center"/>
                                <w:rPr>
                                  <w:rFonts w:hint="eastAsia"/>
                                  <w:sz w:val="15"/>
                                  <w:szCs w:val="15"/>
                                </w:rPr>
                              </w:pPr>
                              <w:r>
                                <w:rPr>
                                  <w:rFonts w:hint="eastAsia" w:ascii="Times New Roman" w:hAnsi="Times New Roman" w:eastAsia="宋体" w:cs="Times New Roman"/>
                                  <w:b w:val="0"/>
                                  <w:bCs w:val="0"/>
                                  <w:color w:val="auto"/>
                                  <w:kern w:val="0"/>
                                  <w:sz w:val="15"/>
                                  <w:szCs w:val="15"/>
                                  <w:vertAlign w:val="baseline"/>
                                  <w:lang w:val="en-US" w:eastAsia="zh-CN" w:bidi="ar"/>
                                </w:rPr>
                                <w:t>如皋市富港水处理有限公司分厂</w:t>
                              </w:r>
                            </w:p>
                          </w:txbxContent>
                        </v:textbox>
                      </v:roundrect>
                      <v:line id="直接连接符 72" o:spid="_x0000_s1026" o:spt="20" style="position:absolute;left:520065;top:584200;flip:y;height:1270;width:360680;" filled="f" stroked="t" coordsize="21600,21600" o:gfxdata="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DY8wcbWAAAABQEAAA8AAAAAAAAAAQAgAAAAOAAAAGRycy9kb3ducmV2LnhtbFBLAQIUABQAAAAI&#10;AIdO4kBWylsLEgIAAAEEAAAOAAAAAAAAAAEAIAAAADsBAABkcnMvZTJvRG9jLnhtbFBLBQYAAAAA&#10;BgAGAFkBAAC/BQAAAAA=&#10;">
                        <v:fill on="f" focussize="0,0"/>
                        <v:stroke color="#000000" joinstyle="round" endarrow="block"/>
                        <v:imagedata o:title=""/>
                        <o:lock v:ext="edit" aspectratio="f"/>
                      </v:line>
                      <v:roundrect id="圆角矩形 85" o:spid="_x0000_s1026" o:spt="2" style="position:absolute;left:946785;top:424815;height:314325;width:622935;" fillcolor="#FFFFFF" filled="t" stroked="t" coordsize="21600,21600" arcsize="0.166666666666667" o:gfxdata="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CN5L9dMAAAAFAQAADwAAAAAAAAABACAAAAA4AAAA&#10;ZHJzL2Rvd25yZXYueG1sUEsBAhQAFAAAAAgAh07iQLOX/kovAgAAYgQAAA4AAAAAAAAAAQAgAAAA&#10;OAEAAGRycy9lMm9Eb2MueG1sUEsFBgAAAAAGAAYAWQEAANkFAAAAAA==&#10;">
                        <v:fill on="t" focussize="0,0"/>
                        <v:stroke color="#000000" joinstyle="round"/>
                        <v:imagedata o:title=""/>
                        <o:lock v:ext="edit" aspectratio="f"/>
                        <v:textbox>
                          <w:txbxContent>
                            <w:p>
                              <w:pPr>
                                <w:jc w:val="center"/>
                                <w:rPr>
                                  <w:rFonts w:hint="eastAsia"/>
                                  <w:sz w:val="15"/>
                                  <w:szCs w:val="15"/>
                                </w:rPr>
                              </w:pPr>
                              <w:r>
                                <w:rPr>
                                  <w:rFonts w:hint="eastAsia"/>
                                  <w:sz w:val="15"/>
                                  <w:szCs w:val="15"/>
                                </w:rPr>
                                <w:t>冷却用水</w:t>
                              </w:r>
                            </w:p>
                          </w:txbxContent>
                        </v:textbox>
                      </v:roundrect>
                      <v:shape id="曲线连接符 86" o:spid="_x0000_s1026" o:spt="38" type="#_x0000_t38" style="position:absolute;left:1537970;top:325120;height:99060;width:119380;rotation:-5898240f;" filled="f" stroked="t" coordsize="21600,21600" o:gfxdata="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WAAAAZHJzL1BLAQIUABQAAAAIAIdO4kALvODd1gAAAAUBAAAPAAAAAAAAAAEAIAAA&#10;ADgAAABkcnMvZG93bnJldi54bWxQSwECFAAUAAAACACHTuJApZvaCzECAAA1BAAADgAAAAAAAAAB&#10;ACAAAAA7AQAAZHJzL2Uyb0RvYy54bWxQSwUGAAAAAAYABgBZAQAA3gUAAAAA&#10;" adj="10800">
                        <v:fill on="f" focussize="0,0"/>
                        <v:stroke color="#000000" joinstyle="round" endarrow="block"/>
                        <v:imagedata o:title=""/>
                        <o:lock v:ext="edit" aspectratio="f"/>
                      </v:shape>
                      <v:roundrect id="圆角矩形 87" o:spid="_x0000_s1026" o:spt="2" style="position:absolute;left:356235;top:323850;height:285750;width:654050;" filled="f" stroked="f" coordsize="21600,21600" arcsize="0.166666666666667" o:gfxdata="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FgAAAGRycy9QSwECFAAUAAAACACHTuJA6aEGGNUAAAAF&#10;AQAADwAAAAAAAAABACAAAAA4AAAAZHJzL2Rvd25yZXYueG1sUEsBAhQAFAAAAAgAh07iQGLA7ADQ&#10;AQAAhAMAAA4AAAAAAAAAAQAgAAAAOgEAAGRycy9lMm9Eb2MueG1sUEsFBgAAAAAGAAYAWQEAAHwF&#10;AAAAAA==&#10;">
                        <v:fill on="f" focussize="0,0"/>
                        <v:stroke on="f"/>
                        <v:imagedata o:title=""/>
                        <o:lock v:ext="edit" aspectratio="f"/>
                        <v:textbox>
                          <w:txbxContent>
                            <w:p>
                              <w:pPr>
                                <w:jc w:val="center"/>
                                <w:rPr>
                                  <w:rFonts w:hint="default" w:eastAsia="宋体"/>
                                  <w:sz w:val="15"/>
                                  <w:szCs w:val="15"/>
                                  <w:lang w:val="en-US" w:eastAsia="zh-CN"/>
                                </w:rPr>
                              </w:pPr>
                              <w:r>
                                <w:rPr>
                                  <w:rFonts w:hint="eastAsia"/>
                                  <w:sz w:val="15"/>
                                  <w:szCs w:val="15"/>
                                  <w:lang w:val="en-US" w:eastAsia="zh-CN"/>
                                </w:rPr>
                                <w:t>48840</w:t>
                              </w:r>
                            </w:p>
                          </w:txbxContent>
                        </v:textbox>
                      </v:roundrect>
                      <v:roundrect id="圆角矩形 88" o:spid="_x0000_s1026" o:spt="2" style="position:absolute;left:1374140;top:53340;height:264160;width:716280;" filled="f" stroked="f" coordsize="21600,21600" arcsize="0.166666666666667" o:gfxdata="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BYAAABkcnMvUEsBAhQAFAAAAAgAh07iQOmhBhjV&#10;AAAABQEAAA8AAAAAAAAAAQAgAAAAOAAAAGRycy9kb3ducmV2LnhtbFBLAQIUABQAAAAIAIdO4kCg&#10;AK/t1AEAAIQDAAAOAAAAAAAAAAEAIAAAADoBAABkcnMvZTJvRG9jLnhtbFBLBQYAAAAABgAGAFkB&#10;AACABQAAAAA=&#10;">
                        <v:fill on="f" focussize="0,0"/>
                        <v:stroke on="f"/>
                        <v:imagedata o:title=""/>
                        <o:lock v:ext="edit" aspectratio="f"/>
                        <v:textbox>
                          <w:txbxContent>
                            <w:p>
                              <w:pPr>
                                <w:jc w:val="center"/>
                                <w:rPr>
                                  <w:rFonts w:hint="default" w:eastAsia="宋体"/>
                                  <w:sz w:val="15"/>
                                  <w:szCs w:val="15"/>
                                  <w:lang w:val="en-US" w:eastAsia="zh-CN"/>
                                </w:rPr>
                              </w:pPr>
                              <w:r>
                                <w:rPr>
                                  <w:rFonts w:hint="eastAsia"/>
                                  <w:sz w:val="15"/>
                                  <w:szCs w:val="15"/>
                                  <w:lang w:val="en-US" w:eastAsia="zh-CN"/>
                                </w:rPr>
                                <w:t>37332</w:t>
                              </w:r>
                            </w:p>
                          </w:txbxContent>
                        </v:textbox>
                      </v:roundrect>
                      <v:shape id="直接箭头连接符 91" o:spid="_x0000_s1026" o:spt="32" type="#_x0000_t32" style="position:absolute;left:1879600;top:594360;height:581025;width:2540;" filled="f" stroked="t" coordsize="21600,21600" o:gfxdata="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UPxEI9UA&#10;AAAFAQAADwAAAAAAAAABACAAAAA4AAAAZHJzL2Rvd25yZXYueG1sUEsBAhQAFAAAAAgAh07iQEhI&#10;ce4MAgAA/AMAAA4AAAAAAAAAAQAgAAAAOgEAAGRycy9lMm9Eb2MueG1sUEsFBgAAAAAGAAYAWQEA&#10;ALgFAAAAAA==&#10;">
                        <v:fill on="f" focussize="0,0"/>
                        <v:stroke color="#000000" joinstyle="round"/>
                        <v:imagedata o:title=""/>
                        <o:lock v:ext="edit" aspectratio="f"/>
                      </v:shape>
                      <v:shape id="文本框 92" o:spid="_x0000_s1026" o:spt="202" type="#_x0000_t202" style="position:absolute;left:1131570;top:713740;height:468630;width:857885;" filled="f" stroked="f" coordsize="21600,21600" o:gfxdata="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BYAAABkcnMvUEsBAhQA&#10;FAAAAAgAh07iQJRPS0vVAAAABQEAAA8AAAAAAAAAAQAgAAAAOAAAAGRycy9kb3ducmV2LnhtbFBL&#10;AQIUABQAAAAIAIdO4kAJTGLT4wEAAK8DAAAOAAAAAAAAAAEAIAAAADoBAABkcnMvZTJvRG9jLnht&#10;bFBLBQYAAAAABgAGAFkBAACPBQAAAAA=&#10;">
                        <v:fill on="f" focussize="0,0"/>
                        <v:stroke on="f"/>
                        <v:imagedata o:title=""/>
                        <o:lock v:ext="edit" aspectratio="f"/>
                        <v:textbox inset="0mm,1mm,0mm,1mm" style="mso-fit-shape-to-text:t;">
                          <w:txbxContent>
                            <w:p>
                              <w:pPr>
                                <w:jc w:val="center"/>
                                <w:rPr>
                                  <w:rFonts w:hint="eastAsia"/>
                                  <w:sz w:val="15"/>
                                  <w:szCs w:val="15"/>
                                </w:rPr>
                              </w:pPr>
                              <w:r>
                                <w:rPr>
                                  <w:rFonts w:hint="eastAsia"/>
                                  <w:sz w:val="15"/>
                                  <w:szCs w:val="15"/>
                                </w:rPr>
                                <w:t>循环能力</w:t>
                              </w:r>
                            </w:p>
                            <w:p>
                              <w:pPr>
                                <w:jc w:val="center"/>
                                <w:rPr>
                                  <w:rFonts w:hint="eastAsia"/>
                                  <w:sz w:val="15"/>
                                  <w:szCs w:val="15"/>
                                </w:rPr>
                              </w:pPr>
                              <w:r>
                                <w:rPr>
                                  <w:rFonts w:hint="eastAsia"/>
                                  <w:sz w:val="15"/>
                                  <w:szCs w:val="15"/>
                                  <w:lang w:val="en-US" w:eastAsia="zh-CN"/>
                                </w:rPr>
                                <w:t>4500</w:t>
                              </w:r>
                              <w:r>
                                <w:rPr>
                                  <w:sz w:val="15"/>
                                  <w:szCs w:val="15"/>
                                </w:rPr>
                                <w:t>000m</w:t>
                              </w:r>
                              <w:r>
                                <w:rPr>
                                  <w:sz w:val="15"/>
                                  <w:szCs w:val="15"/>
                                  <w:vertAlign w:val="superscript"/>
                                </w:rPr>
                                <w:t>3</w:t>
                              </w:r>
                              <w:r>
                                <w:rPr>
                                  <w:sz w:val="15"/>
                                  <w:szCs w:val="15"/>
                                </w:rPr>
                                <w:t>/a</w:t>
                              </w:r>
                            </w:p>
                          </w:txbxContent>
                        </v:textbox>
                      </v:shape>
                      <v:shape id="直接箭头连接符 93" o:spid="_x0000_s1026" o:spt="32" type="#_x0000_t32" style="position:absolute;left:1254760;top:1167765;flip:x y;height:7620;width:623570;" filled="f" stroked="t" coordsize="21600,21600" o:gfxdata="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BYAAABkcnMvUEsBAhQA&#10;FAAAAAgAh07iQJdyTbTWAAAABQEAAA8AAAAAAAAAAQAgAAAAOAAAAGRycy9kb3ducmV2LnhtbFBL&#10;AQIUABQAAAAIAIdO4kBBFfwwGwIAABEEAAAOAAAAAAAAAAEAIAAAADsBAABkcnMvZTJvRG9jLnht&#10;bFBLBQYAAAAABgAGAFkBAADIBQAAAAA=&#10;">
                        <v:fill on="f" focussize="0,0"/>
                        <v:stroke color="#000000" joinstyle="round"/>
                        <v:imagedata o:title=""/>
                        <o:lock v:ext="edit" aspectratio="f"/>
                      </v:shape>
                      <v:shape id="直接箭头连接符 94" o:spid="_x0000_s1026" o:spt="32" type="#_x0000_t32" style="position:absolute;left:1259205;top:725805;flip:y;height:443865;width:1905;" filled="f" stroked="t" coordsize="21600,21600" o:gfxdata="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FyzTNQAAAAFAQAADwAAAAAAAAABACAAAAA4AAAAZHJzL2Rvd25yZXYueG1sUEsBAhQA&#10;FAAAAAgAh07iQFO6ZZsZAgAACQQAAA4AAAAAAAAAAQAgAAAAOQEAAGRycy9lMm9Eb2MueG1sUEsF&#10;BgAAAAAGAAYAWQEAAMQFAAAAAA==&#10;">
                        <v:fill on="f" focussize="0,0"/>
                        <v:stroke color="#000000" joinstyle="round" endarrow="classic"/>
                        <v:imagedata o:title=""/>
                        <o:lock v:ext="edit" aspectratio="f"/>
                      </v:shape>
                      <v:roundrect id="圆角矩形 111" o:spid="_x0000_s1026" o:spt="2" style="position:absolute;left:1695450;top:325755;height:309245;width:537845;" filled="f" stroked="f" coordsize="21600,21600" arcsize="0.166666666666667" o:gfxdata="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BYAAABkcnMvUEsBAhQAFAAAAAgAh07iQOmh&#10;BhjVAAAABQEAAA8AAAAAAAAAAQAgAAAAOAAAAGRycy9kb3ducmV2LnhtbFBLAQIUABQAAAAIAIdO&#10;4kC7HzqP1wEAAIYDAAAOAAAAAAAAAAEAIAAAADoBAABkcnMvZTJvRG9jLnhtbFBLBQYAAAAABgAG&#10;AFkBAACDBQAAAAA=&#10;">
                        <v:fill on="f" focussize="0,0"/>
                        <v:stroke on="f"/>
                        <v:imagedata o:title=""/>
                        <o:lock v:ext="edit" aspectratio="f"/>
                        <v:textbox>
                          <w:txbxContent>
                            <w:p>
                              <w:pPr>
                                <w:jc w:val="center"/>
                                <w:rPr>
                                  <w:rFonts w:hint="default" w:eastAsia="宋体"/>
                                  <w:sz w:val="15"/>
                                  <w:szCs w:val="15"/>
                                  <w:lang w:val="en-US" w:eastAsia="zh-CN"/>
                                </w:rPr>
                              </w:pPr>
                              <w:r>
                                <w:rPr>
                                  <w:rFonts w:hint="eastAsia"/>
                                  <w:sz w:val="15"/>
                                  <w:szCs w:val="15"/>
                                  <w:lang w:val="en-US" w:eastAsia="zh-CN"/>
                                </w:rPr>
                                <w:t>1365</w:t>
                              </w:r>
                            </w:p>
                          </w:txbxContent>
                        </v:textbox>
                      </v:roundrect>
                      <v:line id="直接连接符 183" o:spid="_x0000_s1026" o:spt="20" style="position:absolute;left:1569720;top:581025;flip:y;height:1270;width:563880;" filled="f" stroked="t" coordsize="21600,21600" o:gfxdata="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WAAAAZHJzL1BLAQIUABQAAAAIAIdO4kA2PMHG1gAAAAUBAAAPAAAAAAAAAAEAIAAAADgA&#10;AABkcnMvZG93bnJldi54bWxQSwECFAAUAAAACACHTuJAxYNncC4CAABHBAAADgAAAAAAAAABACAA&#10;AAA7AQAAZHJzL2Uyb0RvYy54bWxQSwUGAAAAAAYABgBZAQAA2wUAAAAA&#10;">
                        <v:fill on="f" focussize="0,0"/>
                        <v:stroke color="#000000" joinstyle="round" endarrow="block"/>
                        <v:imagedata o:title=""/>
                        <o:lock v:ext="edit" aspectratio="f"/>
                      </v:line>
                      <v:roundrect id="圆角矩形 85" o:spid="_x0000_s1026" o:spt="2" style="position:absolute;left:2133600;top:423545;height:314325;width:802640;" fillcolor="#FFFFFF" filled="t" stroked="t" coordsize="21600,21600" arcsize="0.166666666666667" o:gfxdata="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&#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BYAAABkcnMvUEsBAhQAFAAAAAgAh07iQAjeS/XTAAAABQEAAA8AAAAAAAAAAQAgAAAAOAAAAGRy&#10;cy9kb3ducmV2LnhtbFBLAQIUABQAAAAIAIdO4kBBG0sHLQIAAGMEAAAOAAAAAAAAAAEAIAAAADgB&#10;AABkcnMvZTJvRG9jLnhtbFBLBQYAAAAABgAGAFkBAADXBQAAAAA=&#10;">
                        <v:fill on="t" focussize="0,0"/>
                        <v:stroke color="#000000" joinstyle="round"/>
                        <v:imagedata o:title=""/>
                        <o:lock v:ext="edit" aspectratio="f"/>
                        <v:textbox>
                          <w:txbxContent>
                            <w:p>
                              <w:pPr>
                                <w:jc w:val="center"/>
                                <w:rPr>
                                  <w:rFonts w:hint="eastAsia"/>
                                  <w:sz w:val="15"/>
                                  <w:szCs w:val="15"/>
                                </w:rPr>
                              </w:pPr>
                              <w:r>
                                <w:rPr>
                                  <w:rFonts w:hint="eastAsia"/>
                                  <w:sz w:val="15"/>
                                  <w:szCs w:val="15"/>
                                  <w:lang w:eastAsia="zh-CN"/>
                                </w:rPr>
                                <w:t>地面冲洗</w:t>
                              </w:r>
                              <w:r>
                                <w:rPr>
                                  <w:rFonts w:hint="eastAsia"/>
                                  <w:sz w:val="15"/>
                                  <w:szCs w:val="15"/>
                                </w:rPr>
                                <w:t>用水</w:t>
                              </w:r>
                            </w:p>
                          </w:txbxContent>
                        </v:textbox>
                      </v:roundrect>
                      <v:line id="直接连接符 183" o:spid="_x0000_s1026" o:spt="20" style="position:absolute;left:2935605;top:588010;flip:y;height:2540;width:279400;" filled="f" stroked="t" coordsize="21600,21600" o:gfxdata="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A2PMHG1gAAAAUBAAAPAAAAAAAAAAEAIAAAADgAAABkcnMvZG93bnJldi54bWxQSwECFAAU&#10;AAAACACHTuJAgRHblxYCAAADBAAADgAAAAAAAAABACAAAAA7AQAAZHJzL2Uyb0RvYy54bWxQSwUG&#10;AAAAAAYABgBZAQAAwwUAAAAA&#10;">
                        <v:fill on="f" focussize="0,0"/>
                        <v:stroke color="#000000" joinstyle="round" endarrow="block"/>
                        <v:imagedata o:title=""/>
                        <o:lock v:ext="edit" aspectratio="f"/>
                      </v:line>
                      <v:roundrect id="圆角矩形 85" o:spid="_x0000_s1026" o:spt="2" style="position:absolute;left:3191510;top:431800;height:314325;width:563245;" fillcolor="#FFFFFF" filled="t" stroked="t" coordsize="21600,21600" arcsize="0.166666666666667" o:gfxdata="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BYAAABkcnMvUEsBAhQAFAAAAAgAh07iQAjeS/XTAAAABQEAAA8AAAAAAAAAAQAgAAAAOAAA&#10;AGRycy9kb3ducmV2LnhtbFBLAQIUABQAAAAIAIdO4kBOhOKcMAIAAGMEAAAOAAAAAAAAAAEAIAAA&#10;ADgBAABkcnMvZTJvRG9jLnhtbFBLBQYAAAAABgAGAFkBAADaBQAAAAA=&#10;">
                        <v:fill on="t" focussize="0,0"/>
                        <v:stroke color="#000000" joinstyle="round"/>
                        <v:imagedata o:title=""/>
                        <o:lock v:ext="edit" aspectratio="f"/>
                        <v:textbox>
                          <w:txbxContent>
                            <w:p>
                              <w:pPr>
                                <w:jc w:val="center"/>
                                <w:rPr>
                                  <w:rFonts w:hint="eastAsia"/>
                                  <w:sz w:val="15"/>
                                  <w:szCs w:val="15"/>
                                </w:rPr>
                              </w:pPr>
                              <w:r>
                                <w:rPr>
                                  <w:rFonts w:hint="eastAsia"/>
                                  <w:sz w:val="15"/>
                                  <w:szCs w:val="15"/>
                                  <w:lang w:eastAsia="zh-CN"/>
                                </w:rPr>
                                <w:t>沉淀池</w:t>
                              </w:r>
                            </w:p>
                          </w:txbxContent>
                        </v:textbox>
                      </v:roundrect>
                      <v:line id="直接连接符 72" o:spid="_x0000_s1026" o:spt="20" style="position:absolute;left:127635;top:1669415;height:0;width:845185;" filled="f" stroked="t" coordsize="21600,21600" o:gfxdata="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D+VFSV&#10;1wAAAAUBAAAPAAAAAAAAAAEAIAAAADgAAABkcnMvZG93bnJldi54bWxQSwECFAAUAAAACACHTuJA&#10;Fu8pBQwCAAD1AwAADgAAAAAAAAABACAAAAA8AQAAZHJzL2Uyb0RvYy54bWxQSwUGAAAAAAYABgBZ&#10;AQAAugUAAAAA&#10;">
                        <v:fill on="f" focussize="0,0"/>
                        <v:stroke color="#000000" joinstyle="round" endarrow="block"/>
                        <v:imagedata o:title=""/>
                        <o:lock v:ext="edit" aspectratio="f"/>
                      </v:line>
                      <v:roundrect id="圆角矩形 85" o:spid="_x0000_s1026" o:spt="2" style="position:absolute;left:967740;top:1515745;height:314325;width:622935;" fillcolor="#FFFFFF" filled="t" stroked="t" coordsize="21600,21600" arcsize="0.166666666666667" o:gfxdata="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WAAAAZHJzL1BLAQIUABQAAAAIAIdO4kAI3kv10wAAAAUBAAAPAAAAAAAAAAEAIAAAADgA&#10;AABkcnMvZG93bnJldi54bWxQSwECFAAUAAAACACHTuJANTPfJzECAABjBAAADgAAAAAAAAABACAA&#10;AAA4AQAAZHJzL2Uyb0RvYy54bWxQSwUGAAAAAAYABgBZAQAA2wUAAAAA&#10;">
                        <v:fill on="t" focussize="0,0"/>
                        <v:stroke color="#000000" joinstyle="round"/>
                        <v:imagedata o:title=""/>
                        <o:lock v:ext="edit" aspectratio="f"/>
                        <v:textbox>
                          <w:txbxContent>
                            <w:p>
                              <w:pPr>
                                <w:jc w:val="center"/>
                                <w:rPr>
                                  <w:rFonts w:hint="eastAsia"/>
                                  <w:sz w:val="15"/>
                                  <w:szCs w:val="15"/>
                                </w:rPr>
                              </w:pPr>
                              <w:r>
                                <w:rPr>
                                  <w:rFonts w:hint="eastAsia"/>
                                  <w:sz w:val="15"/>
                                  <w:szCs w:val="15"/>
                                  <w:lang w:eastAsia="zh-CN"/>
                                </w:rPr>
                                <w:t>生活</w:t>
                              </w:r>
                              <w:r>
                                <w:rPr>
                                  <w:rFonts w:hint="eastAsia"/>
                                  <w:sz w:val="15"/>
                                  <w:szCs w:val="15"/>
                                </w:rPr>
                                <w:t>用水</w:t>
                              </w:r>
                            </w:p>
                          </w:txbxContent>
                        </v:textbox>
                      </v:roundrect>
                      <v:line id="直接连接符 72" o:spid="_x0000_s1026" o:spt="20" style="position:absolute;left:1599565;top:1664335;flip:y;height:1905;width:380365;" filled="f" stroked="t" coordsize="21600,21600" o:gfxdata="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DY8wcbWAAAABQEAAA8AAAAAAAAAAQAgAAAAOAAAAGRycy9kb3ducmV2LnhtbFBLAQIUABQA&#10;AAAIAIdO4kBaqEhJFQIAAAMEAAAOAAAAAAAAAAEAIAAAADsBAABkcnMvZTJvRG9jLnhtbFBLBQYA&#10;AAAABgAGAFkBAADCBQAAAAA=&#10;">
                        <v:fill on="f" focussize="0,0"/>
                        <v:stroke color="#000000" joinstyle="round" endarrow="block"/>
                        <v:imagedata o:title=""/>
                        <o:lock v:ext="edit" aspectratio="f"/>
                      </v:line>
                      <v:roundrect id="圆角矩形 85" o:spid="_x0000_s1026" o:spt="2" style="position:absolute;left:1974215;top:1493520;height:314325;width:563245;" fillcolor="#FFFFFF" filled="t" stroked="t" coordsize="21600,21600" arcsize="0.166666666666667" o:gfxdata="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BYAAABkcnMvUEsBAhQAFAAAAAgAh07iQAjeS/XTAAAABQEAAA8AAAAAAAAAAQAgAAAAOAAA&#10;AGRycy9kb3ducmV2LnhtbFBLAQIUABQAAAAIAIdO4kD3QillMAIAAGQEAAAOAAAAAAAAAAEAIAAA&#10;ADgBAABkcnMvZTJvRG9jLnhtbFBLBQYAAAAABgAGAFkBAADaBQAAAAA=&#10;">
                        <v:fill on="t" focussize="0,0"/>
                        <v:stroke color="#000000" joinstyle="round"/>
                        <v:imagedata o:title=""/>
                        <o:lock v:ext="edit" aspectratio="f"/>
                        <v:textbox>
                          <w:txbxContent>
                            <w:p>
                              <w:pPr>
                                <w:jc w:val="center"/>
                                <w:rPr>
                                  <w:rFonts w:hint="eastAsia"/>
                                  <w:sz w:val="15"/>
                                  <w:szCs w:val="15"/>
                                </w:rPr>
                              </w:pPr>
                              <w:r>
                                <w:rPr>
                                  <w:rFonts w:hint="eastAsia"/>
                                  <w:sz w:val="15"/>
                                  <w:szCs w:val="15"/>
                                  <w:lang w:eastAsia="zh-CN"/>
                                </w:rPr>
                                <w:t>化粪池</w:t>
                              </w:r>
                            </w:p>
                          </w:txbxContent>
                        </v:textbox>
                      </v:roundrect>
                      <v:roundrect id="圆角矩形 111" o:spid="_x0000_s1026" o:spt="2" style="position:absolute;left:2778125;top:301625;height:309245;width:537845;" filled="f" stroked="f" coordsize="21600,21600" arcsize="0.166666666666667" o:gfxdata="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BYAAABkcnMvUEsBAhQAFAAAAAgAh07iQOmhBhjV&#10;AAAABQEAAA8AAAAAAAAAAQAgAAAAOAAAAGRycy9kb3ducmV2LnhtbFBLAQIUABQAAAAIAIdO4kBa&#10;bD9v1AEAAIYDAAAOAAAAAAAAAAEAIAAAADoBAABkcnMvZTJvRG9jLnhtbFBLBQYAAAAABgAGAFkB&#10;AACABQAAAAA=&#10;">
                        <v:fill on="f" focussize="0,0"/>
                        <v:stroke on="f"/>
                        <v:imagedata o:title=""/>
                        <o:lock v:ext="edit" aspectratio="f"/>
                        <v:textbox>
                          <w:txbxContent>
                            <w:p>
                              <w:pPr>
                                <w:jc w:val="center"/>
                                <w:rPr>
                                  <w:rFonts w:hint="default" w:eastAsia="宋体"/>
                                  <w:sz w:val="15"/>
                                  <w:szCs w:val="15"/>
                                  <w:lang w:val="en-US" w:eastAsia="zh-CN"/>
                                </w:rPr>
                              </w:pPr>
                              <w:r>
                                <w:rPr>
                                  <w:rFonts w:hint="eastAsia"/>
                                  <w:sz w:val="15"/>
                                  <w:szCs w:val="15"/>
                                  <w:lang w:val="en-US" w:eastAsia="zh-CN"/>
                                </w:rPr>
                                <w:t>1140</w:t>
                              </w:r>
                            </w:p>
                          </w:txbxContent>
                        </v:textbox>
                      </v:roundrect>
                      <v:roundrect id="圆角矩形 111" o:spid="_x0000_s1026" o:spt="2" style="position:absolute;left:3622040;top:324485;height:309245;width:537845;" filled="f" stroked="f" coordsize="21600,21600" arcsize="0.166666666666667" o:gfxdata="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WAAAAZHJzL1BLAQIUABQAAAAIAIdO4kDpoQYY&#10;1QAAAAUBAAAPAAAAAAAAAAEAIAAAADgAAABkcnMvZG93bnJldi54bWxQSwECFAAUAAAACACHTuJA&#10;S8ZLttUBAACGAwAADgAAAAAAAAABACAAAAA6AQAAZHJzL2Uyb0RvYy54bWxQSwUGAAAAAAYABgBZ&#10;AQAAgQUAAAAA&#10;">
                        <v:fill on="f" focussize="0,0"/>
                        <v:stroke on="f"/>
                        <v:imagedata o:title=""/>
                        <o:lock v:ext="edit" aspectratio="f"/>
                        <v:textbox>
                          <w:txbxContent>
                            <w:p>
                              <w:pPr>
                                <w:jc w:val="center"/>
                                <w:rPr>
                                  <w:rFonts w:hint="default" w:eastAsia="宋体"/>
                                  <w:sz w:val="15"/>
                                  <w:szCs w:val="15"/>
                                  <w:lang w:val="en-US" w:eastAsia="zh-CN"/>
                                </w:rPr>
                              </w:pPr>
                              <w:r>
                                <w:rPr>
                                  <w:rFonts w:hint="eastAsia"/>
                                  <w:sz w:val="15"/>
                                  <w:szCs w:val="15"/>
                                  <w:lang w:val="en-US" w:eastAsia="zh-CN"/>
                                </w:rPr>
                                <w:t>1140</w:t>
                              </w:r>
                            </w:p>
                          </w:txbxContent>
                        </v:textbox>
                      </v:roundrect>
                      <v:line id="直接连接符 72" o:spid="_x0000_s1026" o:spt="20" style="position:absolute;left:519430;top:3004820;height:1905;width:455295;" filled="f" stroked="t" coordsize="21600,21600" o:gfxdata="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P5UVJXX&#10;AAAABQEAAA8AAAAAAAAAAQAgAAAAOAAAAGRycy9kb3ducmV2LnhtbFBLAQIUABQAAAAIAIdO4kBd&#10;ux/zCwIAAPgDAAAOAAAAAAAAAAEAIAAAADwBAABkcnMvZTJvRG9jLnhtbFBLBQYAAAAABgAGAFkB&#10;AAC5BQAAAAA=&#10;">
                        <v:fill on="f" focussize="0,0"/>
                        <v:stroke color="#000000" joinstyle="round" endarrow="block"/>
                        <v:imagedata o:title=""/>
                        <o:lock v:ext="edit" aspectratio="f"/>
                      </v:line>
                      <v:roundrect id="圆角矩形 85" o:spid="_x0000_s1026" o:spt="2" style="position:absolute;left:960120;top:2855595;height:314325;width:622935;" fillcolor="#FFFFFF" filled="t" stroked="t" coordsize="21600,21600" arcsize="0.166666666666667" o:gfxdata="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AI3kv10wAAAAUBAAAPAAAAAAAAAAEAIAAAADgAAABk&#10;cnMvZG93bnJldi54bWxQSwECFAAUAAAACACHTuJAcjFVii4CAABjBAAADgAAAAAAAAABACAAAAA4&#10;AQAAZHJzL2Uyb0RvYy54bWxQSwUGAAAAAAYABgBZAQAA2AUAAAAA&#10;">
                        <v:fill on="t" focussize="0,0"/>
                        <v:stroke color="#000000" joinstyle="round"/>
                        <v:imagedata o:title=""/>
                        <o:lock v:ext="edit" aspectratio="f"/>
                        <v:textbox>
                          <w:txbxContent>
                            <w:p>
                              <w:pPr>
                                <w:jc w:val="center"/>
                                <w:rPr>
                                  <w:rFonts w:hint="eastAsia"/>
                                  <w:sz w:val="15"/>
                                  <w:szCs w:val="15"/>
                                </w:rPr>
                              </w:pPr>
                              <w:r>
                                <w:rPr>
                                  <w:rFonts w:hint="eastAsia"/>
                                  <w:sz w:val="15"/>
                                  <w:szCs w:val="15"/>
                                  <w:lang w:eastAsia="zh-CN"/>
                                </w:rPr>
                                <w:t>绿化</w:t>
                              </w:r>
                              <w:r>
                                <w:rPr>
                                  <w:rFonts w:hint="eastAsia"/>
                                  <w:sz w:val="15"/>
                                  <w:szCs w:val="15"/>
                                </w:rPr>
                                <w:t>用水</w:t>
                              </w:r>
                            </w:p>
                          </w:txbxContent>
                        </v:textbox>
                      </v:roundrect>
                      <v:shape id="曲线连接符 86" o:spid="_x0000_s1026" o:spt="38" type="#_x0000_t38" style="position:absolute;left:1532255;top:2743200;height:99060;width:119380;rotation:-5898240f;" filled="f" stroked="t" coordsize="21600,21600" o:gfxdata="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BYAAABkcnMvUEsBAhQAFAAAAAgAh07iQAu84N3WAAAABQEAAA8AAAAAAAAAAQAg&#10;AAAAOAAAAGRycy9kb3ducmV2LnhtbFBLAQIUABQAAAAIAIdO4kCfwaa6MwIAADYEAAAOAAAAAAAA&#10;AAEAIAAAADsBAABkcnMvZTJvRG9jLnhtbFBLBQYAAAAABgAGAFkBAADgBQAAAAA=&#10;" adj="10800">
                        <v:fill on="f" focussize="0,0"/>
                        <v:stroke color="#000000" joinstyle="round" endarrow="block"/>
                        <v:imagedata o:title=""/>
                        <o:lock v:ext="edit" aspectratio="f"/>
                      </v:shape>
                      <v:roundrect id="圆角矩形 88" o:spid="_x0000_s1026" o:spt="2" style="position:absolute;left:1478915;top:2512695;height:264160;width:1405255;" filled="f" stroked="f" coordsize="21600,21600" arcsize="0.166666666666667" o:gfxdata="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FgAAAGRycy9QSwECFAAUAAAACACHTuJA6aEG&#10;GNUAAAAFAQAADwAAAAAAAAABACAAAAA4AAAAZHJzL2Rvd25yZXYueG1sUEsBAhQAFAAAAAgAh07i&#10;QIILjJPWAQAAhwMAAA4AAAAAAAAAAQAgAAAAOgEAAGRycy9lMm9Eb2MueG1sUEsFBgAAAAAGAAYA&#10;WQEAAIIFAAAAAA==&#10;">
                        <v:fill on="f" focussize="0,0"/>
                        <v:stroke on="f"/>
                        <v:imagedata o:title=""/>
                        <o:lock v:ext="edit" aspectratio="f"/>
                        <v:textbox>
                          <w:txbxContent>
                            <w:p>
                              <w:pPr>
                                <w:jc w:val="center"/>
                                <w:rPr>
                                  <w:rFonts w:hint="default" w:eastAsia="宋体"/>
                                  <w:sz w:val="15"/>
                                  <w:szCs w:val="15"/>
                                  <w:lang w:val="en-US" w:eastAsia="zh-CN"/>
                                </w:rPr>
                              </w:pPr>
                              <w:r>
                                <w:rPr>
                                  <w:rFonts w:hint="eastAsia"/>
                                  <w:sz w:val="15"/>
                                  <w:szCs w:val="15"/>
                                  <w:lang w:val="en-US" w:eastAsia="zh-CN"/>
                                </w:rPr>
                                <w:t>进入土壤损耗或蒸发650</w:t>
                              </w:r>
                            </w:p>
                          </w:txbxContent>
                        </v:textbox>
                      </v:roundrect>
                      <v:roundrect id="圆角矩形 87" o:spid="_x0000_s1026" o:spt="2" style="position:absolute;left:387985;top:1412875;height:285750;width:654050;" filled="f" stroked="f" coordsize="21600,21600" arcsize="0.166666666666667" o:gfxdata="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FgAAAGRycy9QSwECFAAUAAAACACHTuJA6aEG&#10;GNUAAAAFAQAADwAAAAAAAAABACAAAAA4AAAAZHJzL2Rvd25yZXYueG1sUEsBAhQAFAAAAAgAh07i&#10;QNVna7zWAQAAhQMAAA4AAAAAAAAAAQAgAAAAOgEAAGRycy9lMm9Eb2MueG1sUEsFBgAAAAAGAAYA&#10;WQEAAIIFAAAAAA==&#10;">
                        <v:fill on="f" focussize="0,0"/>
                        <v:stroke on="f"/>
                        <v:imagedata o:title=""/>
                        <o:lock v:ext="edit" aspectratio="f"/>
                        <v:textbox>
                          <w:txbxContent>
                            <w:p>
                              <w:pPr>
                                <w:jc w:val="center"/>
                                <w:rPr>
                                  <w:rFonts w:hint="default" w:eastAsia="宋体"/>
                                  <w:sz w:val="15"/>
                                  <w:szCs w:val="15"/>
                                  <w:lang w:val="en-US" w:eastAsia="zh-CN"/>
                                </w:rPr>
                              </w:pPr>
                              <w:r>
                                <w:rPr>
                                  <w:rFonts w:hint="eastAsia"/>
                                  <w:sz w:val="15"/>
                                  <w:szCs w:val="15"/>
                                  <w:lang w:val="en-US" w:eastAsia="zh-CN"/>
                                </w:rPr>
                                <w:t>7080</w:t>
                              </w:r>
                            </w:p>
                          </w:txbxContent>
                        </v:textbox>
                      </v:roundrect>
                      <v:roundrect id="圆角矩形 87" o:spid="_x0000_s1026" o:spt="2" style="position:absolute;left:410845;top:2704465;height:285750;width:654050;" filled="f" stroked="f" coordsize="21600,21600" arcsize="0.166666666666667" o:gfxdata="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FgAAAGRycy9QSwECFAAUAAAACACHTuJA6aEG&#10;GNUAAAAFAQAADwAAAAAAAAABACAAAAA4AAAAZHJzL2Rvd25yZXYueG1sUEsBAhQAFAAAAAgAh07i&#10;QKcXW3rWAQAAhQMAAA4AAAAAAAAAAQAgAAAAOgEAAGRycy9lMm9Eb2MueG1sUEsFBgAAAAAGAAYA&#10;WQEAAIIFAAAAAA==&#10;">
                        <v:fill on="f" focussize="0,0"/>
                        <v:stroke on="f"/>
                        <v:imagedata o:title=""/>
                        <o:lock v:ext="edit" aspectratio="f"/>
                        <v:textbox>
                          <w:txbxContent>
                            <w:p>
                              <w:pPr>
                                <w:jc w:val="center"/>
                                <w:rPr>
                                  <w:rFonts w:hint="default" w:eastAsia="宋体"/>
                                  <w:sz w:val="15"/>
                                  <w:szCs w:val="15"/>
                                  <w:lang w:val="en-US" w:eastAsia="zh-CN"/>
                                </w:rPr>
                              </w:pPr>
                              <w:r>
                                <w:rPr>
                                  <w:rFonts w:hint="eastAsia"/>
                                  <w:sz w:val="15"/>
                                  <w:szCs w:val="15"/>
                                  <w:lang w:val="en-US" w:eastAsia="zh-CN"/>
                                </w:rPr>
                                <w:t>650</w:t>
                              </w:r>
                            </w:p>
                          </w:txbxContent>
                        </v:textbox>
                      </v:roundrect>
                      <v:shape id="曲线连接符 86" o:spid="_x0000_s1026" o:spt="38" type="#_x0000_t38" style="position:absolute;left:1477010;top:1409700;height:99060;width:119380;rotation:-5898240f;" filled="f" stroked="t" coordsize="21600,21600" o:gfxdata="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WAAAAZHJzL1BLAQIUABQAAAAIAIdO4kALvODd1gAAAAUBAAAPAAAAAAAAAAEAIAAAADgA&#10;AABkcnMvZG93bnJldi54bWxQSwECFAAUAAAACACHTuJAsjDHXi4CAAA2BAAADgAAAAAAAAABACAA&#10;AAA7AQAAZHJzL2Uyb0RvYy54bWxQSwUGAAAAAAYABgBZAQAA2wUAAAAA&#10;" adj="10800">
                        <v:fill on="f" focussize="0,0"/>
                        <v:stroke color="#000000" joinstyle="round" endarrow="block"/>
                        <v:imagedata o:title=""/>
                        <o:lock v:ext="edit" aspectratio="f"/>
                      </v:shape>
                      <v:roundrect id="圆角矩形 88" o:spid="_x0000_s1026" o:spt="2" style="position:absolute;left:1313180;top:1137920;height:264160;width:716280;" filled="f" stroked="f" coordsize="21600,21600" arcsize="0.166666666666667" o:gfxdata="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FgAAAGRycy9QSwECFAAUAAAACACHTuJA6aEGGNUA&#10;AAAFAQAADwAAAAAAAAABACAAAAA4AAAAZHJzL2Rvd25yZXYueG1sUEsBAhQAFAAAAAgAh07iQFG3&#10;1NrTAQAAhgMAAA4AAAAAAAAAAQAgAAAAOgEAAGRycy9lMm9Eb2MueG1sUEsFBgAAAAAGAAYAWQEA&#10;AH8FAAAAAA==&#10;">
                        <v:fill on="f" focussize="0,0"/>
                        <v:stroke on="f"/>
                        <v:imagedata o:title=""/>
                        <o:lock v:ext="edit" aspectratio="f"/>
                        <v:textbox>
                          <w:txbxContent>
                            <w:p>
                              <w:pPr>
                                <w:jc w:val="center"/>
                                <w:rPr>
                                  <w:rFonts w:hint="default" w:eastAsia="宋体"/>
                                  <w:sz w:val="15"/>
                                  <w:szCs w:val="15"/>
                                  <w:lang w:val="en-US" w:eastAsia="zh-CN"/>
                                </w:rPr>
                              </w:pPr>
                              <w:r>
                                <w:rPr>
                                  <w:rFonts w:hint="eastAsia"/>
                                  <w:sz w:val="15"/>
                                  <w:szCs w:val="15"/>
                                  <w:lang w:val="en-US" w:eastAsia="zh-CN"/>
                                </w:rPr>
                                <w:t>1416</w:t>
                              </w:r>
                            </w:p>
                          </w:txbxContent>
                        </v:textbox>
                      </v:roundrect>
                      <v:roundrect id="圆角矩形 87" o:spid="_x0000_s1026" o:spt="2" style="position:absolute;left:1435735;top:1390015;height:285750;width:654050;" filled="f" stroked="f" coordsize="21600,21600" arcsize="0.166666666666667" o:gfxdata="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BYAAABkcnMvUEsBAhQAFAAAAAgAh07iQOmh&#10;BhjVAAAABQEAAA8AAAAAAAAAAQAgAAAAOAAAAGRycy9kb3ducmV2LnhtbFBLAQIUABQAAAAIAIdO&#10;4kDtkqqK1wEAAIYDAAAOAAAAAAAAAAEAIAAAADoBAABkcnMvZTJvRG9jLnhtbFBLBQYAAAAABgAG&#10;AFkBAACDBQAAAAA=&#10;">
                        <v:fill on="f" focussize="0,0"/>
                        <v:stroke on="f"/>
                        <v:imagedata o:title=""/>
                        <o:lock v:ext="edit" aspectratio="f"/>
                        <v:textbox>
                          <w:txbxContent>
                            <w:p>
                              <w:pPr>
                                <w:jc w:val="center"/>
                                <w:rPr>
                                  <w:rFonts w:hint="default" w:eastAsia="宋体"/>
                                  <w:sz w:val="15"/>
                                  <w:szCs w:val="15"/>
                                  <w:lang w:val="en-US" w:eastAsia="zh-CN"/>
                                </w:rPr>
                              </w:pPr>
                              <w:r>
                                <w:rPr>
                                  <w:rFonts w:hint="eastAsia"/>
                                  <w:sz w:val="15"/>
                                  <w:szCs w:val="15"/>
                                  <w:lang w:val="en-US" w:eastAsia="zh-CN"/>
                                </w:rPr>
                                <w:t>5664</w:t>
                              </w:r>
                            </w:p>
                          </w:txbxContent>
                        </v:textbox>
                      </v:roundrect>
                      <v:roundrect id="圆角矩形 87" o:spid="_x0000_s1026" o:spt="2" style="position:absolute;left:2797810;top:1424940;height:285750;width:654050;" filled="f" stroked="f" coordsize="21600,21600" arcsize="0.166666666666667" o:gfxdata="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BYAAABkcnMvUEsBAhQAFAAAAAgAh07iQOmh&#10;BhjVAAAABQEAAA8AAAAAAAAAAQAgAAAAOAAAAGRycy9kb3ducmV2LnhtbFBLAQIUABQAAAAIAIdO&#10;4kBGlYAC1wEAAIYDAAAOAAAAAAAAAAEAIAAAADoBAABkcnMvZTJvRG9jLnhtbFBLBQYAAAAABgAG&#10;AFkBAACDBQAAAAA=&#10;">
                        <v:fill on="f" focussize="0,0"/>
                        <v:stroke on="f"/>
                        <v:imagedata o:title=""/>
                        <o:lock v:ext="edit" aspectratio="f"/>
                        <v:textbox>
                          <w:txbxContent>
                            <w:p>
                              <w:pPr>
                                <w:jc w:val="center"/>
                                <w:rPr>
                                  <w:rFonts w:hint="default" w:eastAsia="宋体"/>
                                  <w:sz w:val="15"/>
                                  <w:szCs w:val="15"/>
                                  <w:lang w:val="en-US" w:eastAsia="zh-CN"/>
                                </w:rPr>
                              </w:pPr>
                              <w:r>
                                <w:rPr>
                                  <w:rFonts w:hint="eastAsia"/>
                                  <w:sz w:val="15"/>
                                  <w:szCs w:val="15"/>
                                  <w:lang w:val="en-US" w:eastAsia="zh-CN"/>
                                </w:rPr>
                                <w:t>5760</w:t>
                              </w:r>
                            </w:p>
                          </w:txbxContent>
                        </v:textbox>
                      </v:roundrect>
                      <v:shape id="直接箭头连接符 91" o:spid="_x0000_s1026" o:spt="32" type="#_x0000_t32" style="position:absolute;left:524510;top:589280;height:3148330;width:4445;" filled="f" stroked="t" coordsize="21600,21600" o:gfxdata="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BQ/EQj&#10;1QAAAAUBAAAPAAAAAAAAAAEAIAAAADgAAABkcnMvZG93bnJldi54bWxQSwECFAAUAAAACACHTuJA&#10;6BYyhA4CAAD8AwAADgAAAAAAAAABACAAAAA6AQAAZHJzL2Uyb0RvYy54bWxQSwUGAAAAAAYABgBZ&#10;AQAAugUAAAAA&#10;">
                        <v:fill on="f" focussize="0,0"/>
                        <v:stroke color="#000000" joinstyle="round"/>
                        <v:imagedata o:title=""/>
                        <o:lock v:ext="edit" aspectratio="f"/>
                      </v:shape>
                      <v:shape id="直接箭头连接符 91" o:spid="_x0000_s1026" o:spt="32" type="#_x0000_t32" style="position:absolute;left:4034155;top:583565;flip:x;height:1073785;width:1905;" filled="f" stroked="t" coordsize="21600,21600" o:gfxdata="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7SzQFNUAAAAFAQAADwAAAAAAAAABACAAAAA4AAAAZHJzL2Rvd25yZXYueG1sUEsBAhQA&#10;FAAAAAgAh07iQFpsk80YAgAABwQAAA4AAAAAAAAAAQAgAAAAOgEAAGRycy9lMm9Eb2MueG1sUEsF&#10;BgAAAAAGAAYAWQEAAMQFAAAAAA==&#10;">
                        <v:fill on="f" focussize="0,0"/>
                        <v:stroke color="#000000" joinstyle="round"/>
                        <v:imagedata o:title=""/>
                        <o:lock v:ext="edit" aspectratio="f"/>
                      </v:shape>
                      <v:shape id="直接箭头连接符 93" o:spid="_x0000_s1026" o:spt="32" type="#_x0000_t32" style="position:absolute;left:3754755;top:589280;flip:x y;height:2540;width:278130;" filled="f" stroked="t" coordsize="21600,21600" o:gfxdata="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&#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CXck201gAAAAUBAAAPAAAAAAAAAAEAIAAAADgAAABk&#10;cnMvZG93bnJldi54bWxQSwECFAAUAAAACACHTuJAAn099SsCAAA5BAAADgAAAAAAAAABACAAAAA7&#10;AQAAZHJzL2Uyb0RvYy54bWxQSwUGAAAAAAYABgBZAQAA2AUAAAAA&#10;">
                        <v:fill on="f" focussize="0,0"/>
                        <v:stroke color="#000000" joinstyle="round"/>
                        <v:imagedata o:title=""/>
                        <o:lock v:ext="edit" aspectratio="f"/>
                      </v:shape>
                      <v:shape id="直接箭头连接符 93" o:spid="_x0000_s1026" o:spt="32" type="#_x0000_t32" style="position:absolute;left:2537460;top:1649730;flip:x;height:1270;width:1499235;" filled="f" stroked="t" coordsize="21600,21600" o:gfxdata="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7SzQFNUAAAAFAQAADwAAAAAAAAABACAAAAA4AAAAZHJzL2Rv&#10;d25yZXYueG1sUEsBAhQAFAAAAAgAh07iQLzhdMMnAgAAMQQAAA4AAAAAAAAAAQAgAAAAOgEAAGRy&#10;cy9lMm9Eb2MueG1sUEsFBgAAAAAGAAYAWQEAANMFAAAAAA==&#10;">
                        <v:fill on="f" focussize="0,0"/>
                        <v:stroke color="#000000" joinstyle="round"/>
                        <v:imagedata o:title=""/>
                        <o:lock v:ext="edit" aspectratio="f"/>
                      </v:shape>
                      <v:line id="直接连接符 183" o:spid="_x0000_s1026" o:spt="20" style="position:absolute;left:4031615;top:1198245;flip:y;height:3810;width:298450;" filled="f" stroked="t" coordsize="21600,21600" o:gfxdata="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A2PMHG1gAAAAUBAAAPAAAAAAAAAAEAIAAAADgAAABkcnMvZG93bnJldi54bWxQSwEC&#10;FAAUAAAACACHTuJAr5oSlRkCAAAEBAAADgAAAAAAAAABACAAAAA7AQAAZHJzL2Uyb0RvYy54bWxQ&#10;SwUGAAAAAAYABgBZAQAAxgUAAAAA&#10;">
                        <v:fill on="f" focussize="0,0"/>
                        <v:stroke color="#000000" joinstyle="round" endarrow="block"/>
                        <v:imagedata o:title=""/>
                        <o:lock v:ext="edit" aspectratio="f"/>
                      </v:line>
                      <v:roundrect id="_x0000_s1026" o:spid="_x0000_s1026" o:spt="2" style="position:absolute;left:391160;top:2063750;height:285750;width:654050;" filled="f" stroked="f" coordsize="21600,21600" arcsize="0.166666666666667" o:gfxdata="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FgAAAGRycy9QSwECFAAUAAAACACHTuJA6aEGGNUA&#10;AAAFAQAADwAAAAAAAAABACAAAAA4AAAAZHJzL2Rvd25yZXYueG1sUEsBAhQAFAAAAAgAh07iQH9Z&#10;7/zTAQAAhAMAAA4AAAAAAAAAAQAgAAAAOgEAAGRycy9lMm9Eb2MueG1sUEsFBgAAAAAGAAYAWQEA&#10;AH8FAAAAAA==&#10;">
                        <v:fill on="f" focussize="0,0"/>
                        <v:stroke on="f"/>
                        <v:imagedata o:title=""/>
                        <o:lock v:ext="edit" aspectratio="f"/>
                        <v:textbox>
                          <w:txbxContent>
                            <w:p>
                              <w:pPr>
                                <w:jc w:val="center"/>
                                <w:rPr>
                                  <w:rFonts w:hint="default" w:eastAsia="宋体"/>
                                  <w:sz w:val="15"/>
                                  <w:szCs w:val="15"/>
                                  <w:lang w:val="en-US" w:eastAsia="zh-CN"/>
                                </w:rPr>
                              </w:pPr>
                              <w:r>
                                <w:rPr>
                                  <w:rFonts w:hint="eastAsia"/>
                                  <w:sz w:val="15"/>
                                  <w:szCs w:val="15"/>
                                  <w:lang w:val="en-US" w:eastAsia="zh-CN"/>
                                </w:rPr>
                                <w:t>120</w:t>
                              </w:r>
                            </w:p>
                          </w:txbxContent>
                        </v:textbox>
                      </v:roundrect>
                      <v:line id="_x0000_s1026" o:spid="_x0000_s1026" o:spt="20" style="position:absolute;left:542290;top:2359025;height:5080;width:422910;" filled="f" stroked="t" coordsize="21600,21600" o:gfxdata="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FgAAAGRycy9QSwECFAAU&#10;AAAACACHTuJA/lRUldcAAAAFAQAADwAAAAAAAAABACAAAAA4AAAAZHJzL2Rvd25yZXYueG1sUEsB&#10;AhQAFAAAAAgAh07iQJjsu0gZAgAAHwQAAA4AAAAAAAAAAQAgAAAAPAEAAGRycy9lMm9Eb2MueG1s&#10;UEsFBgAAAAAGAAYAWQEAAMcFAAAAAA==&#10;">
                        <v:fill on="f" focussize="0,0"/>
                        <v:stroke color="#000000" joinstyle="round" endarrow="block"/>
                        <v:imagedata o:title=""/>
                        <o:lock v:ext="edit" aspectratio="f"/>
                      </v:line>
                      <v:roundrect id="_x0000_s1026" o:spid="_x0000_s1026" o:spt="2" style="position:absolute;left:965200;top:2206625;height:314325;width:676910;" fillcolor="#FFFFFF" filled="t" stroked="t" coordsize="21600,21600" arcsize="0.166666666666667" o:gfxdata="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&#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BYAAABkcnMvUEsBAhQAFAAAAAgAh07iQAjeS/XTAAAABQEAAA8AAAAAAAAAAQAgAAAAOAAAAGRy&#10;cy9kb3ducmV2LnhtbFBLAQIUABQAAAAIAIdO4kBNgm3CLQIAAGIEAAAOAAAAAAAAAAEAIAAAADgB&#10;AABkcnMvZTJvRG9jLnhtbFBLBQYAAAAABgAGAFkBAADXBQAAAAA=&#10;">
                        <v:fill on="t" focussize="0,0"/>
                        <v:stroke color="#000000" joinstyle="round"/>
                        <v:imagedata o:title=""/>
                        <o:lock v:ext="edit" aspectratio="f"/>
                        <v:textbox>
                          <w:txbxContent>
                            <w:p>
                              <w:pPr>
                                <w:jc w:val="center"/>
                                <w:rPr>
                                  <w:rFonts w:hint="eastAsia"/>
                                  <w:sz w:val="15"/>
                                  <w:szCs w:val="15"/>
                                </w:rPr>
                              </w:pPr>
                              <w:r>
                                <w:rPr>
                                  <w:rFonts w:hint="eastAsia"/>
                                  <w:sz w:val="15"/>
                                  <w:szCs w:val="15"/>
                                  <w:lang w:eastAsia="zh-CN"/>
                                </w:rPr>
                                <w:t>食堂</w:t>
                              </w:r>
                              <w:r>
                                <w:rPr>
                                  <w:rFonts w:hint="eastAsia"/>
                                  <w:sz w:val="15"/>
                                  <w:szCs w:val="15"/>
                                </w:rPr>
                                <w:t>用水</w:t>
                              </w:r>
                            </w:p>
                          </w:txbxContent>
                        </v:textbox>
                      </v:roundrect>
                      <v:roundrect id="_x0000_s1026" o:spid="_x0000_s1026" o:spt="2" style="position:absolute;left:1363980;top:1866900;height:264160;width:716280;" filled="f" stroked="f" coordsize="21600,21600" arcsize="0.166666666666667" o:gfxdata="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BYAAABkcnMvUEsBAhQAFAAAAAgAh07iQOmhBhjV&#10;AAAABQEAAA8AAAAAAAAAAQAgAAAAOAAAAGRycy9kb3ducmV2LnhtbFBLAQIUABQAAAAIAIdO4kDV&#10;t69M1AEAAIUDAAAOAAAAAAAAAAEAIAAAADoBAABkcnMvZTJvRG9jLnhtbFBLBQYAAAAABgAGAFkB&#10;AACABQAAAAA=&#10;">
                        <v:fill on="f" focussize="0,0"/>
                        <v:stroke on="f"/>
                        <v:imagedata o:title=""/>
                        <o:lock v:ext="edit" aspectratio="f"/>
                        <v:textbox>
                          <w:txbxContent>
                            <w:p>
                              <w:pPr>
                                <w:jc w:val="center"/>
                                <w:rPr>
                                  <w:rFonts w:hint="default" w:eastAsia="宋体"/>
                                  <w:sz w:val="15"/>
                                  <w:szCs w:val="15"/>
                                  <w:lang w:val="en-US" w:eastAsia="zh-CN"/>
                                </w:rPr>
                              </w:pPr>
                              <w:r>
                                <w:rPr>
                                  <w:rFonts w:hint="eastAsia"/>
                                  <w:sz w:val="15"/>
                                  <w:szCs w:val="15"/>
                                  <w:lang w:val="en-US" w:eastAsia="zh-CN"/>
                                </w:rPr>
                                <w:t>24</w:t>
                              </w:r>
                            </w:p>
                          </w:txbxContent>
                        </v:textbox>
                      </v:roundrect>
                      <v:roundrect id="_x0000_s1026" o:spid="_x0000_s1026" o:spt="2" style="position:absolute;left:2001520;top:2193290;height:314325;width:544195;" fillcolor="#FFFFFF" filled="t" stroked="t" coordsize="21600,21600" arcsize="0.166666666666667" o:gfxdata="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&#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BYAAABkcnMvUEsBAhQAFAAAAAgAh07iQAjeS/XTAAAABQEAAA8AAAAAAAAAAQAgAAAAOAAAAGRy&#10;cy9kb3ducmV2LnhtbFBLAQIUABQAAAAIAIdO4kBT9D5BLQIAAGMEAAAOAAAAAAAAAAEAIAAAADgB&#10;AABkcnMvZTJvRG9jLnhtbFBLBQYAAAAABgAGAFkBAADXBQAAAAA=&#10;">
                        <v:fill on="t" focussize="0,0"/>
                        <v:stroke color="#000000" joinstyle="round"/>
                        <v:imagedata o:title=""/>
                        <o:lock v:ext="edit" aspectratio="f"/>
                        <v:textbox>
                          <w:txbxContent>
                            <w:p>
                              <w:pPr>
                                <w:jc w:val="center"/>
                                <w:rPr>
                                  <w:rFonts w:hint="eastAsia"/>
                                  <w:sz w:val="15"/>
                                  <w:szCs w:val="15"/>
                                </w:rPr>
                              </w:pPr>
                              <w:r>
                                <w:rPr>
                                  <w:rFonts w:hint="eastAsia"/>
                                  <w:sz w:val="15"/>
                                  <w:szCs w:val="15"/>
                                  <w:lang w:eastAsia="zh-CN"/>
                                </w:rPr>
                                <w:t>隔油池</w:t>
                              </w:r>
                            </w:p>
                          </w:txbxContent>
                        </v:textbox>
                      </v:roundrect>
                      <v:roundrect id="_x0000_s1026" o:spid="_x0000_s1026" o:spt="2" style="position:absolute;left:1607820;top:2098040;height:264160;width:410845;" filled="f" stroked="f" coordsize="21600,21600" arcsize="0.166666666666667" o:gfxdata="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BYAAABkcnMvUEsBAhQAFAAAAAgAh07iQOmhBhjV&#10;AAAABQEAAA8AAAAAAAAAAQAgAAAAOAAAAGRycy9kb3ducmV2LnhtbFBLAQIUABQAAAAIAIdO4kCz&#10;ZYis1AEAAIUDAAAOAAAAAAAAAAEAIAAAADoBAABkcnMvZTJvRG9jLnhtbFBLBQYAAAAABgAGAFkB&#10;AACABQAAAAA=&#10;">
                        <v:fill on="f" focussize="0,0"/>
                        <v:stroke on="f"/>
                        <v:imagedata o:title=""/>
                        <o:lock v:ext="edit" aspectratio="f"/>
                        <v:textbox>
                          <w:txbxContent>
                            <w:p>
                              <w:pPr>
                                <w:jc w:val="center"/>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96</w:t>
                              </w:r>
                            </w:p>
                          </w:txbxContent>
                        </v:textbox>
                      </v:roundrect>
                      <v:line id="_x0000_s1026" o:spid="_x0000_s1026" o:spt="20" style="position:absolute;left:2269490;top:1800225;flip:x y;height:393065;width:4445;" filled="f" stroked="t" coordsize="21600,21600" o:gfxdata="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DY67gw1QAAAAUBAAAPAAAAAAAAAAEAIAAAADgAAABkcnMv&#10;ZG93bnJldi54bWxQSwECFAAUAAAACACHTuJAXKSyyCkCAAAzBAAADgAAAAAAAAABACAAAAA6AQAA&#10;ZHJzL2Uyb0RvYy54bWxQSwUGAAAAAAYABgBZAQAA1QUAAAAA&#10;">
                        <v:fill on="f" focussize="0,0"/>
                        <v:stroke color="#000000" joinstyle="round" endarrow="block"/>
                        <v:imagedata o:title=""/>
                        <o:lock v:ext="edit" aspectratio="f"/>
                      </v:line>
                      <v:shape id="曲线连接符 86" o:spid="_x0000_s1026" o:spt="38" type="#_x0000_t38" style="position:absolute;left:1561465;top:2101215;height:99060;width:119380;rotation:-5898240f;" filled="f" stroked="t" coordsize="21600,21600" o:gfxdata="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FgAAAGRycy9QSwECFAAUAAAACACHTuJAC7zg3dYAAAAFAQAADwAAAAAAAAABACAA&#10;AAA4AAAAZHJzL2Rvd25yZXYueG1sUEsBAhQAFAAAAAgAh07iQKgElQQyAgAANQQAAA4AAAAAAAAA&#10;AQAgAAAAOwEAAGRycy9lMm9Eb2MueG1sUEsFBgAAAAAGAAYAWQEAAN8FAAAAAA==&#10;" adj="10800">
                        <v:fill on="f" focussize="0,0"/>
                        <v:stroke color="#000000" joinstyle="round" endarrow="block"/>
                        <v:imagedata o:title=""/>
                        <o:lock v:ext="edit" aspectratio="f"/>
                      </v:shape>
                      <v:line id="_x0000_s1026" o:spid="_x0000_s1026" o:spt="20" style="position:absolute;left:1631315;top:2364105;height:3810;width:354330;" filled="f" stroked="t" coordsize="21600,21600" o:gfxdata="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D+&#10;VFSV1wAAAAUBAAAPAAAAAAAAAAEAIAAAADgAAABkcnMvZG93bnJldi54bWxQSwECFAAUAAAACACH&#10;TuJATptOcw8CAAD4AwAADgAAAAAAAAABACAAAAA8AQAAZHJzL2Uyb0RvYy54bWxQSwUGAAAAAAYA&#10;BgBZAQAAvQUAAAAA&#10;">
                        <v:fill on="f" focussize="0,0"/>
                        <v:stroke color="#000000" joinstyle="round" endarrow="block"/>
                        <v:imagedata o:title=""/>
                        <o:lock v:ext="edit" aspectratio="f"/>
                      </v:line>
                      <v:roundrect id="圆角矩形 87" o:spid="_x0000_s1026" o:spt="2" style="position:absolute;left:3854450;top:913765;height:285750;width:654050;" filled="f" stroked="f" coordsize="21600,21600" arcsize="0.166666666666667" o:gfxdata="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BYAAABkcnMvUEsBAhQAFAAAAAgAh07iQOmhBhjV&#10;AAAABQEAAA8AAAAAAAAAAQAgAAAAOAAAAGRycy9kb3ducmV2LnhtbFBLAQIUABQAAAAIAIdO4kDt&#10;0rL31AEAAIQDAAAOAAAAAAAAAAEAIAAAADoBAABkcnMvZTJvRG9jLnhtbFBLBQYAAAAABgAGAFkB&#10;AACABQAAAAA=&#10;">
                        <v:fill on="f" focussize="0,0"/>
                        <v:stroke on="f"/>
                        <v:imagedata o:title=""/>
                        <o:lock v:ext="edit" aspectratio="f"/>
                        <v:textbox>
                          <w:txbxContent>
                            <w:p>
                              <w:pPr>
                                <w:jc w:val="center"/>
                                <w:rPr>
                                  <w:rFonts w:hint="default" w:eastAsia="宋体"/>
                                  <w:sz w:val="15"/>
                                  <w:szCs w:val="15"/>
                                  <w:lang w:val="en-US" w:eastAsia="zh-CN"/>
                                </w:rPr>
                              </w:pPr>
                              <w:r>
                                <w:rPr>
                                  <w:rFonts w:hint="eastAsia"/>
                                  <w:sz w:val="15"/>
                                  <w:szCs w:val="15"/>
                                  <w:lang w:val="en-US" w:eastAsia="zh-CN"/>
                                </w:rPr>
                                <w:t>6900</w:t>
                              </w:r>
                            </w:p>
                          </w:txbxContent>
                        </v:textbox>
                      </v:roundrect>
                      <v:shape id="曲线连接符 86" o:spid="_x0000_s1026" o:spt="38" type="#_x0000_t38" style="position:absolute;left:2635250;top:304800;height:99060;width:119380;rotation:-5898240f;" filled="f" stroked="t" coordsize="21600,21600" o:gfxdata="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FgAAAGRycy9QSwECFAAUAAAACACHTuJAC7zg3dYAAAAFAQAADwAAAAAAAAABACAAAAA4&#10;AAAAZHJzL2Rvd25yZXYueG1sUEsBAhQAFAAAAAgAh07iQOkl9/cvAgAANQQAAA4AAAAAAAAAAQAg&#10;AAAAOwEAAGRycy9lMm9Eb2MueG1sUEsFBgAAAAAGAAYAWQEAANwFAAAAAA==&#10;" adj="10800">
                        <v:fill on="f" focussize="0,0"/>
                        <v:stroke color="#000000" joinstyle="round" endarrow="block"/>
                        <v:imagedata o:title=""/>
                        <o:lock v:ext="edit" aspectratio="f"/>
                      </v:shape>
                      <v:roundrect id="圆角矩形 88" o:spid="_x0000_s1026" o:spt="2" style="position:absolute;left:2471420;top:33020;height:264160;width:716280;" filled="f" stroked="f" coordsize="21600,21600" arcsize="0.166666666666667" o:gfxdata="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BYAAABkcnMvUEsBAhQAFAAAAAgAh07iQOmhBhjV&#10;AAAABQEAAA8AAAAAAAAAAQAgAAAAOAAAAGRycy9kb3ducmV2LnhtbFBLAQIUABQAAAAIAIdO4kCo&#10;fmqA1AEAAIQDAAAOAAAAAAAAAAEAIAAAADoBAABkcnMvZTJvRG9jLnhtbFBLBQYAAAAABgAGAFkB&#10;AACABQAAAAA=&#10;">
                        <v:fill on="f" focussize="0,0"/>
                        <v:stroke on="f"/>
                        <v:imagedata o:title=""/>
                        <o:lock v:ext="edit" aspectratio="f"/>
                        <v:textbox>
                          <w:txbxContent>
                            <w:p>
                              <w:pPr>
                                <w:jc w:val="center"/>
                                <w:rPr>
                                  <w:rFonts w:hint="default" w:eastAsia="宋体"/>
                                  <w:sz w:val="15"/>
                                  <w:szCs w:val="15"/>
                                  <w:lang w:val="en-US" w:eastAsia="zh-CN"/>
                                </w:rPr>
                              </w:pPr>
                              <w:r>
                                <w:rPr>
                                  <w:rFonts w:hint="eastAsia"/>
                                  <w:sz w:val="15"/>
                                  <w:szCs w:val="15"/>
                                  <w:lang w:val="en-US" w:eastAsia="zh-CN"/>
                                </w:rPr>
                                <w:t>225</w:t>
                              </w:r>
                            </w:p>
                          </w:txbxContent>
                        </v:textbox>
                      </v:roundrect>
                      <v:roundrect id="_x0000_s1026" o:spid="_x0000_s1026" o:spt="2" style="position:absolute;left:389255;top:3471545;height:285750;width:654050;" filled="f" stroked="f" coordsize="21600,21600" arcsize="0.166666666666667" o:gfxdata="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WAAAAZHJzL1BLAQIUABQAAAAIAIdO4kDpoQYY&#10;1QAAAAUBAAAPAAAAAAAAAAEAIAAAADgAAABkcnMvZG93bnJldi54bWxQSwECFAAUAAAACACHTuJA&#10;KgfeQtUBAACEAwAADgAAAAAAAAABACAAAAA6AQAAZHJzL2Uyb0RvYy54bWxQSwUGAAAAAAYABgBZ&#10;AQAAgQUAAAAA&#10;">
                        <v:fill on="f" focussize="0,0"/>
                        <v:stroke on="f"/>
                        <v:imagedata o:title=""/>
                        <o:lock v:ext="edit" aspectratio="f"/>
                        <v:textbox>
                          <w:txbxContent>
                            <w:p>
                              <w:pPr>
                                <w:jc w:val="center"/>
                                <w:rPr>
                                  <w:rFonts w:hint="default" w:eastAsia="宋体"/>
                                  <w:sz w:val="15"/>
                                  <w:szCs w:val="15"/>
                                  <w:lang w:val="en-US" w:eastAsia="zh-CN"/>
                                </w:rPr>
                              </w:pPr>
                              <w:r>
                                <w:rPr>
                                  <w:rFonts w:hint="eastAsia"/>
                                  <w:sz w:val="15"/>
                                  <w:szCs w:val="15"/>
                                  <w:lang w:val="en-US" w:eastAsia="zh-CN"/>
                                </w:rPr>
                                <w:t>4.74</w:t>
                              </w:r>
                            </w:p>
                          </w:txbxContent>
                        </v:textbox>
                      </v:roundrect>
                      <v:line id="_x0000_s1026" o:spid="_x0000_s1026" o:spt="20" style="position:absolute;left:533400;top:3723005;height:1270;width:375920;" filled="f" stroked="t" coordsize="21600,21600" o:gfxdata="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lRU&#10;ldcAAAAFAQAADwAAAAAAAAABACAAAAA4AAAAZHJzL2Rvd25yZXYueG1sUEsBAhQAFAAAAAgAh07i&#10;QHk4xr4NAgAA9wMAAA4AAAAAAAAAAQAgAAAAPAEAAGRycy9lMm9Eb2MueG1sUEsFBgAAAAAGAAYA&#10;WQEAALsFAAAAAA==&#10;">
                        <v:fill on="f" focussize="0,0"/>
                        <v:stroke color="#000000" joinstyle="round" endarrow="block"/>
                        <v:imagedata o:title=""/>
                        <o:lock v:ext="edit" aspectratio="f"/>
                      </v:line>
                      <v:roundrect id="_x0000_s1026" o:spid="_x0000_s1026" o:spt="2" style="position:absolute;left:918210;top:3553460;height:314325;width:739775;" fillcolor="#FFFFFF" filled="t" stroked="t" coordsize="21600,21600" arcsize="0.166666666666667" o:gfxdata="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&#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BYAAABkcnMvUEsBAhQAFAAAAAgAh07iQAjeS/XTAAAABQEAAA8AAAAAAAAAAQAgAAAAOAAAAGRy&#10;cy9kb3ducmV2LnhtbFBLAQIUABQAAAAIAIdO4kA2ICEQLQIAAGIEAAAOAAAAAAAAAAEAIAAAADgB&#10;AABkcnMvZTJvRG9jLnhtbFBLBQYAAAAABgAGAFkBAADXBQAAAAA=&#10;">
                        <v:fill on="t" focussize="0,0"/>
                        <v:stroke color="#000000" joinstyle="round"/>
                        <v:imagedata o:title=""/>
                        <o:lock v:ext="edit" aspectratio="f"/>
                        <v:textbox>
                          <w:txbxContent>
                            <w:p>
                              <w:pPr>
                                <w:jc w:val="center"/>
                                <w:rPr>
                                  <w:rFonts w:hint="eastAsia" w:eastAsia="宋体"/>
                                  <w:sz w:val="15"/>
                                  <w:szCs w:val="15"/>
                                  <w:lang w:eastAsia="zh-CN"/>
                                </w:rPr>
                              </w:pPr>
                              <w:r>
                                <w:rPr>
                                  <w:rFonts w:hint="eastAsia"/>
                                  <w:sz w:val="15"/>
                                  <w:szCs w:val="15"/>
                                  <w:lang w:eastAsia="zh-CN"/>
                                </w:rPr>
                                <w:t>切削液配水</w:t>
                              </w:r>
                            </w:p>
                          </w:txbxContent>
                        </v:textbox>
                      </v:roundrect>
                      <v:roundrect id="_x0000_s1026" o:spid="_x0000_s1026" o:spt="2" style="position:absolute;left:1200785;top:3199130;height:264160;width:716280;" filled="f" stroked="f" coordsize="21600,21600" arcsize="0.166666666666667" o:gfxdata="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WAAAAZHJzL1BLAQIUABQAAAAIAIdO4kDpoQYY&#10;1QAAAAUBAAAPAAAAAAAAAAEAIAAAADgAAABkcnMvZG93bnJldi54bWxQSwECFAAUAAAACACHTuJA&#10;ILODy9UBAACFAwAADgAAAAAAAAABACAAAAA6AQAAZHJzL2Uyb0RvYy54bWxQSwUGAAAAAAYABgBZ&#10;AQAAgQUAAAAA&#10;">
                        <v:fill on="f" focussize="0,0"/>
                        <v:stroke on="f"/>
                        <v:imagedata o:title=""/>
                        <o:lock v:ext="edit" aspectratio="f"/>
                        <v:textbox>
                          <w:txbxContent>
                            <w:p>
                              <w:pPr>
                                <w:jc w:val="center"/>
                                <w:rPr>
                                  <w:rFonts w:hint="default" w:eastAsia="宋体"/>
                                  <w:sz w:val="15"/>
                                  <w:szCs w:val="15"/>
                                  <w:lang w:val="en-US" w:eastAsia="zh-CN"/>
                                </w:rPr>
                              </w:pPr>
                              <w:r>
                                <w:rPr>
                                  <w:rFonts w:hint="eastAsia"/>
                                  <w:sz w:val="15"/>
                                  <w:szCs w:val="15"/>
                                  <w:lang w:val="en-US" w:eastAsia="zh-CN"/>
                                </w:rPr>
                                <w:t>0.948</w:t>
                              </w:r>
                            </w:p>
                          </w:txbxContent>
                        </v:textbox>
                      </v:roundrect>
                      <v:shape id="_x0000_s1026" o:spid="_x0000_s1026" o:spt="38" type="#_x0000_t38" style="position:absolute;left:1408430;top:3436620;height:99060;width:119380;rotation:-5898240f;" filled="f" stroked="t" coordsize="21600,21600" o:gfxdata="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WAAAAZHJzL1BLAQIUABQAAAAIAIdO4kALvODd1gAAAAUBAAAPAAAAAAAAAAEAIAAA&#10;ADgAAABkcnMvZG93bnJldi54bWxQSwECFAAUAAAACACHTuJAc9RbSjECAAA1BAAADgAAAAAAAAAB&#10;ACAAAAA7AQAAZHJzL2Uyb0RvYy54bWxQSwUGAAAAAAYABgBZAQAA3gUAAAAA&#10;" adj="10800">
                        <v:fill on="f" focussize="0,0"/>
                        <v:stroke color="#000000" joinstyle="round" endarrow="block"/>
                        <v:imagedata o:title=""/>
                        <o:lock v:ext="edit" aspectratio="f"/>
                      </v:shape>
                      <v:shape id="_x0000_s1026" o:spid="_x0000_s1026" o:spt="202" type="#_x0000_t202" style="position:absolute;left:756920;top:3183890;height:270510;width:787400;" filled="f" stroked="f" coordsize="21600,21600" o:gfxdata="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BYAAABkcnMvUEsBAhQAFAAA&#10;AAgAh07iQJRPS0vVAAAABQEAAA8AAAAAAAAAAQAgAAAAOAAAAGRycy9kb3ducmV2LnhtbFBLAQIU&#10;ABQAAAAIAIdO4kA+O7Ik4AEAAK4DAAAOAAAAAAAAAAEAIAAAADoBAABkcnMvZTJvRG9jLnhtbFBL&#10;BQYAAAAABgAGAFkBAACMBQAAAAA=&#10;">
                        <v:fill on="f" focussize="0,0"/>
                        <v:stroke on="f"/>
                        <v:imagedata o:title=""/>
                        <o:lock v:ext="edit" aspectratio="f"/>
                        <v:textbox inset="0mm,1mm,0mm,1mm" style="mso-fit-shape-to-text:t;">
                          <w:txbxContent>
                            <w:p>
                              <w:pPr>
                                <w:jc w:val="center"/>
                                <w:rPr>
                                  <w:rFonts w:hint="default" w:eastAsia="宋体"/>
                                  <w:sz w:val="15"/>
                                  <w:szCs w:val="15"/>
                                  <w:lang w:val="en-US" w:eastAsia="zh-CN"/>
                                </w:rPr>
                              </w:pPr>
                              <w:r>
                                <w:rPr>
                                  <w:rFonts w:hint="eastAsia"/>
                                  <w:sz w:val="15"/>
                                  <w:szCs w:val="15"/>
                                  <w:lang w:eastAsia="zh-CN"/>
                                </w:rPr>
                                <w:t>切削液</w:t>
                              </w:r>
                              <w:r>
                                <w:rPr>
                                  <w:rFonts w:hint="eastAsia"/>
                                  <w:sz w:val="15"/>
                                  <w:szCs w:val="15"/>
                                  <w:lang w:val="en-US" w:eastAsia="zh-CN"/>
                                </w:rPr>
                                <w:t>0.237</w:t>
                              </w:r>
                            </w:p>
                          </w:txbxContent>
                        </v:textbox>
                      </v:shape>
                      <v:shape id="_x0000_s1026" o:spid="_x0000_s1026" o:spt="202" type="#_x0000_t202" style="position:absolute;left:2214245;top:3567430;height:270510;width:1031875;" filled="f" stroked="f" coordsize="21600,21600" o:gfxdata="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FgAAAGRycy9QSwECFAAU&#10;AAAACACHTuJAlE9LS9UAAAAFAQAADwAAAAAAAAABACAAAAA4AAAAZHJzL2Rvd25yZXYueG1sUEsB&#10;AhQAFAAAAAgAh07iQKHvKlfiAQAAsAMAAA4AAAAAAAAAAQAgAAAAOgEAAGRycy9lMm9Eb2MueG1s&#10;UEsFBgAAAAAGAAYAWQEAAI4FAAAAAA==&#10;">
                        <v:fill on="f" focussize="0,0"/>
                        <v:stroke on="f"/>
                        <v:imagedata o:title=""/>
                        <o:lock v:ext="edit" aspectratio="f"/>
                        <v:textbox inset="0mm,1mm,0mm,1mm" style="mso-fit-shape-to-text:t;">
                          <w:txbxContent>
                            <w:p>
                              <w:pPr>
                                <w:jc w:val="center"/>
                                <w:rPr>
                                  <w:rFonts w:hint="default" w:eastAsia="宋体"/>
                                  <w:sz w:val="15"/>
                                  <w:szCs w:val="15"/>
                                  <w:lang w:val="en-US" w:eastAsia="zh-CN"/>
                                </w:rPr>
                              </w:pPr>
                              <w:r>
                                <w:rPr>
                                  <w:rFonts w:hint="eastAsia"/>
                                  <w:sz w:val="15"/>
                                  <w:szCs w:val="15"/>
                                  <w:lang w:eastAsia="zh-CN"/>
                                </w:rPr>
                                <w:t>废切削液（作危废）</w:t>
                              </w:r>
                            </w:p>
                          </w:txbxContent>
                        </v:textbox>
                      </v:shape>
                      <v:roundrect id="_x0000_s1026" o:spid="_x0000_s1026" o:spt="2" style="position:absolute;left:1593850;top:3479800;height:264160;width:716280;" filled="f" stroked="f" coordsize="21600,21600" arcsize="0.166666666666667" o:gfxdata="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WAAAAZHJzL1BLAQIUABQAAAAIAIdO4kDpoQYY&#10;1QAAAAUBAAAPAAAAAAAAAAEAIAAAADgAAABkcnMvZG93bnJldi54bWxQSwECFAAUAAAACACHTuJA&#10;OM1TztUBAACFAwAADgAAAAAAAAABACAAAAA6AQAAZHJzL2Uyb0RvYy54bWxQSwUGAAAAAAYABgBZ&#10;AQAAgQUAAAAA&#10;">
                        <v:fill on="f" focussize="0,0"/>
                        <v:stroke on="f"/>
                        <v:imagedata o:title=""/>
                        <o:lock v:ext="edit" aspectratio="f"/>
                        <v:textbox>
                          <w:txbxContent>
                            <w:p>
                              <w:pPr>
                                <w:jc w:val="center"/>
                                <w:rPr>
                                  <w:rFonts w:hint="default" w:eastAsia="宋体"/>
                                  <w:sz w:val="15"/>
                                  <w:szCs w:val="15"/>
                                  <w:lang w:val="en-US" w:eastAsia="zh-CN"/>
                                </w:rPr>
                              </w:pPr>
                              <w:r>
                                <w:rPr>
                                  <w:rFonts w:hint="eastAsia"/>
                                  <w:sz w:val="15"/>
                                  <w:szCs w:val="15"/>
                                  <w:lang w:val="en-US" w:eastAsia="zh-CN"/>
                                </w:rPr>
                                <w:t>4.029</w:t>
                              </w:r>
                            </w:p>
                          </w:txbxContent>
                        </v:textbox>
                      </v:roundrect>
                      <v:line id="_x0000_s1026" o:spid="_x0000_s1026" o:spt="20" style="position:absolute;left:1130935;top:3371215;flip:x;height:179070;width:1905;" filled="f" stroked="t" coordsize="21600,21600" o:gfxdata="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A2PMHG1gAAAAUBAAAPAAAAAAAAAAEAIAAAADgAAABkcnMvZG93bnJldi54bWxQSwECFAAUAAAA&#10;CACHTuJAqiX9JBMCAAACBAAADgAAAAAAAAABACAAAAA7AQAAZHJzL2Uyb0RvYy54bWxQSwUGAAAA&#10;AAYABgBZAQAAwAUAAAAA&#10;">
                        <v:fill on="f" focussize="0,0"/>
                        <v:stroke color="#000000" joinstyle="round" endarrow="block"/>
                        <v:imagedata o:title=""/>
                        <o:lock v:ext="edit" aspectratio="f"/>
                      </v:line>
                      <v:line id="_x0000_s1026" o:spid="_x0000_s1026" o:spt="20" style="position:absolute;left:1661160;top:3713480;flip:y;height:635;width:598805;" filled="f" stroked="t" coordsize="21600,21600" o:gfxdata="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A2PMHG1gAAAAUBAAAPAAAAAAAAAAEAIAAAADgAAABkcnMvZG93bnJldi54bWxQSwECFAAUAAAA&#10;CACHTuJAnBttaRMCAAABBAAADgAAAAAAAAABACAAAAA7AQAAZHJzL2Uyb0RvYy54bWxQSwUGAAAA&#10;AAYABgBZAQAAwAUAAAAA&#10;">
                        <v:fill on="f" focussize="0,0"/>
                        <v:stroke color="#000000" joinstyle="round" endarrow="block"/>
                        <v:imagedata o:title=""/>
                        <o:lock v:ext="edit" aspectratio="f"/>
                      </v:line>
                      <w10:wrap type="none"/>
                      <w10:anchorlock/>
                    </v:group>
                  </w:pict>
                </mc:Fallback>
              </mc:AlternateContent>
            </w:r>
          </w:p>
          <w:p>
            <w:pPr>
              <w:jc w:val="center"/>
              <w:rPr>
                <w:rFonts w:hint="eastAsia"/>
                <w:b/>
                <w:bCs/>
                <w:color w:val="auto"/>
                <w:lang w:val="en-US" w:eastAsia="zh-CN"/>
              </w:rPr>
            </w:pPr>
            <w:r>
              <w:rPr>
                <w:b/>
                <w:bCs/>
                <w:color w:val="auto"/>
              </w:rPr>
              <w:t>图2-</w:t>
            </w:r>
            <w:r>
              <w:rPr>
                <w:rFonts w:hint="eastAsia"/>
                <w:b/>
                <w:bCs/>
                <w:color w:val="auto"/>
                <w:lang w:val="en-US" w:eastAsia="zh-CN"/>
              </w:rPr>
              <w:t>2</w:t>
            </w:r>
            <w:r>
              <w:rPr>
                <w:b/>
                <w:bCs/>
                <w:color w:val="auto"/>
              </w:rPr>
              <w:t xml:space="preserve"> </w:t>
            </w:r>
            <w:r>
              <w:rPr>
                <w:rFonts w:hint="eastAsia"/>
                <w:b/>
                <w:bCs/>
                <w:color w:val="auto"/>
                <w:lang w:eastAsia="zh-CN"/>
              </w:rPr>
              <w:t>改扩建后全厂</w:t>
            </w:r>
            <w:r>
              <w:rPr>
                <w:b/>
                <w:bCs/>
                <w:color w:val="auto"/>
              </w:rPr>
              <w:t>水平衡图    单位：t/</w:t>
            </w:r>
            <w:r>
              <w:rPr>
                <w:rFonts w:hint="eastAsia"/>
                <w:b/>
                <w:bCs/>
                <w:color w:val="auto"/>
                <w:lang w:val="en-US" w:eastAsia="zh-CN"/>
              </w:rPr>
              <w:t>a</w:t>
            </w:r>
          </w:p>
          <w:p>
            <w:pPr>
              <w:rPr>
                <w:rFonts w:hint="eastAsia"/>
                <w:lang w:eastAsia="zh-CN"/>
              </w:rPr>
            </w:pPr>
          </w:p>
          <w:p>
            <w:pPr>
              <w:pStyle w:val="5"/>
              <w:ind w:left="0" w:leftChars="0" w:firstLine="0" w:firstLineChars="0"/>
              <w:rPr>
                <w:rFonts w:hint="eastAsia"/>
                <w:lang w:eastAsia="zh-CN"/>
              </w:rPr>
            </w:pPr>
          </w:p>
          <w:p>
            <w:pPr>
              <w:pStyle w:val="15"/>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71" w:hRule="atLeast"/>
        </w:trPr>
        <w:tc>
          <w:tcPr>
            <w:tcW w:w="838" w:type="dxa"/>
            <w:vAlign w:val="center"/>
          </w:tcPr>
          <w:p>
            <w:pPr>
              <w:spacing w:line="500" w:lineRule="exact"/>
              <w:jc w:val="center"/>
              <w:rPr>
                <w:sz w:val="24"/>
              </w:rPr>
            </w:pPr>
            <w:r>
              <w:rPr>
                <w:sz w:val="24"/>
              </w:rPr>
              <w:t>工</w:t>
            </w:r>
          </w:p>
          <w:p>
            <w:pPr>
              <w:jc w:val="center"/>
              <w:rPr>
                <w:sz w:val="24"/>
              </w:rPr>
            </w:pPr>
            <w:r>
              <w:rPr>
                <w:sz w:val="24"/>
              </w:rPr>
              <w:t>艺</w:t>
            </w:r>
          </w:p>
          <w:p>
            <w:pPr>
              <w:jc w:val="center"/>
              <w:rPr>
                <w:sz w:val="24"/>
              </w:rPr>
            </w:pPr>
            <w:r>
              <w:rPr>
                <w:sz w:val="24"/>
              </w:rPr>
              <w:t>流</w:t>
            </w:r>
          </w:p>
          <w:p>
            <w:pPr>
              <w:jc w:val="center"/>
              <w:rPr>
                <w:sz w:val="24"/>
              </w:rPr>
            </w:pPr>
            <w:r>
              <w:rPr>
                <w:sz w:val="24"/>
              </w:rPr>
              <w:t>程</w:t>
            </w:r>
          </w:p>
          <w:p>
            <w:pPr>
              <w:jc w:val="center"/>
              <w:rPr>
                <w:sz w:val="24"/>
              </w:rPr>
            </w:pPr>
            <w:r>
              <w:rPr>
                <w:sz w:val="24"/>
              </w:rPr>
              <w:t>和</w:t>
            </w:r>
          </w:p>
          <w:p>
            <w:pPr>
              <w:jc w:val="center"/>
              <w:rPr>
                <w:sz w:val="24"/>
              </w:rPr>
            </w:pPr>
            <w:r>
              <w:rPr>
                <w:sz w:val="24"/>
              </w:rPr>
              <w:t>产</w:t>
            </w:r>
          </w:p>
          <w:p>
            <w:pPr>
              <w:jc w:val="center"/>
              <w:rPr>
                <w:sz w:val="24"/>
              </w:rPr>
            </w:pPr>
            <w:r>
              <w:rPr>
                <w:sz w:val="24"/>
              </w:rPr>
              <w:t>排</w:t>
            </w:r>
          </w:p>
          <w:p>
            <w:pPr>
              <w:jc w:val="center"/>
              <w:rPr>
                <w:sz w:val="24"/>
              </w:rPr>
            </w:pPr>
            <w:r>
              <w:rPr>
                <w:sz w:val="24"/>
              </w:rPr>
              <w:t>污</w:t>
            </w:r>
          </w:p>
          <w:p>
            <w:pPr>
              <w:jc w:val="center"/>
              <w:rPr>
                <w:sz w:val="24"/>
              </w:rPr>
            </w:pPr>
            <w:r>
              <w:rPr>
                <w:sz w:val="24"/>
              </w:rPr>
              <w:t>环</w:t>
            </w:r>
          </w:p>
          <w:p>
            <w:pPr>
              <w:jc w:val="center"/>
              <w:rPr>
                <w:sz w:val="24"/>
              </w:rPr>
            </w:pPr>
            <w:r>
              <w:rPr>
                <w:sz w:val="24"/>
              </w:rPr>
              <w:t>节</w:t>
            </w:r>
          </w:p>
          <w:p>
            <w:pPr>
              <w:pStyle w:val="4"/>
              <w:jc w:val="center"/>
              <w:outlineLvl w:val="2"/>
              <w:rPr>
                <w:rFonts w:ascii="Times New Roman" w:hAnsi="Times New Roman"/>
                <w:sz w:val="24"/>
                <w:szCs w:val="24"/>
              </w:rPr>
            </w:pPr>
          </w:p>
          <w:p>
            <w:pPr>
              <w:jc w:val="center"/>
              <w:rPr>
                <w:sz w:val="24"/>
              </w:rPr>
            </w:pPr>
          </w:p>
          <w:p>
            <w:pPr>
              <w:pStyle w:val="4"/>
              <w:jc w:val="center"/>
              <w:outlineLvl w:val="2"/>
              <w:rPr>
                <w:rFonts w:ascii="Times New Roman" w:hAnsi="Times New Roman"/>
                <w:sz w:val="24"/>
                <w:szCs w:val="24"/>
              </w:rPr>
            </w:pPr>
          </w:p>
          <w:p>
            <w:pPr>
              <w:jc w:val="center"/>
              <w:rPr>
                <w:sz w:val="24"/>
              </w:rPr>
            </w:pPr>
          </w:p>
        </w:tc>
        <w:tc>
          <w:tcPr>
            <w:tcW w:w="8189" w:type="dxa"/>
            <w:gridSpan w:val="2"/>
          </w:tcPr>
          <w:p>
            <w:pPr>
              <w:numPr>
                <w:ilvl w:val="0"/>
                <w:numId w:val="11"/>
              </w:numPr>
              <w:adjustRightInd w:val="0"/>
              <w:snapToGrid w:val="0"/>
              <w:spacing w:line="500" w:lineRule="exact"/>
              <w:ind w:firstLine="422"/>
              <w:rPr>
                <w:rFonts w:hint="eastAsia"/>
                <w:b/>
                <w:color w:val="FF0000"/>
                <w:szCs w:val="21"/>
                <w:lang w:eastAsia="zh-CN"/>
              </w:rPr>
            </w:pPr>
            <w:r>
              <w:rPr>
                <w:rFonts w:hint="eastAsia" w:ascii="Times New Roman" w:hAnsi="Times New Roman" w:eastAsia="宋体" w:cs="Times New Roman"/>
                <w:b/>
                <w:color w:val="auto"/>
                <w:szCs w:val="21"/>
                <w:lang w:eastAsia="zh-CN"/>
              </w:rPr>
              <w:t>轴类</w:t>
            </w:r>
            <w:r>
              <w:rPr>
                <w:rFonts w:hint="eastAsia" w:cs="Times New Roman"/>
                <w:b/>
                <w:color w:val="auto"/>
                <w:szCs w:val="21"/>
                <w:lang w:eastAsia="zh-CN"/>
              </w:rPr>
              <w:t>、</w:t>
            </w:r>
            <w:r>
              <w:rPr>
                <w:rFonts w:hint="eastAsia" w:ascii="Times New Roman" w:hAnsi="Times New Roman" w:eastAsia="宋体" w:cs="Times New Roman"/>
                <w:b/>
                <w:bCs/>
                <w:lang w:eastAsia="zh-CN"/>
              </w:rPr>
              <w:t>模块类</w:t>
            </w:r>
            <w:r>
              <w:rPr>
                <w:rFonts w:hint="eastAsia" w:ascii="Times New Roman" w:hAnsi="Times New Roman" w:eastAsia="宋体" w:cs="Times New Roman"/>
                <w:b/>
                <w:color w:val="auto"/>
                <w:szCs w:val="21"/>
                <w:lang w:eastAsia="zh-CN"/>
              </w:rPr>
              <w:t>锻件</w:t>
            </w:r>
            <w:r>
              <w:rPr>
                <w:rFonts w:hint="eastAsia"/>
                <w:b/>
                <w:color w:val="auto"/>
                <w:szCs w:val="21"/>
              </w:rPr>
              <w:t>工艺流程及产污环节</w:t>
            </w:r>
          </w:p>
          <w:p>
            <w:pPr>
              <w:pStyle w:val="7"/>
              <w:keepNext w:val="0"/>
              <w:keepLines w:val="0"/>
              <w:pageBreakBefore w:val="0"/>
              <w:widowControl w:val="0"/>
              <w:kinsoku/>
              <w:wordWrap/>
              <w:overflowPunct/>
              <w:topLinePunct w:val="0"/>
              <w:autoSpaceDE/>
              <w:autoSpaceDN/>
              <w:bidi w:val="0"/>
              <w:adjustRightInd/>
              <w:snapToGrid/>
              <w:spacing w:after="0" w:line="500" w:lineRule="exact"/>
              <w:ind w:firstLine="420" w:firstLineChars="200"/>
              <w:jc w:val="left"/>
              <w:textAlignment w:val="auto"/>
              <w:rPr>
                <w:rFonts w:hint="eastAsia" w:ascii="Times New Roman" w:hAnsi="Times New Roman" w:eastAsia="宋体"/>
                <w:color w:val="FF0000"/>
                <w:lang w:eastAsia="zh-CN"/>
              </w:rPr>
            </w:pPr>
            <w:r>
              <w:rPr>
                <w:rFonts w:hint="eastAsia" w:ascii="Times New Roman" w:hAnsi="Times New Roman" w:eastAsia="宋体" w:cs="Times New Roman"/>
                <w:color w:val="auto"/>
                <w:kern w:val="2"/>
                <w:sz w:val="21"/>
                <w:szCs w:val="24"/>
                <w:lang w:val="en-US" w:eastAsia="zh-CN" w:bidi="ar-SA"/>
              </w:rPr>
              <w:t>轴类锻件主要是新增了4500t压机</w:t>
            </w:r>
            <w:r>
              <w:rPr>
                <w:rFonts w:hint="eastAsia" w:ascii="Times New Roman" w:hAnsi="Times New Roman" w:cs="Times New Roman"/>
                <w:color w:val="auto"/>
                <w:kern w:val="2"/>
                <w:sz w:val="21"/>
                <w:szCs w:val="24"/>
                <w:lang w:val="en-US" w:eastAsia="zh-CN" w:bidi="ar-SA"/>
              </w:rPr>
              <w:t>（液压机）</w:t>
            </w:r>
            <w:r>
              <w:rPr>
                <w:rFonts w:hint="eastAsia" w:ascii="Times New Roman" w:hAnsi="Times New Roman" w:eastAsia="宋体" w:cs="Times New Roman"/>
                <w:color w:val="auto"/>
                <w:kern w:val="2"/>
                <w:sz w:val="21"/>
                <w:szCs w:val="24"/>
                <w:lang w:val="en-US" w:eastAsia="zh-CN" w:bidi="ar-SA"/>
              </w:rPr>
              <w:t>，而模块类锻件则主要是新增了8000t压机</w:t>
            </w:r>
            <w:r>
              <w:rPr>
                <w:rFonts w:hint="eastAsia" w:ascii="Times New Roman" w:hAnsi="Times New Roman" w:cs="Times New Roman"/>
                <w:color w:val="auto"/>
                <w:kern w:val="2"/>
                <w:sz w:val="21"/>
                <w:szCs w:val="24"/>
                <w:lang w:val="en-US" w:eastAsia="zh-CN" w:bidi="ar-SA"/>
              </w:rPr>
              <w:t>（液压机）</w:t>
            </w:r>
            <w:r>
              <w:rPr>
                <w:rFonts w:hint="eastAsia"/>
                <w:color w:val="auto"/>
                <w:lang w:eastAsia="zh-CN"/>
              </w:rPr>
              <w:t>，</w:t>
            </w:r>
            <w:r>
              <w:rPr>
                <w:rFonts w:hint="eastAsia" w:ascii="Times New Roman" w:hAnsi="Times New Roman" w:eastAsia="宋体" w:cs="Times New Roman"/>
                <w:color w:val="auto"/>
                <w:kern w:val="2"/>
                <w:sz w:val="21"/>
                <w:szCs w:val="24"/>
                <w:lang w:val="en-US" w:eastAsia="zh-CN" w:bidi="ar-SA"/>
              </w:rPr>
              <w:t>轴类锻件与模块类锻件工艺流程一致，锻压方式不一样</w:t>
            </w:r>
            <w:r>
              <w:rPr>
                <w:rFonts w:hint="eastAsia" w:ascii="Times New Roman" w:hAnsi="Times New Roman" w:cs="Times New Roman"/>
                <w:color w:val="auto"/>
                <w:kern w:val="2"/>
                <w:sz w:val="21"/>
                <w:szCs w:val="24"/>
                <w:lang w:val="en-US" w:eastAsia="zh-CN" w:bidi="ar-SA"/>
              </w:rPr>
              <w:t>，</w:t>
            </w:r>
            <w:r>
              <w:rPr>
                <w:rFonts w:hint="eastAsia" w:ascii="Times New Roman" w:hAnsi="Times New Roman" w:eastAsia="宋体" w:cs="Times New Roman"/>
                <w:color w:val="auto"/>
                <w:kern w:val="2"/>
                <w:sz w:val="21"/>
                <w:szCs w:val="24"/>
                <w:lang w:val="en-US" w:eastAsia="zh-CN" w:bidi="ar-SA"/>
              </w:rPr>
              <w:t>已在锻压工序说明。</w:t>
            </w:r>
          </w:p>
          <w:p>
            <w:pPr>
              <w:jc w:val="center"/>
              <w:rPr>
                <w:b/>
                <w:bCs/>
              </w:rPr>
            </w:pPr>
            <w:r>
              <w:rPr>
                <w:sz w:val="24"/>
              </w:rPr>
              <mc:AlternateContent>
                <mc:Choice Requires="wpc">
                  <w:drawing>
                    <wp:anchor distT="0" distB="0" distL="114300" distR="114300" simplePos="0" relativeHeight="251660288" behindDoc="0" locked="0" layoutInCell="1" allowOverlap="1">
                      <wp:simplePos x="0" y="0"/>
                      <wp:positionH relativeFrom="column">
                        <wp:posOffset>-32385</wp:posOffset>
                      </wp:positionH>
                      <wp:positionV relativeFrom="paragraph">
                        <wp:posOffset>20320</wp:posOffset>
                      </wp:positionV>
                      <wp:extent cx="5139055" cy="3322320"/>
                      <wp:effectExtent l="0" t="0" r="0" b="0"/>
                      <wp:wrapTopAndBottom/>
                      <wp:docPr id="6" name="画布 6"/>
                      <wp:cNvGraphicFramePr/>
                      <a:graphic xmlns:a="http://schemas.openxmlformats.org/drawingml/2006/main">
                        <a:graphicData uri="http://schemas.microsoft.com/office/word/2010/wordprocessingCanvas">
                          <wpc:wpc>
                            <wpc:bg/>
                            <wpc:whole/>
                            <wps:wsp>
                              <wps:cNvPr id="65" name="矩形 7"/>
                              <wps:cNvSpPr/>
                              <wps:spPr>
                                <a:xfrm>
                                  <a:off x="2260600" y="814070"/>
                                  <a:ext cx="723265" cy="358140"/>
                                </a:xfrm>
                                <a:prstGeom prst="rect">
                                  <a:avLst/>
                                </a:prstGeom>
                                <a:ln w="6350">
                                  <a:solidFill>
                                    <a:schemeClr val="tx1"/>
                                  </a:solidFill>
                                </a:ln>
                              </wps:spPr>
                              <wps:style>
                                <a:lnRef idx="3">
                                  <a:schemeClr val="accent1"/>
                                </a:lnRef>
                                <a:fillRef idx="0">
                                  <a:srgbClr val="FFFFFF"/>
                                </a:fillRef>
                                <a:effectRef idx="0">
                                  <a:srgbClr val="FFFFFF"/>
                                </a:effectRef>
                                <a:fontRef idx="minor">
                                  <a:schemeClr val="tx1"/>
                                </a:fontRef>
                              </wps:style>
                              <wps:txbx>
                                <w:txbxContent>
                                  <w:p>
                                    <w:pPr>
                                      <w:jc w:val="center"/>
                                      <w:rPr>
                                        <w:rFonts w:hint="eastAsia" w:eastAsia="宋体"/>
                                        <w:lang w:eastAsia="zh-CN"/>
                                      </w:rPr>
                                    </w:pPr>
                                    <w:r>
                                      <w:rPr>
                                        <w:rFonts w:hint="eastAsia"/>
                                        <w:lang w:eastAsia="zh-CN"/>
                                      </w:rPr>
                                      <w:t>锻压</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6" name="矩形 12"/>
                              <wps:cNvSpPr/>
                              <wps:spPr>
                                <a:xfrm>
                                  <a:off x="2260600" y="1454785"/>
                                  <a:ext cx="723265" cy="358140"/>
                                </a:xfrm>
                                <a:prstGeom prst="rect">
                                  <a:avLst/>
                                </a:prstGeom>
                                <a:ln w="6350">
                                  <a:solidFill>
                                    <a:schemeClr val="tx1"/>
                                  </a:solidFill>
                                </a:ln>
                              </wps:spPr>
                              <wps:style>
                                <a:lnRef idx="3">
                                  <a:schemeClr val="accent1"/>
                                </a:lnRef>
                                <a:fillRef idx="0">
                                  <a:srgbClr val="FFFFFF"/>
                                </a:fillRef>
                                <a:effectRef idx="0">
                                  <a:srgbClr val="FFFFFF"/>
                                </a:effectRef>
                                <a:fontRef idx="minor">
                                  <a:schemeClr val="tx1"/>
                                </a:fontRef>
                              </wps:style>
                              <wps:txbx>
                                <w:txbxContent>
                                  <w:p>
                                    <w:pPr>
                                      <w:jc w:val="center"/>
                                      <w:rPr>
                                        <w:rFonts w:hint="eastAsia" w:eastAsia="宋体"/>
                                        <w:lang w:eastAsia="zh-CN"/>
                                      </w:rPr>
                                    </w:pPr>
                                    <w:r>
                                      <w:rPr>
                                        <w:rFonts w:hint="eastAsia"/>
                                        <w:lang w:eastAsia="zh-CN"/>
                                      </w:rPr>
                                      <w:t>热处理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7" name="矩形 13"/>
                              <wps:cNvSpPr/>
                              <wps:spPr>
                                <a:xfrm>
                                  <a:off x="2260600" y="2091055"/>
                                  <a:ext cx="723265" cy="358140"/>
                                </a:xfrm>
                                <a:prstGeom prst="rect">
                                  <a:avLst/>
                                </a:prstGeom>
                                <a:ln w="6350">
                                  <a:solidFill>
                                    <a:schemeClr val="tx1"/>
                                  </a:solidFill>
                                </a:ln>
                              </wps:spPr>
                              <wps:style>
                                <a:lnRef idx="3">
                                  <a:schemeClr val="accent1"/>
                                </a:lnRef>
                                <a:fillRef idx="0">
                                  <a:srgbClr val="FFFFFF"/>
                                </a:fillRef>
                                <a:effectRef idx="0">
                                  <a:srgbClr val="FFFFFF"/>
                                </a:effectRef>
                                <a:fontRef idx="minor">
                                  <a:schemeClr val="tx1"/>
                                </a:fontRef>
                              </wps:style>
                              <wps:txbx>
                                <w:txbxContent>
                                  <w:p>
                                    <w:pPr>
                                      <w:jc w:val="center"/>
                                      <w:rPr>
                                        <w:rFonts w:hint="eastAsia" w:eastAsia="宋体"/>
                                        <w:lang w:eastAsia="zh-CN"/>
                                      </w:rPr>
                                    </w:pPr>
                                    <w:r>
                                      <w:rPr>
                                        <w:rFonts w:hint="eastAsia"/>
                                        <w:lang w:eastAsia="zh-CN"/>
                                      </w:rPr>
                                      <w:t>金属加工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8" name="矩形 14"/>
                              <wps:cNvSpPr/>
                              <wps:spPr>
                                <a:xfrm>
                                  <a:off x="2260600" y="201930"/>
                                  <a:ext cx="723265" cy="358140"/>
                                </a:xfrm>
                                <a:prstGeom prst="rect">
                                  <a:avLst/>
                                </a:prstGeom>
                                <a:ln w="6350">
                                  <a:noFill/>
                                </a:ln>
                              </wps:spPr>
                              <wps:style>
                                <a:lnRef idx="3">
                                  <a:schemeClr val="accent1"/>
                                </a:lnRef>
                                <a:fillRef idx="0">
                                  <a:srgbClr val="FFFFFF"/>
                                </a:fillRef>
                                <a:effectRef idx="0">
                                  <a:srgbClr val="FFFFFF"/>
                                </a:effectRef>
                                <a:fontRef idx="minor">
                                  <a:schemeClr val="tx1"/>
                                </a:fontRef>
                              </wps:style>
                              <wps:txbx>
                                <w:txbxContent>
                                  <w:p>
                                    <w:pPr>
                                      <w:jc w:val="center"/>
                                      <w:rPr>
                                        <w:rFonts w:hint="eastAsia" w:eastAsia="宋体"/>
                                        <w:lang w:eastAsia="zh-CN"/>
                                      </w:rPr>
                                    </w:pPr>
                                    <w:r>
                                      <w:rPr>
                                        <w:rFonts w:hint="eastAsia" w:eastAsia="宋体"/>
                                        <w:lang w:eastAsia="zh-CN"/>
                                      </w:rPr>
                                      <w:t>钢锭</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9" name="直接箭头连接符 15"/>
                              <wps:cNvCnPr>
                                <a:stCxn id="14" idx="2"/>
                                <a:endCxn id="7" idx="0"/>
                              </wps:cNvCnPr>
                              <wps:spPr>
                                <a:xfrm>
                                  <a:off x="2622550" y="560070"/>
                                  <a:ext cx="0" cy="25400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70" name="直接箭头连接符 16"/>
                              <wps:cNvCnPr>
                                <a:stCxn id="7" idx="2"/>
                                <a:endCxn id="12" idx="0"/>
                              </wps:cNvCnPr>
                              <wps:spPr>
                                <a:xfrm>
                                  <a:off x="2622550" y="1172210"/>
                                  <a:ext cx="0" cy="28257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71" name="直接箭头连接符 17"/>
                              <wps:cNvCnPr>
                                <a:stCxn id="12" idx="2"/>
                                <a:endCxn id="13" idx="0"/>
                              </wps:cNvCnPr>
                              <wps:spPr>
                                <a:xfrm>
                                  <a:off x="2622550" y="1812925"/>
                                  <a:ext cx="0" cy="27813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73" name="矩形 18"/>
                              <wps:cNvSpPr/>
                              <wps:spPr>
                                <a:xfrm>
                                  <a:off x="2260600" y="2757805"/>
                                  <a:ext cx="723265" cy="358140"/>
                                </a:xfrm>
                                <a:prstGeom prst="rect">
                                  <a:avLst/>
                                </a:prstGeom>
                                <a:ln w="6350">
                                  <a:noFill/>
                                </a:ln>
                              </wps:spPr>
                              <wps:style>
                                <a:lnRef idx="3">
                                  <a:schemeClr val="accent1"/>
                                </a:lnRef>
                                <a:fillRef idx="0">
                                  <a:srgbClr val="FFFFFF"/>
                                </a:fillRef>
                                <a:effectRef idx="0">
                                  <a:srgbClr val="FFFFFF"/>
                                </a:effectRef>
                                <a:fontRef idx="minor">
                                  <a:schemeClr val="tx1"/>
                                </a:fontRef>
                              </wps:style>
                              <wps:txbx>
                                <w:txbxContent>
                                  <w:p>
                                    <w:pPr>
                                      <w:jc w:val="center"/>
                                      <w:rPr>
                                        <w:rFonts w:hint="eastAsia" w:eastAsia="宋体"/>
                                        <w:lang w:eastAsia="zh-CN"/>
                                      </w:rPr>
                                    </w:pPr>
                                    <w:r>
                                      <w:rPr>
                                        <w:rFonts w:hint="eastAsia" w:eastAsia="宋体"/>
                                        <w:lang w:eastAsia="zh-CN"/>
                                      </w:rPr>
                                      <w:t>入库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4" name="直接箭头连接符 19"/>
                              <wps:cNvCnPr>
                                <a:stCxn id="13" idx="2"/>
                                <a:endCxn id="18" idx="0"/>
                              </wps:cNvCnPr>
                              <wps:spPr>
                                <a:xfrm>
                                  <a:off x="2622550" y="2449195"/>
                                  <a:ext cx="0" cy="30861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75" name="矩形 20"/>
                              <wps:cNvSpPr/>
                              <wps:spPr>
                                <a:xfrm>
                                  <a:off x="3422650" y="1872615"/>
                                  <a:ext cx="1351280" cy="1449705"/>
                                </a:xfrm>
                                <a:prstGeom prst="rect">
                                  <a:avLst/>
                                </a:prstGeom>
                                <a:ln w="6350">
                                  <a:noFill/>
                                </a:ln>
                              </wps:spPr>
                              <wps:style>
                                <a:lnRef idx="3">
                                  <a:schemeClr val="accent1"/>
                                </a:lnRef>
                                <a:fillRef idx="0">
                                  <a:srgbClr val="FFFFFF"/>
                                </a:fillRef>
                                <a:effectRef idx="0">
                                  <a:srgbClr val="FFFFFF"/>
                                </a:effectRef>
                                <a:fontRef idx="minor">
                                  <a:schemeClr val="tx1"/>
                                </a:fontRef>
                              </wps:style>
                              <wps:txbx>
                                <w:txbxContent>
                                  <w:p>
                                    <w:pPr>
                                      <w:jc w:val="both"/>
                                      <w:rPr>
                                        <w:rFonts w:hint="default"/>
                                        <w:color w:val="auto"/>
                                        <w:lang w:val="en-US" w:eastAsia="zh-CN"/>
                                      </w:rPr>
                                    </w:pPr>
                                    <w:r>
                                      <w:rPr>
                                        <w:rFonts w:hint="eastAsia"/>
                                        <w:color w:val="auto"/>
                                        <w:lang w:val="en-US" w:eastAsia="zh-CN"/>
                                      </w:rPr>
                                      <w:t>G1-3</w:t>
                                    </w:r>
                                    <w:r>
                                      <w:rPr>
                                        <w:rFonts w:hint="eastAsia" w:ascii="Times New Roman" w:eastAsia="宋体" w:cs="Times New Roman"/>
                                        <w:b w:val="0"/>
                                        <w:bCs/>
                                        <w:color w:val="auto"/>
                                        <w:kern w:val="2"/>
                                        <w:sz w:val="21"/>
                                        <w:szCs w:val="21"/>
                                        <w:lang w:eastAsia="zh-CN"/>
                                      </w:rPr>
                                      <w:t>下料</w:t>
                                    </w:r>
                                    <w:r>
                                      <w:rPr>
                                        <w:rFonts w:hint="eastAsia" w:ascii="Times New Roman" w:hAnsi="Times New Roman" w:eastAsia="宋体" w:cs="Times New Roman"/>
                                        <w:b w:val="0"/>
                                        <w:bCs w:val="0"/>
                                        <w:color w:val="auto"/>
                                        <w:kern w:val="2"/>
                                        <w:sz w:val="21"/>
                                        <w:szCs w:val="24"/>
                                        <w:lang w:val="en-US" w:eastAsia="zh-CN" w:bidi="ar-SA"/>
                                      </w:rPr>
                                      <w:t>切割粉尘</w:t>
                                    </w:r>
                                    <w:r>
                                      <w:rPr>
                                        <w:rFonts w:hint="eastAsia"/>
                                        <w:color w:val="auto"/>
                                        <w:lang w:val="en-US" w:eastAsia="zh-CN"/>
                                      </w:rPr>
                                      <w:t>、</w:t>
                                    </w:r>
                                  </w:p>
                                  <w:p>
                                    <w:pPr>
                                      <w:jc w:val="center"/>
                                      <w:rPr>
                                        <w:rFonts w:hint="eastAsia" w:eastAsia="宋体"/>
                                        <w:color w:val="auto"/>
                                        <w:lang w:val="en-US" w:eastAsia="zh-CN"/>
                                      </w:rPr>
                                    </w:pPr>
                                    <w:r>
                                      <w:rPr>
                                        <w:rFonts w:hint="eastAsia"/>
                                        <w:color w:val="auto"/>
                                        <w:lang w:val="en-US" w:eastAsia="zh-CN"/>
                                      </w:rPr>
                                      <w:t>G1-4</w:t>
                                    </w:r>
                                    <w:r>
                                      <w:rPr>
                                        <w:rFonts w:hint="eastAsia"/>
                                        <w:bCs/>
                                        <w:color w:val="auto"/>
                                        <w:szCs w:val="21"/>
                                        <w:lang w:eastAsia="zh-CN"/>
                                      </w:rPr>
                                      <w:t>打磨</w:t>
                                    </w:r>
                                    <w:r>
                                      <w:rPr>
                                        <w:rFonts w:hint="eastAsia"/>
                                        <w:bCs/>
                                        <w:color w:val="auto"/>
                                        <w:szCs w:val="21"/>
                                      </w:rPr>
                                      <w:t>粉尘</w:t>
                                    </w:r>
                                    <w:r>
                                      <w:rPr>
                                        <w:rFonts w:hint="eastAsia"/>
                                        <w:bCs/>
                                        <w:color w:val="auto"/>
                                        <w:szCs w:val="21"/>
                                        <w:lang w:eastAsia="zh-CN"/>
                                      </w:rPr>
                                      <w:t>、</w:t>
                                    </w:r>
                                  </w:p>
                                  <w:p>
                                    <w:pPr>
                                      <w:jc w:val="center"/>
                                      <w:rPr>
                                        <w:rFonts w:hint="default"/>
                                        <w:color w:val="auto"/>
                                        <w:lang w:val="en-US" w:eastAsia="zh-CN"/>
                                      </w:rPr>
                                    </w:pPr>
                                    <w:r>
                                      <w:rPr>
                                        <w:rFonts w:hint="eastAsia"/>
                                        <w:color w:val="auto"/>
                                        <w:lang w:val="en-US" w:eastAsia="zh-CN"/>
                                      </w:rPr>
                                      <w:t>G1-5机加工废气、</w:t>
                                    </w:r>
                                  </w:p>
                                  <w:p>
                                    <w:pPr>
                                      <w:jc w:val="center"/>
                                      <w:rPr>
                                        <w:rFonts w:hint="eastAsia"/>
                                        <w:color w:val="auto"/>
                                        <w:lang w:val="en-US" w:eastAsia="zh-CN"/>
                                      </w:rPr>
                                    </w:pPr>
                                    <w:r>
                                      <w:rPr>
                                        <w:rFonts w:hint="eastAsia"/>
                                        <w:color w:val="auto"/>
                                        <w:lang w:val="en-US" w:eastAsia="zh-CN"/>
                                      </w:rPr>
                                      <w:t>S1-5废</w:t>
                                    </w:r>
                                    <w:r>
                                      <w:rPr>
                                        <w:rFonts w:hint="eastAsia"/>
                                        <w:color w:val="auto"/>
                                        <w:vertAlign w:val="baseline"/>
                                        <w:lang w:eastAsia="zh-CN"/>
                                      </w:rPr>
                                      <w:t>金属屑</w:t>
                                    </w:r>
                                    <w:r>
                                      <w:rPr>
                                        <w:rFonts w:hint="eastAsia"/>
                                        <w:color w:val="auto"/>
                                        <w:lang w:val="en-US" w:eastAsia="zh-CN"/>
                                      </w:rPr>
                                      <w:t>、</w:t>
                                    </w:r>
                                  </w:p>
                                  <w:p>
                                    <w:pPr>
                                      <w:jc w:val="center"/>
                                      <w:rPr>
                                        <w:rFonts w:hint="eastAsia" w:ascii="Times New Roman" w:hAnsi="Times New Roman" w:eastAsia="宋体"/>
                                        <w:bCs/>
                                        <w:color w:val="auto"/>
                                        <w:spacing w:val="0"/>
                                        <w:kern w:val="0"/>
                                        <w:szCs w:val="24"/>
                                        <w:lang w:eastAsia="zh-CN"/>
                                      </w:rPr>
                                    </w:pPr>
                                    <w:r>
                                      <w:rPr>
                                        <w:rFonts w:hint="eastAsia"/>
                                        <w:color w:val="auto"/>
                                        <w:lang w:val="en-US" w:eastAsia="zh-CN"/>
                                      </w:rPr>
                                      <w:t>S1-6</w:t>
                                    </w:r>
                                    <w:r>
                                      <w:rPr>
                                        <w:rFonts w:hint="eastAsia" w:ascii="Times New Roman" w:hAnsi="Times New Roman" w:eastAsia="宋体"/>
                                        <w:bCs/>
                                        <w:color w:val="auto"/>
                                        <w:spacing w:val="0"/>
                                        <w:kern w:val="0"/>
                                        <w:szCs w:val="24"/>
                                      </w:rPr>
                                      <w:t>废切削液</w:t>
                                    </w:r>
                                    <w:r>
                                      <w:rPr>
                                        <w:rFonts w:hint="eastAsia" w:ascii="Times New Roman" w:hAnsi="Times New Roman" w:eastAsia="宋体"/>
                                        <w:bCs/>
                                        <w:color w:val="auto"/>
                                        <w:spacing w:val="0"/>
                                        <w:kern w:val="0"/>
                                        <w:szCs w:val="24"/>
                                        <w:lang w:eastAsia="zh-CN"/>
                                      </w:rPr>
                                      <w:t>、</w:t>
                                    </w:r>
                                  </w:p>
                                  <w:p>
                                    <w:pPr>
                                      <w:jc w:val="center"/>
                                      <w:rPr>
                                        <w:rFonts w:hint="eastAsia" w:ascii="Times New Roman" w:hAnsi="Times New Roman" w:eastAsia="宋体"/>
                                        <w:bCs/>
                                        <w:color w:val="auto"/>
                                        <w:spacing w:val="0"/>
                                        <w:kern w:val="0"/>
                                        <w:szCs w:val="24"/>
                                        <w:lang w:eastAsia="zh-CN"/>
                                      </w:rPr>
                                    </w:pPr>
                                    <w:r>
                                      <w:rPr>
                                        <w:rFonts w:hint="eastAsia"/>
                                        <w:color w:val="auto"/>
                                        <w:lang w:val="en-US" w:eastAsia="zh-CN"/>
                                      </w:rPr>
                                      <w:t>S1-7</w:t>
                                    </w:r>
                                    <w:r>
                                      <w:rPr>
                                        <w:rFonts w:hint="eastAsia" w:ascii="Times New Roman" w:hAnsi="Times New Roman" w:eastAsia="宋体"/>
                                        <w:bCs/>
                                        <w:color w:val="auto"/>
                                        <w:spacing w:val="0"/>
                                        <w:kern w:val="0"/>
                                        <w:szCs w:val="24"/>
                                        <w:lang w:eastAsia="zh-CN"/>
                                      </w:rPr>
                                      <w:t>废润滑油、</w:t>
                                    </w:r>
                                  </w:p>
                                  <w:p>
                                    <w:pPr>
                                      <w:jc w:val="center"/>
                                      <w:rPr>
                                        <w:rFonts w:hint="default"/>
                                        <w:color w:val="auto"/>
                                        <w:lang w:val="en-US" w:eastAsia="zh-CN"/>
                                      </w:rPr>
                                    </w:pPr>
                                    <w:r>
                                      <w:rPr>
                                        <w:rFonts w:hint="eastAsia"/>
                                        <w:color w:val="auto"/>
                                        <w:lang w:val="en-US" w:eastAsia="zh-CN"/>
                                      </w:rPr>
                                      <w:t>S1-8</w:t>
                                    </w:r>
                                    <w:r>
                                      <w:rPr>
                                        <w:rFonts w:hint="eastAsia" w:ascii="Times New Roman" w:hAnsi="Times New Roman" w:eastAsia="宋体"/>
                                        <w:bCs/>
                                        <w:color w:val="auto"/>
                                        <w:spacing w:val="0"/>
                                        <w:kern w:val="0"/>
                                        <w:szCs w:val="24"/>
                                        <w:lang w:eastAsia="zh-CN"/>
                                      </w:rPr>
                                      <w:t>废乳化液、</w:t>
                                    </w:r>
                                    <w:r>
                                      <w:rPr>
                                        <w:rFonts w:hint="eastAsia" w:ascii="Times New Roman" w:hAnsi="Times New Roman" w:eastAsia="宋体"/>
                                        <w:bCs/>
                                        <w:color w:val="auto"/>
                                        <w:spacing w:val="0"/>
                                        <w:kern w:val="0"/>
                                        <w:szCs w:val="24"/>
                                        <w:lang w:val="en-US" w:eastAsia="zh-CN"/>
                                      </w:rPr>
                                      <w:t>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3" name="直接箭头连接符 16"/>
                              <wps:cNvCnPr>
                                <a:stCxn id="67" idx="3"/>
                              </wps:cNvCnPr>
                              <wps:spPr>
                                <a:xfrm flipV="1">
                                  <a:off x="2983865" y="2266315"/>
                                  <a:ext cx="401320" cy="381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 name="矩形 20"/>
                              <wps:cNvSpPr/>
                              <wps:spPr>
                                <a:xfrm>
                                  <a:off x="3399155" y="1254125"/>
                                  <a:ext cx="1303655" cy="711200"/>
                                </a:xfrm>
                                <a:prstGeom prst="rect">
                                  <a:avLst/>
                                </a:prstGeom>
                                <a:ln w="6350">
                                  <a:noFill/>
                                </a:ln>
                              </wps:spPr>
                              <wps:style>
                                <a:lnRef idx="3">
                                  <a:schemeClr val="accent1"/>
                                </a:lnRef>
                                <a:fillRef idx="0">
                                  <a:srgbClr val="FFFFFF"/>
                                </a:fillRef>
                                <a:effectRef idx="0">
                                  <a:srgbClr val="FFFFFF"/>
                                </a:effectRef>
                                <a:fontRef idx="minor">
                                  <a:schemeClr val="tx1"/>
                                </a:fontRef>
                              </wps:style>
                              <wps:txbx>
                                <w:txbxContent>
                                  <w:p>
                                    <w:pPr>
                                      <w:jc w:val="center"/>
                                      <w:rPr>
                                        <w:rFonts w:hint="eastAsia"/>
                                        <w:lang w:eastAsia="zh-CN"/>
                                      </w:rPr>
                                    </w:pPr>
                                    <w:r>
                                      <w:rPr>
                                        <w:rFonts w:hint="eastAsia"/>
                                        <w:lang w:val="en-US" w:eastAsia="zh-CN"/>
                                      </w:rPr>
                                      <w:t>G1-2</w:t>
                                    </w:r>
                                    <w:r>
                                      <w:rPr>
                                        <w:rFonts w:hint="eastAsia"/>
                                        <w:lang w:eastAsia="zh-CN"/>
                                      </w:rPr>
                                      <w:t>燃烧废气、</w:t>
                                    </w:r>
                                  </w:p>
                                  <w:p>
                                    <w:pPr>
                                      <w:jc w:val="center"/>
                                      <w:rPr>
                                        <w:rFonts w:hint="eastAsia"/>
                                        <w:lang w:val="en-US" w:eastAsia="zh-CN"/>
                                      </w:rPr>
                                    </w:pPr>
                                    <w:r>
                                      <w:rPr>
                                        <w:rFonts w:hint="eastAsia"/>
                                        <w:lang w:val="en-US" w:eastAsia="zh-CN"/>
                                      </w:rPr>
                                      <w:t>W1-1冷却水</w:t>
                                    </w:r>
                                    <w:r>
                                      <w:rPr>
                                        <w:rFonts w:hint="eastAsia"/>
                                        <w:lang w:eastAsia="zh-CN"/>
                                      </w:rPr>
                                      <w:t>、</w:t>
                                    </w:r>
                                  </w:p>
                                  <w:p>
                                    <w:pPr>
                                      <w:jc w:val="center"/>
                                      <w:rPr>
                                        <w:rFonts w:hint="default"/>
                                        <w:lang w:val="en-US" w:eastAsia="zh-CN"/>
                                      </w:rPr>
                                    </w:pPr>
                                    <w:r>
                                      <w:rPr>
                                        <w:rFonts w:hint="eastAsia"/>
                                        <w:color w:val="auto"/>
                                        <w:lang w:val="en-US" w:eastAsia="zh-CN"/>
                                      </w:rPr>
                                      <w:t>S1-4沉渣</w:t>
                                    </w:r>
                                    <w:r>
                                      <w:rPr>
                                        <w:rFonts w:hint="eastAsia"/>
                                        <w:color w:val="auto"/>
                                        <w:lang w:eastAsia="zh-CN"/>
                                      </w:rPr>
                                      <w:t>、</w:t>
                                    </w:r>
                                    <w:r>
                                      <w:rPr>
                                        <w:rFonts w:hint="eastAsia"/>
                                        <w:lang w:val="en-US" w:eastAsia="zh-CN"/>
                                      </w:rPr>
                                      <w:t>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 name="直接箭头连接符 16"/>
                              <wps:cNvCnPr/>
                              <wps:spPr>
                                <a:xfrm flipV="1">
                                  <a:off x="2975610" y="1642110"/>
                                  <a:ext cx="401320" cy="381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3" name="矩形 20"/>
                              <wps:cNvSpPr/>
                              <wps:spPr>
                                <a:xfrm>
                                  <a:off x="3405505" y="447675"/>
                                  <a:ext cx="1280795" cy="857250"/>
                                </a:xfrm>
                                <a:prstGeom prst="rect">
                                  <a:avLst/>
                                </a:prstGeom>
                                <a:ln w="6350">
                                  <a:noFill/>
                                </a:ln>
                              </wps:spPr>
                              <wps:style>
                                <a:lnRef idx="3">
                                  <a:schemeClr val="accent1"/>
                                </a:lnRef>
                                <a:fillRef idx="0">
                                  <a:srgbClr val="FFFFFF"/>
                                </a:fillRef>
                                <a:effectRef idx="0">
                                  <a:srgbClr val="FFFFFF"/>
                                </a:effectRef>
                                <a:fontRef idx="minor">
                                  <a:schemeClr val="tx1"/>
                                </a:fontRef>
                              </wps:style>
                              <wps:txbx>
                                <w:txbxContent>
                                  <w:p>
                                    <w:pPr>
                                      <w:jc w:val="center"/>
                                      <w:rPr>
                                        <w:rFonts w:hint="default"/>
                                        <w:lang w:val="en-US" w:eastAsia="zh-CN"/>
                                      </w:rPr>
                                    </w:pPr>
                                    <w:r>
                                      <w:rPr>
                                        <w:rFonts w:hint="eastAsia"/>
                                        <w:lang w:val="en-US" w:eastAsia="zh-CN"/>
                                      </w:rPr>
                                      <w:t>G1-1</w:t>
                                    </w:r>
                                    <w:r>
                                      <w:rPr>
                                        <w:rFonts w:hint="eastAsia"/>
                                        <w:lang w:eastAsia="zh-CN"/>
                                      </w:rPr>
                                      <w:t>燃烧废气、</w:t>
                                    </w:r>
                                    <w:r>
                                      <w:rPr>
                                        <w:rFonts w:hint="eastAsia"/>
                                        <w:color w:val="auto"/>
                                        <w:lang w:val="en-US" w:eastAsia="zh-CN"/>
                                      </w:rPr>
                                      <w:t>S1-1废氧化皮、S1-2废边角料、</w:t>
                                    </w:r>
                                    <w:r>
                                      <w:rPr>
                                        <w:rFonts w:hint="eastAsia" w:ascii="Times New Roman" w:hAnsi="Times New Roman" w:eastAsia="宋体" w:cs="Times New Roman"/>
                                        <w:b w:val="0"/>
                                        <w:bCs w:val="0"/>
                                        <w:color w:val="auto"/>
                                        <w:lang w:val="en-US" w:eastAsia="zh-CN"/>
                                      </w:rPr>
                                      <w:t>S1-3废液压油</w:t>
                                    </w:r>
                                    <w:r>
                                      <w:rPr>
                                        <w:rFonts w:hint="eastAsia"/>
                                        <w:color w:val="auto"/>
                                        <w:lang w:val="en-US" w:eastAsia="zh-CN"/>
                                      </w:rPr>
                                      <w:t>、</w:t>
                                    </w:r>
                                    <w:r>
                                      <w:rPr>
                                        <w:rFonts w:hint="eastAsia"/>
                                        <w:lang w:val="en-US" w:eastAsia="zh-CN"/>
                                      </w:rPr>
                                      <w:t>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 name="直接箭头连接符 16"/>
                              <wps:cNvCnPr/>
                              <wps:spPr>
                                <a:xfrm flipV="1">
                                  <a:off x="2990850" y="991870"/>
                                  <a:ext cx="401320" cy="381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c:wpc>
                        </a:graphicData>
                      </a:graphic>
                    </wp:anchor>
                  </w:drawing>
                </mc:Choice>
                <mc:Fallback>
                  <w:pict>
                    <v:group id="_x0000_s1026" o:spid="_x0000_s1026" o:spt="203" style="position:absolute;left:0pt;margin-left:-2.55pt;margin-top:1.6pt;height:261.6pt;width:404.65pt;mso-wrap-distance-bottom:0pt;mso-wrap-distance-top:0pt;z-index:251660288;mso-width-relative:page;mso-height-relative:page;" coordsize="5139055,3322320" editas="canvas" o:gfxdata="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">
                      <o:lock v:ext="edit" aspectratio="f"/>
                      <v:shape id="_x0000_s1026" o:spid="_x0000_s1026" style="position:absolute;left:0;top:0;height:3322320;width:5139055;" filled="f" stroked="f" coordsize="21600,21600" o:gfxdata="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&#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">
                        <v:fill on="f" focussize="0,0"/>
                        <v:stroke on="f"/>
                        <v:imagedata o:title=""/>
                        <o:lock v:ext="edit" aspectratio="f"/>
                      </v:shape>
                      <v:rect id="矩形 7" o:spid="_x0000_s1026" o:spt="1" style="position:absolute;left:2260600;top:814070;height:358140;width:723265;v-text-anchor:middle;" filled="f" stroked="t" coordsize="21600,21600" o:gfxdata="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FgAAAGRycy9QSwECFAAUAAAACACHTuJAxOTrdtcAAAAIAQAA&#10;DwAAAAAAAAABACAAAAA4AAAAZHJzL2Rvd25yZXYueG1sUEsBAhQAFAAAAAgAh07iQHm6JKB2AgAA&#10;4AQAAA4AAAAAAAAAAQAgAAAAPAEAAGRycy9lMm9Eb2MueG1sUEsFBgAAAAAGAAYAWQEAACQGAAAA&#10;AA==&#10;">
                        <v:fill on="f" focussize="0,0"/>
                        <v:stroke weight="0.5pt" color="#000000 [3213]" miterlimit="8" joinstyle="miter"/>
                        <v:imagedata o:title=""/>
                        <o:lock v:ext="edit" aspectratio="f"/>
                        <v:textbox>
                          <w:txbxContent>
                            <w:p>
                              <w:pPr>
                                <w:jc w:val="center"/>
                                <w:rPr>
                                  <w:rFonts w:hint="eastAsia" w:eastAsia="宋体"/>
                                  <w:lang w:eastAsia="zh-CN"/>
                                </w:rPr>
                              </w:pPr>
                              <w:r>
                                <w:rPr>
                                  <w:rFonts w:hint="eastAsia"/>
                                  <w:lang w:eastAsia="zh-CN"/>
                                </w:rPr>
                                <w:t>锻压</w:t>
                              </w:r>
                            </w:p>
                          </w:txbxContent>
                        </v:textbox>
                      </v:rect>
                      <v:rect id="矩形 12" o:spid="_x0000_s1026" o:spt="1" style="position:absolute;left:2260600;top:1454785;height:358140;width:723265;v-text-anchor:middle;" filled="f" stroked="t" coordsize="21600,21600" o:gfxdata="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BYAAABkcnMvUEsBAhQAFAAAAAgAh07iQMTk63bX&#10;AAAACAEAAA8AAAAAAAAAAQAgAAAAOAAAAGRycy9kb3ducmV2LnhtbFBLAQIUABQAAAAIAIdO4kAb&#10;D9QNfQIAAOIEAAAOAAAAAAAAAAEAIAAAADwBAABkcnMvZTJvRG9jLnhtbFBLBQYAAAAABgAGAFkB&#10;AAArBgAAAAA=&#10;">
                        <v:fill on="f" focussize="0,0"/>
                        <v:stroke weight="0.5pt" color="#000000 [3213]" miterlimit="8" joinstyle="miter"/>
                        <v:imagedata o:title=""/>
                        <o:lock v:ext="edit" aspectratio="f"/>
                        <v:textbox>
                          <w:txbxContent>
                            <w:p>
                              <w:pPr>
                                <w:jc w:val="center"/>
                                <w:rPr>
                                  <w:rFonts w:hint="eastAsia" w:eastAsia="宋体"/>
                                  <w:lang w:eastAsia="zh-CN"/>
                                </w:rPr>
                              </w:pPr>
                              <w:r>
                                <w:rPr>
                                  <w:rFonts w:hint="eastAsia"/>
                                  <w:lang w:eastAsia="zh-CN"/>
                                </w:rPr>
                                <w:t>热处理</w:t>
                              </w:r>
                            </w:p>
                          </w:txbxContent>
                        </v:textbox>
                      </v:rect>
                      <v:rect id="矩形 13" o:spid="_x0000_s1026" o:spt="1" style="position:absolute;left:2260600;top:2091055;height:358140;width:723265;v-text-anchor:middle;" filled="f" stroked="t" coordsize="21600,21600" o:gfxdata="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FgAAAGRycy9QSwECFAAUAAAACACHTuJAxOTrdtcA&#10;AAAIAQAADwAAAAAAAAABACAAAAA4AAAAZHJzL2Rvd25yZXYueG1sUEsBAhQAFAAAAAgAh07iQLud&#10;/Ed8AgAA4gQAAA4AAAAAAAAAAQAgAAAAPAEAAGRycy9lMm9Eb2MueG1sUEsFBgAAAAAGAAYAWQEA&#10;ACoGAAAAAA==&#10;">
                        <v:fill on="f" focussize="0,0"/>
                        <v:stroke weight="0.5pt" color="#000000 [3213]" miterlimit="8" joinstyle="miter"/>
                        <v:imagedata o:title=""/>
                        <o:lock v:ext="edit" aspectratio="f"/>
                        <v:textbox>
                          <w:txbxContent>
                            <w:p>
                              <w:pPr>
                                <w:jc w:val="center"/>
                                <w:rPr>
                                  <w:rFonts w:hint="eastAsia" w:eastAsia="宋体"/>
                                  <w:lang w:eastAsia="zh-CN"/>
                                </w:rPr>
                              </w:pPr>
                              <w:r>
                                <w:rPr>
                                  <w:rFonts w:hint="eastAsia"/>
                                  <w:lang w:eastAsia="zh-CN"/>
                                </w:rPr>
                                <w:t>金属加工</w:t>
                              </w:r>
                            </w:p>
                          </w:txbxContent>
                        </v:textbox>
                      </v:rect>
                      <v:rect id="矩形 14" o:spid="_x0000_s1026" o:spt="1" style="position:absolute;left:2260600;top:201930;height:358140;width:723265;v-text-anchor:middle;" filled="f" stroked="f" coordsize="21600,21600" o:gfxdata="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BYAAABkcnMvUEsBAhQAFAAAAAgAh07iQC6mBD/aAAAACAEAAA8AAAAAAAAA&#10;AQAgAAAAOAAAAGRycy9kb3ducmV2LnhtbFBLAQIUABQAAAAIAIdO4kBBeH7LawIAALgEAAAOAAAA&#10;AAAAAAEAIAAAAD8BAABkcnMvZTJvRG9jLnhtbFBLBQYAAAAABgAGAFkBAAAcBgAAAAA=&#10;">
                        <v:fill on="f" focussize="0,0"/>
                        <v:stroke on="f" weight="0.5pt" miterlimit="8" joinstyle="miter"/>
                        <v:imagedata o:title=""/>
                        <o:lock v:ext="edit" aspectratio="f"/>
                        <v:textbox>
                          <w:txbxContent>
                            <w:p>
                              <w:pPr>
                                <w:jc w:val="center"/>
                                <w:rPr>
                                  <w:rFonts w:hint="eastAsia" w:eastAsia="宋体"/>
                                  <w:lang w:eastAsia="zh-CN"/>
                                </w:rPr>
                              </w:pPr>
                              <w:r>
                                <w:rPr>
                                  <w:rFonts w:hint="eastAsia" w:eastAsia="宋体"/>
                                  <w:lang w:eastAsia="zh-CN"/>
                                </w:rPr>
                                <w:t>钢锭</w:t>
                              </w:r>
                            </w:p>
                          </w:txbxContent>
                        </v:textbox>
                      </v:rect>
                      <v:shape id="直接箭头连接符 15" o:spid="_x0000_s1026" o:spt="32" type="#_x0000_t32" style="position:absolute;left:2622550;top:560070;height:254000;width:0;" filled="f" stroked="t" coordsize="21600,21600" o:gfxdata="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tv25tNcAAAAIAQAADwAAAAAAAAABACAAAAA4AAAA&#10;ZHJzL2Rvd25yZXYueG1sUEsBAhQAFAAAAAgAh07iQJRkX3MrAgAALAQAAA4AAAAAAAAAAQAgAAAA&#10;PAEAAGRycy9lMm9Eb2MueG1sUEsFBgAAAAAGAAYAWQEAANkFAAAAAA==&#10;">
                        <v:fill on="f" focussize="0,0"/>
                        <v:stroke weight="1pt" color="#000000 [3213]" miterlimit="8" joinstyle="miter" endarrow="open"/>
                        <v:imagedata o:title=""/>
                        <o:lock v:ext="edit" aspectratio="f"/>
                      </v:shape>
                      <v:shape id="直接箭头连接符 16" o:spid="_x0000_s1026" o:spt="32" type="#_x0000_t32" style="position:absolute;left:2622550;top:1172210;height:282575;width:0;" filled="f" stroked="t" coordsize="21600,21600" o:gfxdata="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C2/bm01wAAAAgBAAAPAAAAAAAAAAEAIAAAADgAAABkcnMv&#10;ZG93bnJldi54bWxQSwECFAAUAAAACACHTuJAd/BfgCcCAAAtBAAADgAAAAAAAAABACAAAAA8AQAA&#10;ZHJzL2Uyb0RvYy54bWxQSwUGAAAAAAYABgBZAQAA1QUAAAAA&#10;">
                        <v:fill on="f" focussize="0,0"/>
                        <v:stroke weight="1pt" color="#000000 [3213]" miterlimit="8" joinstyle="miter" endarrow="open"/>
                        <v:imagedata o:title=""/>
                        <o:lock v:ext="edit" aspectratio="f"/>
                      </v:shape>
                      <v:shape id="直接箭头连接符 17" o:spid="_x0000_s1026" o:spt="32" type="#_x0000_t32" style="position:absolute;left:2622550;top:1812925;height:278130;width:0;" filled="f" stroked="t" coordsize="21600,21600" o:gfxdata="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C2/bm01wAAAAgBAAAPAAAAAAAAAAEAIAAAADgAAABk&#10;cnMvZG93bnJldi54bWxQSwECFAAUAAAACACHTuJAP3+uCioCAAAuBAAADgAAAAAAAAABACAAAAA8&#10;AQAAZHJzL2Uyb0RvYy54bWxQSwUGAAAAAAYABgBZAQAA2AUAAAAA&#10;">
                        <v:fill on="f" focussize="0,0"/>
                        <v:stroke weight="1pt" color="#000000 [3213]" miterlimit="8" joinstyle="miter" endarrow="open"/>
                        <v:imagedata o:title=""/>
                        <o:lock v:ext="edit" aspectratio="f"/>
                      </v:shape>
                      <v:rect id="矩形 18" o:spid="_x0000_s1026" o:spt="1" style="position:absolute;left:2260600;top:2757805;height:358140;width:723265;v-text-anchor:middle;" filled="f" stroked="f" coordsize="21600,21600" o:gfxdata="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BYAAABkcnMvUEsBAhQAFAAAAAgAh07iQC6mBD/aAAAACAEAAA8AAAAA&#10;AAAAAQAgAAAAOAAAAGRycy9kb3ducmV2LnhtbFBLAQIUABQAAAAIAIdO4kDAz3jfbgIAALkEAAAO&#10;AAAAAAAAAAEAIAAAAD8BAABkcnMvZTJvRG9jLnhtbFBLBQYAAAAABgAGAFkBAAAfBgAAAAA=&#10;">
                        <v:fill on="f" focussize="0,0"/>
                        <v:stroke on="f" weight="0.5pt" miterlimit="8" joinstyle="miter"/>
                        <v:imagedata o:title=""/>
                        <o:lock v:ext="edit" aspectratio="f"/>
                        <v:textbox>
                          <w:txbxContent>
                            <w:p>
                              <w:pPr>
                                <w:jc w:val="center"/>
                                <w:rPr>
                                  <w:rFonts w:hint="eastAsia" w:eastAsia="宋体"/>
                                  <w:lang w:eastAsia="zh-CN"/>
                                </w:rPr>
                              </w:pPr>
                              <w:r>
                                <w:rPr>
                                  <w:rFonts w:hint="eastAsia" w:eastAsia="宋体"/>
                                  <w:lang w:eastAsia="zh-CN"/>
                                </w:rPr>
                                <w:t>入库</w:t>
                              </w:r>
                            </w:p>
                          </w:txbxContent>
                        </v:textbox>
                      </v:rect>
                      <v:shape id="直接箭头连接符 19" o:spid="_x0000_s1026" o:spt="32" type="#_x0000_t32" style="position:absolute;left:2622550;top:2449195;height:308610;width:0;" filled="f" stroked="t" coordsize="21600,21600" o:gfxdata="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BYAAABkcnMvUEsBAhQAFAAAAAgAh07iQLb9ubTXAAAACAEAAA8AAAAAAAAAAQAgAAAAOAAA&#10;AGRycy9kb3ducmV2LnhtbFBLAQIUABQAAAAIAIdO4kBtzQMhLAIAAC4EAAAOAAAAAAAAAAEAIAAA&#10;ADwBAABkcnMvZTJvRG9jLnhtbFBLBQYAAAAABgAGAFkBAADaBQAAAAA=&#10;">
                        <v:fill on="f" focussize="0,0"/>
                        <v:stroke weight="1pt" color="#000000 [3213]" miterlimit="8" joinstyle="miter" endarrow="open"/>
                        <v:imagedata o:title=""/>
                        <o:lock v:ext="edit" aspectratio="f"/>
                      </v:shape>
                      <v:rect id="矩形 20" o:spid="_x0000_s1026" o:spt="1" style="position:absolute;left:3422650;top:1872615;height:1449705;width:1351280;v-text-anchor:middle;" filled="f" stroked="f" coordsize="21600,21600" o:gfxdata="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WAAAAZHJzL1BLAQIUABQAAAAIAIdO4kAupgQ/2gAAAAgBAAAPAAAAAAAA&#10;AAEAIAAAADgAAABkcnMvZG93bnJldi54bWxQSwECFAAUAAAACACHTuJAryAErWwCAAC7BAAADgAA&#10;AAAAAAABACAAAAA/AQAAZHJzL2Uyb0RvYy54bWxQSwUGAAAAAAYABgBZAQAAHQYAAAAA&#10;">
                        <v:fill on="f" focussize="0,0"/>
                        <v:stroke on="f" weight="0.5pt" miterlimit="8" joinstyle="miter"/>
                        <v:imagedata o:title=""/>
                        <o:lock v:ext="edit" aspectratio="f"/>
                        <v:textbox>
                          <w:txbxContent>
                            <w:p>
                              <w:pPr>
                                <w:jc w:val="both"/>
                                <w:rPr>
                                  <w:rFonts w:hint="default"/>
                                  <w:color w:val="auto"/>
                                  <w:lang w:val="en-US" w:eastAsia="zh-CN"/>
                                </w:rPr>
                              </w:pPr>
                              <w:r>
                                <w:rPr>
                                  <w:rFonts w:hint="eastAsia"/>
                                  <w:color w:val="auto"/>
                                  <w:lang w:val="en-US" w:eastAsia="zh-CN"/>
                                </w:rPr>
                                <w:t>G1-3</w:t>
                              </w:r>
                              <w:r>
                                <w:rPr>
                                  <w:rFonts w:hint="eastAsia" w:ascii="Times New Roman" w:eastAsia="宋体" w:cs="Times New Roman"/>
                                  <w:b w:val="0"/>
                                  <w:bCs/>
                                  <w:color w:val="auto"/>
                                  <w:kern w:val="2"/>
                                  <w:sz w:val="21"/>
                                  <w:szCs w:val="21"/>
                                  <w:lang w:eastAsia="zh-CN"/>
                                </w:rPr>
                                <w:t>下料</w:t>
                              </w:r>
                              <w:r>
                                <w:rPr>
                                  <w:rFonts w:hint="eastAsia" w:ascii="Times New Roman" w:hAnsi="Times New Roman" w:eastAsia="宋体" w:cs="Times New Roman"/>
                                  <w:b w:val="0"/>
                                  <w:bCs w:val="0"/>
                                  <w:color w:val="auto"/>
                                  <w:kern w:val="2"/>
                                  <w:sz w:val="21"/>
                                  <w:szCs w:val="24"/>
                                  <w:lang w:val="en-US" w:eastAsia="zh-CN" w:bidi="ar-SA"/>
                                </w:rPr>
                                <w:t>切割粉尘</w:t>
                              </w:r>
                              <w:r>
                                <w:rPr>
                                  <w:rFonts w:hint="eastAsia"/>
                                  <w:color w:val="auto"/>
                                  <w:lang w:val="en-US" w:eastAsia="zh-CN"/>
                                </w:rPr>
                                <w:t>、</w:t>
                              </w:r>
                            </w:p>
                            <w:p>
                              <w:pPr>
                                <w:jc w:val="center"/>
                                <w:rPr>
                                  <w:rFonts w:hint="eastAsia" w:eastAsia="宋体"/>
                                  <w:color w:val="auto"/>
                                  <w:lang w:val="en-US" w:eastAsia="zh-CN"/>
                                </w:rPr>
                              </w:pPr>
                              <w:r>
                                <w:rPr>
                                  <w:rFonts w:hint="eastAsia"/>
                                  <w:color w:val="auto"/>
                                  <w:lang w:val="en-US" w:eastAsia="zh-CN"/>
                                </w:rPr>
                                <w:t>G1-4</w:t>
                              </w:r>
                              <w:r>
                                <w:rPr>
                                  <w:rFonts w:hint="eastAsia"/>
                                  <w:bCs/>
                                  <w:color w:val="auto"/>
                                  <w:szCs w:val="21"/>
                                  <w:lang w:eastAsia="zh-CN"/>
                                </w:rPr>
                                <w:t>打磨</w:t>
                              </w:r>
                              <w:r>
                                <w:rPr>
                                  <w:rFonts w:hint="eastAsia"/>
                                  <w:bCs/>
                                  <w:color w:val="auto"/>
                                  <w:szCs w:val="21"/>
                                </w:rPr>
                                <w:t>粉尘</w:t>
                              </w:r>
                              <w:r>
                                <w:rPr>
                                  <w:rFonts w:hint="eastAsia"/>
                                  <w:bCs/>
                                  <w:color w:val="auto"/>
                                  <w:szCs w:val="21"/>
                                  <w:lang w:eastAsia="zh-CN"/>
                                </w:rPr>
                                <w:t>、</w:t>
                              </w:r>
                            </w:p>
                            <w:p>
                              <w:pPr>
                                <w:jc w:val="center"/>
                                <w:rPr>
                                  <w:rFonts w:hint="default"/>
                                  <w:color w:val="auto"/>
                                  <w:lang w:val="en-US" w:eastAsia="zh-CN"/>
                                </w:rPr>
                              </w:pPr>
                              <w:r>
                                <w:rPr>
                                  <w:rFonts w:hint="eastAsia"/>
                                  <w:color w:val="auto"/>
                                  <w:lang w:val="en-US" w:eastAsia="zh-CN"/>
                                </w:rPr>
                                <w:t>G1-5机加工废气、</w:t>
                              </w:r>
                            </w:p>
                            <w:p>
                              <w:pPr>
                                <w:jc w:val="center"/>
                                <w:rPr>
                                  <w:rFonts w:hint="eastAsia"/>
                                  <w:color w:val="auto"/>
                                  <w:lang w:val="en-US" w:eastAsia="zh-CN"/>
                                </w:rPr>
                              </w:pPr>
                              <w:r>
                                <w:rPr>
                                  <w:rFonts w:hint="eastAsia"/>
                                  <w:color w:val="auto"/>
                                  <w:lang w:val="en-US" w:eastAsia="zh-CN"/>
                                </w:rPr>
                                <w:t>S1-5废</w:t>
                              </w:r>
                              <w:r>
                                <w:rPr>
                                  <w:rFonts w:hint="eastAsia"/>
                                  <w:color w:val="auto"/>
                                  <w:vertAlign w:val="baseline"/>
                                  <w:lang w:eastAsia="zh-CN"/>
                                </w:rPr>
                                <w:t>金属屑</w:t>
                              </w:r>
                              <w:r>
                                <w:rPr>
                                  <w:rFonts w:hint="eastAsia"/>
                                  <w:color w:val="auto"/>
                                  <w:lang w:val="en-US" w:eastAsia="zh-CN"/>
                                </w:rPr>
                                <w:t>、</w:t>
                              </w:r>
                            </w:p>
                            <w:p>
                              <w:pPr>
                                <w:jc w:val="center"/>
                                <w:rPr>
                                  <w:rFonts w:hint="eastAsia" w:ascii="Times New Roman" w:hAnsi="Times New Roman" w:eastAsia="宋体"/>
                                  <w:bCs/>
                                  <w:color w:val="auto"/>
                                  <w:spacing w:val="0"/>
                                  <w:kern w:val="0"/>
                                  <w:szCs w:val="24"/>
                                  <w:lang w:eastAsia="zh-CN"/>
                                </w:rPr>
                              </w:pPr>
                              <w:r>
                                <w:rPr>
                                  <w:rFonts w:hint="eastAsia"/>
                                  <w:color w:val="auto"/>
                                  <w:lang w:val="en-US" w:eastAsia="zh-CN"/>
                                </w:rPr>
                                <w:t>S1-6</w:t>
                              </w:r>
                              <w:r>
                                <w:rPr>
                                  <w:rFonts w:hint="eastAsia" w:ascii="Times New Roman" w:hAnsi="Times New Roman" w:eastAsia="宋体"/>
                                  <w:bCs/>
                                  <w:color w:val="auto"/>
                                  <w:spacing w:val="0"/>
                                  <w:kern w:val="0"/>
                                  <w:szCs w:val="24"/>
                                </w:rPr>
                                <w:t>废切削液</w:t>
                              </w:r>
                              <w:r>
                                <w:rPr>
                                  <w:rFonts w:hint="eastAsia" w:ascii="Times New Roman" w:hAnsi="Times New Roman" w:eastAsia="宋体"/>
                                  <w:bCs/>
                                  <w:color w:val="auto"/>
                                  <w:spacing w:val="0"/>
                                  <w:kern w:val="0"/>
                                  <w:szCs w:val="24"/>
                                  <w:lang w:eastAsia="zh-CN"/>
                                </w:rPr>
                                <w:t>、</w:t>
                              </w:r>
                            </w:p>
                            <w:p>
                              <w:pPr>
                                <w:jc w:val="center"/>
                                <w:rPr>
                                  <w:rFonts w:hint="eastAsia" w:ascii="Times New Roman" w:hAnsi="Times New Roman" w:eastAsia="宋体"/>
                                  <w:bCs/>
                                  <w:color w:val="auto"/>
                                  <w:spacing w:val="0"/>
                                  <w:kern w:val="0"/>
                                  <w:szCs w:val="24"/>
                                  <w:lang w:eastAsia="zh-CN"/>
                                </w:rPr>
                              </w:pPr>
                              <w:r>
                                <w:rPr>
                                  <w:rFonts w:hint="eastAsia"/>
                                  <w:color w:val="auto"/>
                                  <w:lang w:val="en-US" w:eastAsia="zh-CN"/>
                                </w:rPr>
                                <w:t>S1-7</w:t>
                              </w:r>
                              <w:r>
                                <w:rPr>
                                  <w:rFonts w:hint="eastAsia" w:ascii="Times New Roman" w:hAnsi="Times New Roman" w:eastAsia="宋体"/>
                                  <w:bCs/>
                                  <w:color w:val="auto"/>
                                  <w:spacing w:val="0"/>
                                  <w:kern w:val="0"/>
                                  <w:szCs w:val="24"/>
                                  <w:lang w:eastAsia="zh-CN"/>
                                </w:rPr>
                                <w:t>废润滑油、</w:t>
                              </w:r>
                            </w:p>
                            <w:p>
                              <w:pPr>
                                <w:jc w:val="center"/>
                                <w:rPr>
                                  <w:rFonts w:hint="default"/>
                                  <w:color w:val="auto"/>
                                  <w:lang w:val="en-US" w:eastAsia="zh-CN"/>
                                </w:rPr>
                              </w:pPr>
                              <w:r>
                                <w:rPr>
                                  <w:rFonts w:hint="eastAsia"/>
                                  <w:color w:val="auto"/>
                                  <w:lang w:val="en-US" w:eastAsia="zh-CN"/>
                                </w:rPr>
                                <w:t>S1-8</w:t>
                              </w:r>
                              <w:r>
                                <w:rPr>
                                  <w:rFonts w:hint="eastAsia" w:ascii="Times New Roman" w:hAnsi="Times New Roman" w:eastAsia="宋体"/>
                                  <w:bCs/>
                                  <w:color w:val="auto"/>
                                  <w:spacing w:val="0"/>
                                  <w:kern w:val="0"/>
                                  <w:szCs w:val="24"/>
                                  <w:lang w:eastAsia="zh-CN"/>
                                </w:rPr>
                                <w:t>废乳化液、</w:t>
                              </w:r>
                              <w:r>
                                <w:rPr>
                                  <w:rFonts w:hint="eastAsia" w:ascii="Times New Roman" w:hAnsi="Times New Roman" w:eastAsia="宋体"/>
                                  <w:bCs/>
                                  <w:color w:val="auto"/>
                                  <w:spacing w:val="0"/>
                                  <w:kern w:val="0"/>
                                  <w:szCs w:val="24"/>
                                  <w:lang w:val="en-US" w:eastAsia="zh-CN"/>
                                </w:rPr>
                                <w:t>N</w:t>
                              </w:r>
                            </w:p>
                          </w:txbxContent>
                        </v:textbox>
                      </v:rect>
                      <v:shape id="直接箭头连接符 16" o:spid="_x0000_s1026" o:spt="32" type="#_x0000_t32" style="position:absolute;left:2983865;top:2266315;flip:y;height:3810;width:401320;" filled="f" stroked="t" coordsize="21600,21600" o:gfxdata="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WAAAAZHJzL1BLAQIUABQAAAAIAIdO4kDom2cp2gAAAAgBAAAPAAAAAAAAAAEAIAAA&#10;ADgAAABkcnMvZG93bnJldi54bWxQSwECFAAUAAAACACHTuJAZMnWEC0CAAAgBAAADgAAAAAAAAAB&#10;ACAAAAA/AQAAZHJzL2Uyb0RvYy54bWxQSwUGAAAAAAYABgBZAQAA3gUAAAAA&#10;">
                        <v:fill on="f" focussize="0,0"/>
                        <v:stroke weight="1pt" color="#000000 [3213]" miterlimit="8" joinstyle="miter" endarrow="open"/>
                        <v:imagedata o:title=""/>
                        <o:lock v:ext="edit" aspectratio="f"/>
                      </v:shape>
                      <v:rect id="矩形 20" o:spid="_x0000_s1026" o:spt="1" style="position:absolute;left:3399155;top:1254125;height:711200;width:1303655;v-text-anchor:middle;" filled="f" stroked="f" coordsize="21600,21600" o:gfxdata="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BYAAABkcnMvUEsBAhQAFAAAAAgAh07iQC6mBD/aAAAACAEAAA8AAAAAAAAAAQAg&#10;AAAAOAAAAGRycy9kb3ducmV2LnhtbFBLAQIUABQAAAAIAIdO4kDsIBSgaAIAALkEAAAOAAAAAAAA&#10;AAEAIAAAAD8BAABkcnMvZTJvRG9jLnhtbFBLBQYAAAAABgAGAFkBAAAZBgAAAAA=&#10;">
                        <v:fill on="f" focussize="0,0"/>
                        <v:stroke on="f" weight="0.5pt" miterlimit="8" joinstyle="miter"/>
                        <v:imagedata o:title=""/>
                        <o:lock v:ext="edit" aspectratio="f"/>
                        <v:textbox>
                          <w:txbxContent>
                            <w:p>
                              <w:pPr>
                                <w:jc w:val="center"/>
                                <w:rPr>
                                  <w:rFonts w:hint="eastAsia"/>
                                  <w:lang w:eastAsia="zh-CN"/>
                                </w:rPr>
                              </w:pPr>
                              <w:r>
                                <w:rPr>
                                  <w:rFonts w:hint="eastAsia"/>
                                  <w:lang w:val="en-US" w:eastAsia="zh-CN"/>
                                </w:rPr>
                                <w:t>G1-2</w:t>
                              </w:r>
                              <w:r>
                                <w:rPr>
                                  <w:rFonts w:hint="eastAsia"/>
                                  <w:lang w:eastAsia="zh-CN"/>
                                </w:rPr>
                                <w:t>燃烧废气、</w:t>
                              </w:r>
                            </w:p>
                            <w:p>
                              <w:pPr>
                                <w:jc w:val="center"/>
                                <w:rPr>
                                  <w:rFonts w:hint="eastAsia"/>
                                  <w:lang w:val="en-US" w:eastAsia="zh-CN"/>
                                </w:rPr>
                              </w:pPr>
                              <w:r>
                                <w:rPr>
                                  <w:rFonts w:hint="eastAsia"/>
                                  <w:lang w:val="en-US" w:eastAsia="zh-CN"/>
                                </w:rPr>
                                <w:t>W1-1冷却水</w:t>
                              </w:r>
                              <w:r>
                                <w:rPr>
                                  <w:rFonts w:hint="eastAsia"/>
                                  <w:lang w:eastAsia="zh-CN"/>
                                </w:rPr>
                                <w:t>、</w:t>
                              </w:r>
                            </w:p>
                            <w:p>
                              <w:pPr>
                                <w:jc w:val="center"/>
                                <w:rPr>
                                  <w:rFonts w:hint="default"/>
                                  <w:lang w:val="en-US" w:eastAsia="zh-CN"/>
                                </w:rPr>
                              </w:pPr>
                              <w:r>
                                <w:rPr>
                                  <w:rFonts w:hint="eastAsia"/>
                                  <w:color w:val="auto"/>
                                  <w:lang w:val="en-US" w:eastAsia="zh-CN"/>
                                </w:rPr>
                                <w:t>S1-4沉渣</w:t>
                              </w:r>
                              <w:r>
                                <w:rPr>
                                  <w:rFonts w:hint="eastAsia"/>
                                  <w:color w:val="auto"/>
                                  <w:lang w:eastAsia="zh-CN"/>
                                </w:rPr>
                                <w:t>、</w:t>
                              </w:r>
                              <w:r>
                                <w:rPr>
                                  <w:rFonts w:hint="eastAsia"/>
                                  <w:lang w:val="en-US" w:eastAsia="zh-CN"/>
                                </w:rPr>
                                <w:t>N</w:t>
                              </w:r>
                            </w:p>
                          </w:txbxContent>
                        </v:textbox>
                      </v:rect>
                      <v:shape id="直接箭头连接符 16" o:spid="_x0000_s1026" o:spt="32" type="#_x0000_t32" style="position:absolute;left:2975610;top:1642110;flip:y;height:3810;width:401320;" filled="f" stroked="t" coordsize="21600,21600" o:gfxdata="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BYAAABkcnMvUEsBAhQA&#10;FAAAAAgAh07iQOibZynaAAAACAEAAA8AAAAAAAAAAQAgAAAAOAAAAGRycy9kb3ducmV2LnhtbFBL&#10;AQIUABQAAAAIAIdO4kC57IiNFwIAAPgDAAAOAAAAAAAAAAEAIAAAAD8BAABkcnMvZTJvRG9jLnht&#10;bFBLBQYAAAAABgAGAFkBAADIBQAAAAA=&#10;">
                        <v:fill on="f" focussize="0,0"/>
                        <v:stroke weight="1pt" color="#000000 [3213]" miterlimit="8" joinstyle="miter" endarrow="open"/>
                        <v:imagedata o:title=""/>
                        <o:lock v:ext="edit" aspectratio="f"/>
                      </v:shape>
                      <v:rect id="矩形 20" o:spid="_x0000_s1026" o:spt="1" style="position:absolute;left:3405505;top:447675;height:857250;width:1280795;v-text-anchor:middle;" filled="f" stroked="f" coordsize="21600,21600" o:gfxdata="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FgAAAGRycy9QSwECFAAUAAAACACHTuJALqYEP9oAAAAIAQAADwAAAAAAAAAB&#10;ACAAAAA4AAAAZHJzL2Rvd25yZXYueG1sUEsBAhQAFAAAAAgAh07iQEo/fMFqAgAAuAQAAA4AAAAA&#10;AAAAAQAgAAAAPwEAAGRycy9lMm9Eb2MueG1sUEsFBgAAAAAGAAYAWQEAABsGAAAAAA==&#10;">
                        <v:fill on="f" focussize="0,0"/>
                        <v:stroke on="f" weight="0.5pt" miterlimit="8" joinstyle="miter"/>
                        <v:imagedata o:title=""/>
                        <o:lock v:ext="edit" aspectratio="f"/>
                        <v:textbox>
                          <w:txbxContent>
                            <w:p>
                              <w:pPr>
                                <w:jc w:val="center"/>
                                <w:rPr>
                                  <w:rFonts w:hint="default"/>
                                  <w:lang w:val="en-US" w:eastAsia="zh-CN"/>
                                </w:rPr>
                              </w:pPr>
                              <w:r>
                                <w:rPr>
                                  <w:rFonts w:hint="eastAsia"/>
                                  <w:lang w:val="en-US" w:eastAsia="zh-CN"/>
                                </w:rPr>
                                <w:t>G1-1</w:t>
                              </w:r>
                              <w:r>
                                <w:rPr>
                                  <w:rFonts w:hint="eastAsia"/>
                                  <w:lang w:eastAsia="zh-CN"/>
                                </w:rPr>
                                <w:t>燃烧废气、</w:t>
                              </w:r>
                              <w:r>
                                <w:rPr>
                                  <w:rFonts w:hint="eastAsia"/>
                                  <w:color w:val="auto"/>
                                  <w:lang w:val="en-US" w:eastAsia="zh-CN"/>
                                </w:rPr>
                                <w:t>S1-1废氧化皮、S1-2废边角料、</w:t>
                              </w:r>
                              <w:r>
                                <w:rPr>
                                  <w:rFonts w:hint="eastAsia" w:ascii="Times New Roman" w:hAnsi="Times New Roman" w:eastAsia="宋体" w:cs="Times New Roman"/>
                                  <w:b w:val="0"/>
                                  <w:bCs w:val="0"/>
                                  <w:color w:val="auto"/>
                                  <w:lang w:val="en-US" w:eastAsia="zh-CN"/>
                                </w:rPr>
                                <w:t>S1-3废液压油</w:t>
                              </w:r>
                              <w:r>
                                <w:rPr>
                                  <w:rFonts w:hint="eastAsia"/>
                                  <w:color w:val="auto"/>
                                  <w:lang w:val="en-US" w:eastAsia="zh-CN"/>
                                </w:rPr>
                                <w:t>、</w:t>
                              </w:r>
                              <w:r>
                                <w:rPr>
                                  <w:rFonts w:hint="eastAsia"/>
                                  <w:lang w:val="en-US" w:eastAsia="zh-CN"/>
                                </w:rPr>
                                <w:t>N</w:t>
                              </w:r>
                            </w:p>
                          </w:txbxContent>
                        </v:textbox>
                      </v:rect>
                      <v:shape id="直接箭头连接符 16" o:spid="_x0000_s1026" o:spt="32" type="#_x0000_t32" style="position:absolute;left:2990850;top:991870;flip:y;height:3810;width:401320;" filled="f" stroked="t" coordsize="21600,21600" o:gfxdata="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6JtnKdoAAAAIAQAADwAAAAAAAAABACAAAAA4AAAAZHJzL2Rvd25yZXYueG1s&#10;UEsBAhQAFAAAAAgAh07iQJUeA28ZAgAA9wMAAA4AAAAAAAAAAQAgAAAAPwEAAGRycy9lMm9Eb2Mu&#10;eG1sUEsFBgAAAAAGAAYAWQEAAMoFAAAAAA==&#10;">
                        <v:fill on="f" focussize="0,0"/>
                        <v:stroke weight="1pt" color="#000000 [3213]" miterlimit="8" joinstyle="miter" endarrow="open"/>
                        <v:imagedata o:title=""/>
                        <o:lock v:ext="edit" aspectratio="f"/>
                      </v:shape>
                      <w10:wrap type="topAndBottom"/>
                    </v:group>
                  </w:pict>
                </mc:Fallback>
              </mc:AlternateContent>
            </w:r>
            <w:r>
              <w:rPr>
                <w:b/>
                <w:bCs/>
              </w:rPr>
              <w:t>图 2-</w:t>
            </w:r>
            <w:r>
              <w:rPr>
                <w:rFonts w:hint="eastAsia"/>
                <w:b/>
                <w:bCs/>
                <w:lang w:val="en-US" w:eastAsia="zh-CN"/>
              </w:rPr>
              <w:t>3</w:t>
            </w:r>
            <w:r>
              <w:rPr>
                <w:b/>
                <w:bCs/>
              </w:rPr>
              <w:t>项目</w:t>
            </w:r>
            <w:r>
              <w:rPr>
                <w:rFonts w:hint="eastAsia" w:ascii="Times New Roman" w:hAnsi="Times New Roman" w:eastAsia="宋体" w:cs="Times New Roman"/>
                <w:b/>
                <w:color w:val="auto"/>
                <w:szCs w:val="21"/>
                <w:lang w:eastAsia="zh-CN"/>
              </w:rPr>
              <w:t>轴类锻件</w:t>
            </w:r>
            <w:r>
              <w:rPr>
                <w:b/>
                <w:bCs/>
              </w:rPr>
              <w:t>工艺流程图</w:t>
            </w:r>
          </w:p>
          <w:p>
            <w:pPr>
              <w:spacing w:line="500" w:lineRule="exact"/>
              <w:ind w:firstLine="422" w:firstLineChars="200"/>
            </w:pPr>
            <w:r>
              <w:rPr>
                <w:b/>
                <w:bCs/>
              </w:rPr>
              <w:t>项目工艺流程简述：</w:t>
            </w:r>
          </w:p>
          <w:p>
            <w:pPr>
              <w:spacing w:line="500" w:lineRule="exact"/>
              <w:ind w:firstLine="420" w:firstLineChars="200"/>
              <w:rPr>
                <w:rFonts w:hint="eastAsia" w:ascii="Times New Roman" w:hAnsi="Times New Roman" w:eastAsia="宋体" w:cs="Times New Roman"/>
                <w:b w:val="0"/>
                <w:bCs w:val="0"/>
                <w:lang w:val="en-US" w:eastAsia="zh-CN"/>
              </w:rPr>
            </w:pPr>
            <w:r>
              <w:rPr>
                <w:rFonts w:hint="eastAsia"/>
                <w:color w:val="auto"/>
                <w:lang w:eastAsia="zh-CN"/>
              </w:rPr>
              <w:t>锻压</w:t>
            </w:r>
            <w:r>
              <w:rPr>
                <w:rFonts w:hint="eastAsia" w:ascii="Times New Roman" w:hAnsi="Times New Roman" w:eastAsia="宋体" w:cs="Times New Roman"/>
                <w:color w:val="auto"/>
                <w:lang w:eastAsia="zh-CN"/>
              </w:rPr>
              <w:t>：</w:t>
            </w:r>
            <w:r>
              <w:rPr>
                <w:rFonts w:hint="eastAsia" w:cs="Times New Roman"/>
                <w:b w:val="0"/>
                <w:bCs w:val="0"/>
                <w:lang w:eastAsia="zh-CN"/>
              </w:rPr>
              <w:t>使用</w:t>
            </w:r>
            <w:r>
              <w:rPr>
                <w:rFonts w:hint="eastAsia" w:ascii="Times New Roman" w:hAnsi="Times New Roman" w:eastAsia="宋体" w:cs="Times New Roman"/>
                <w:b w:val="0"/>
                <w:bCs w:val="0"/>
                <w:lang w:val="en-US" w:eastAsia="zh-CN"/>
              </w:rPr>
              <w:t>天然气</w:t>
            </w:r>
            <w:r>
              <w:rPr>
                <w:rFonts w:hint="eastAsia" w:ascii="Times New Roman" w:hAnsi="Times New Roman" w:eastAsia="宋体" w:cs="Times New Roman"/>
                <w:b w:val="0"/>
                <w:bCs w:val="0"/>
                <w:lang w:eastAsia="zh-CN"/>
              </w:rPr>
              <w:t>加热</w:t>
            </w:r>
            <w:r>
              <w:rPr>
                <w:rFonts w:hint="eastAsia" w:ascii="Times New Roman" w:hAnsi="Times New Roman" w:eastAsia="宋体" w:cs="Times New Roman"/>
                <w:b w:val="0"/>
                <w:bCs w:val="0"/>
                <w:lang w:val="en-US" w:eastAsia="zh-CN"/>
              </w:rPr>
              <w:t>炉（</w:t>
            </w:r>
            <w:r>
              <w:rPr>
                <w:rFonts w:hint="eastAsia" w:ascii="Times New Roman" w:hAnsi="Times New Roman" w:eastAsia="宋体" w:cs="Times New Roman"/>
                <w:b w:val="0"/>
                <w:bCs w:val="0"/>
                <w:lang w:eastAsia="zh-CN"/>
              </w:rPr>
              <w:t>台车式加热炉、室式加热炉、蓄热室式加热炉</w:t>
            </w:r>
            <w:r>
              <w:rPr>
                <w:rFonts w:hint="eastAsia" w:ascii="Times New Roman" w:hAnsi="Times New Roman" w:eastAsia="宋体" w:cs="Times New Roman"/>
                <w:b w:val="0"/>
                <w:bCs w:val="0"/>
                <w:lang w:val="en-US" w:eastAsia="zh-CN"/>
              </w:rPr>
              <w:t>）</w:t>
            </w:r>
            <w:r>
              <w:rPr>
                <w:rFonts w:hint="default" w:ascii="Times New Roman" w:hAnsi="Times New Roman" w:eastAsia="宋体" w:cs="Times New Roman"/>
                <w:b w:val="0"/>
                <w:bCs w:val="0"/>
                <w:lang w:eastAsia="zh-CN"/>
              </w:rPr>
              <w:t>将钢锭加热至‌1250℃‌并保温，使金属达到塑性变形温度，避免锻造开裂并提升加工效率‌</w:t>
            </w:r>
            <w:r>
              <w:rPr>
                <w:rFonts w:hint="eastAsia" w:ascii="Times New Roman" w:hAnsi="Times New Roman" w:eastAsia="宋体" w:cs="Times New Roman"/>
                <w:b w:val="0"/>
                <w:bCs w:val="0"/>
                <w:lang w:val="en-US" w:eastAsia="zh-CN"/>
              </w:rPr>
              <w:t>。</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420" w:firstLineChars="200"/>
              <w:jc w:val="left"/>
              <w:textAlignment w:val="auto"/>
              <w:rPr>
                <w:rFonts w:hint="eastAsia" w:ascii="Times New Roman" w:hAnsi="Times New Roman" w:eastAsia="宋体" w:cs="Times New Roman"/>
                <w:b w:val="0"/>
                <w:bCs w:val="0"/>
                <w:color w:val="auto"/>
                <w:kern w:val="2"/>
                <w:sz w:val="21"/>
                <w:szCs w:val="24"/>
                <w:lang w:val="en-US" w:eastAsia="zh-CN" w:bidi="ar-SA"/>
              </w:rPr>
            </w:pPr>
            <w:r>
              <w:rPr>
                <w:rFonts w:hint="eastAsia" w:ascii="Times New Roman" w:hAnsi="Times New Roman" w:eastAsia="宋体" w:cs="Times New Roman"/>
                <w:b w:val="0"/>
                <w:bCs w:val="0"/>
                <w:color w:val="auto"/>
                <w:kern w:val="2"/>
                <w:sz w:val="21"/>
                <w:szCs w:val="24"/>
                <w:lang w:val="en-US" w:eastAsia="zh-CN" w:bidi="ar-SA"/>
              </w:rPr>
              <w:t>轴类锻件加热后先用液压机把钢锭反复压扁（镦粗）和拉长（拔长），调整形状并消除内部缺陷；接着在中间冲出孔洞（冲孔），再通过拉伸和扩孔逐步把孔洞扩大到需要的尺寸，最终形成空心的环形或筒形轴类零件‌。</w:t>
            </w:r>
          </w:p>
          <w:p>
            <w:pPr>
              <w:spacing w:line="500" w:lineRule="exact"/>
              <w:ind w:firstLine="420" w:firstLineChars="200"/>
              <w:rPr>
                <w:rFonts w:hint="eastAsia" w:ascii="Times New Roman" w:hAnsi="Times New Roman" w:eastAsia="宋体" w:cs="Times New Roman"/>
                <w:color w:val="auto"/>
                <w:lang w:eastAsia="zh-CN"/>
              </w:rPr>
            </w:pPr>
            <w:r>
              <w:rPr>
                <w:rFonts w:hint="eastAsia" w:ascii="Times New Roman" w:hAnsi="Times New Roman" w:eastAsia="宋体" w:cs="Times New Roman"/>
                <w:color w:val="auto"/>
                <w:kern w:val="2"/>
                <w:sz w:val="21"/>
                <w:szCs w:val="24"/>
                <w:lang w:val="en-US" w:eastAsia="zh-CN" w:bidi="ar-SA"/>
              </w:rPr>
              <w:t>模块类锻件</w:t>
            </w:r>
            <w:r>
              <w:rPr>
                <w:rFonts w:hint="eastAsia" w:ascii="Times New Roman" w:hAnsi="Times New Roman" w:eastAsia="宋体" w:cs="Times New Roman"/>
                <w:b w:val="0"/>
                <w:bCs w:val="0"/>
                <w:color w:val="auto"/>
                <w:lang w:val="en-US" w:eastAsia="zh-CN"/>
              </w:rPr>
              <w:t>加热后</w:t>
            </w:r>
            <w:r>
              <w:rPr>
                <w:rFonts w:hint="eastAsia" w:ascii="Times New Roman" w:hAnsi="Times New Roman" w:eastAsia="宋体" w:cs="Times New Roman"/>
                <w:color w:val="auto"/>
                <w:lang w:eastAsia="zh-CN"/>
              </w:rPr>
              <w:t>用</w:t>
            </w:r>
            <w:r>
              <w:rPr>
                <w:rFonts w:hint="eastAsia" w:cs="Times New Roman"/>
                <w:color w:val="auto"/>
                <w:lang w:eastAsia="zh-CN"/>
              </w:rPr>
              <w:t>液压机</w:t>
            </w:r>
            <w:r>
              <w:rPr>
                <w:rFonts w:hint="eastAsia" w:ascii="Times New Roman" w:hAnsi="Times New Roman" w:eastAsia="宋体" w:cs="Times New Roman"/>
                <w:color w:val="auto"/>
                <w:lang w:eastAsia="zh-CN"/>
              </w:rPr>
              <w:t>把钢锭反复压扁（镦粗）和拉长（拔长），调整形状并消除内部缺陷</w:t>
            </w:r>
            <w:r>
              <w:rPr>
                <w:rFonts w:hint="eastAsia" w:cs="Times New Roman"/>
                <w:color w:val="auto"/>
                <w:lang w:eastAsia="zh-CN"/>
              </w:rPr>
              <w:t>，</w:t>
            </w:r>
            <w:r>
              <w:rPr>
                <w:rFonts w:hint="eastAsia" w:ascii="Times New Roman" w:hAnsi="Times New Roman" w:eastAsia="宋体" w:cs="Times New Roman"/>
                <w:color w:val="auto"/>
                <w:lang w:eastAsia="zh-CN"/>
              </w:rPr>
              <w:t>最终</w:t>
            </w:r>
            <w:r>
              <w:rPr>
                <w:rFonts w:hint="eastAsia" w:cs="Times New Roman"/>
                <w:color w:val="auto"/>
                <w:lang w:eastAsia="zh-CN"/>
              </w:rPr>
              <w:t>慢慢</w:t>
            </w:r>
            <w:r>
              <w:rPr>
                <w:rFonts w:hint="eastAsia" w:ascii="Times New Roman" w:hAnsi="Times New Roman" w:eastAsia="宋体" w:cs="Times New Roman"/>
                <w:color w:val="auto"/>
                <w:lang w:eastAsia="zh-CN"/>
              </w:rPr>
              <w:t>形成筒形或方形模块类</w:t>
            </w:r>
            <w:r>
              <w:rPr>
                <w:rFonts w:hint="eastAsia" w:cs="Times New Roman"/>
                <w:color w:val="auto"/>
                <w:lang w:eastAsia="zh-CN"/>
              </w:rPr>
              <w:t>锻件。</w:t>
            </w:r>
          </w:p>
          <w:p>
            <w:pPr>
              <w:spacing w:line="500" w:lineRule="exact"/>
              <w:ind w:firstLine="422" w:firstLineChars="200"/>
              <w:rPr>
                <w:b/>
                <w:bCs/>
                <w:color w:val="auto"/>
              </w:rPr>
            </w:pPr>
            <w:r>
              <w:rPr>
                <w:rFonts w:hint="eastAsia" w:ascii="Times New Roman" w:hAnsi="Times New Roman" w:eastAsia="宋体" w:cs="Times New Roman"/>
                <w:b/>
                <w:bCs/>
                <w:color w:val="auto"/>
                <w:lang w:val="en-US" w:eastAsia="zh-CN"/>
              </w:rPr>
              <w:t>此工序会产生G1-1天然气燃烧废气、S1-1</w:t>
            </w:r>
            <w:r>
              <w:rPr>
                <w:rFonts w:hint="eastAsia" w:cs="Times New Roman"/>
                <w:b/>
                <w:bCs/>
                <w:color w:val="auto"/>
                <w:lang w:val="en-US" w:eastAsia="zh-CN"/>
              </w:rPr>
              <w:t>废氧化皮、</w:t>
            </w:r>
            <w:r>
              <w:rPr>
                <w:rFonts w:hint="eastAsia" w:ascii="Times New Roman" w:hAnsi="Times New Roman" w:eastAsia="宋体" w:cs="Times New Roman"/>
                <w:b/>
                <w:bCs/>
                <w:color w:val="auto"/>
                <w:lang w:val="en-US" w:eastAsia="zh-CN"/>
              </w:rPr>
              <w:t>S1-2</w:t>
            </w:r>
            <w:r>
              <w:rPr>
                <w:rFonts w:hint="eastAsia" w:cs="Times New Roman"/>
                <w:b/>
                <w:bCs/>
                <w:color w:val="auto"/>
                <w:lang w:val="en-US" w:eastAsia="zh-CN"/>
              </w:rPr>
              <w:t>废边角料</w:t>
            </w:r>
            <w:r>
              <w:rPr>
                <w:rFonts w:hint="eastAsia" w:ascii="Times New Roman" w:hAnsi="Times New Roman" w:eastAsia="宋体" w:cs="Times New Roman"/>
                <w:b/>
                <w:bCs/>
                <w:color w:val="auto"/>
                <w:lang w:val="en-US" w:eastAsia="zh-CN"/>
              </w:rPr>
              <w:t>、S1-3废液压油</w:t>
            </w:r>
            <w:r>
              <w:rPr>
                <w:rFonts w:hint="eastAsia" w:cs="Times New Roman"/>
                <w:b/>
                <w:bCs/>
                <w:color w:val="auto"/>
                <w:lang w:val="en-US" w:eastAsia="zh-CN"/>
              </w:rPr>
              <w:t>、</w:t>
            </w:r>
            <w:r>
              <w:rPr>
                <w:rFonts w:hint="eastAsia" w:ascii="Times New Roman" w:hAnsi="Times New Roman" w:eastAsia="宋体" w:cs="Times New Roman"/>
                <w:b/>
                <w:bCs/>
                <w:color w:val="auto"/>
                <w:lang w:val="en-US" w:eastAsia="zh-CN"/>
              </w:rPr>
              <w:t>N噪声。</w:t>
            </w:r>
          </w:p>
          <w:p>
            <w:pPr>
              <w:spacing w:line="500" w:lineRule="exact"/>
              <w:ind w:firstLine="420" w:firstLineChars="200"/>
              <w:rPr>
                <w:rFonts w:hint="eastAsia" w:cs="Times New Roman"/>
                <w:color w:val="auto"/>
                <w:lang w:val="en-US" w:eastAsia="zh-CN"/>
              </w:rPr>
            </w:pPr>
            <w:r>
              <w:rPr>
                <w:rFonts w:hint="eastAsia" w:ascii="Times New Roman" w:hAnsi="Times New Roman" w:eastAsia="宋体" w:cs="Times New Roman"/>
                <w:color w:val="auto"/>
                <w:lang w:eastAsia="zh-CN"/>
              </w:rPr>
              <w:t>热处理：</w:t>
            </w:r>
            <w:r>
              <w:rPr>
                <w:rFonts w:hint="eastAsia" w:ascii="Times New Roman" w:hAnsi="Times New Roman" w:eastAsia="宋体" w:cs="Times New Roman"/>
                <w:color w:val="auto"/>
                <w:lang w:val="en-US" w:eastAsia="zh-CN"/>
              </w:rPr>
              <w:t>包括‌正火（电热处理炉）、回火（退火炉）、淬火（淬火炉）、回火（回火炉）</w:t>
            </w:r>
            <w:r>
              <w:rPr>
                <w:rFonts w:hint="eastAsia" w:cs="Times New Roman"/>
                <w:color w:val="auto"/>
                <w:lang w:val="en-US" w:eastAsia="zh-CN"/>
              </w:rPr>
              <w:t>。</w:t>
            </w:r>
          </w:p>
          <w:p>
            <w:pPr>
              <w:spacing w:line="500" w:lineRule="exact"/>
              <w:ind w:firstLine="422"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b/>
                <w:bCs/>
                <w:color w:val="auto"/>
                <w:lang w:eastAsia="zh-CN"/>
              </w:rPr>
              <w:t>‌正火、回火</w:t>
            </w:r>
            <w:r>
              <w:rPr>
                <w:rFonts w:hint="eastAsia" w:cs="Times New Roman"/>
                <w:b/>
                <w:bCs/>
                <w:color w:val="auto"/>
                <w:lang w:eastAsia="zh-CN"/>
              </w:rPr>
              <w:t>：</w:t>
            </w:r>
            <w:r>
              <w:rPr>
                <w:rFonts w:hint="eastAsia" w:ascii="Times New Roman" w:hAnsi="Times New Roman" w:eastAsia="宋体" w:cs="Times New Roman"/>
                <w:color w:val="auto"/>
                <w:lang w:eastAsia="zh-CN"/>
              </w:rPr>
              <w:t>正火将金属加热至</w:t>
            </w:r>
            <w:r>
              <w:rPr>
                <w:rFonts w:hint="eastAsia" w:ascii="Times New Roman" w:hAnsi="Times New Roman" w:eastAsia="宋体" w:cs="Times New Roman"/>
                <w:color w:val="auto"/>
                <w:lang w:val="en-US" w:eastAsia="zh-CN"/>
              </w:rPr>
              <w:t>800~900</w:t>
            </w:r>
            <w:r>
              <w:rPr>
                <w:rFonts w:hint="eastAsia" w:ascii="Times New Roman" w:hAnsi="Times New Roman" w:eastAsia="宋体" w:cs="Times New Roman"/>
                <w:color w:val="auto"/>
                <w:lang w:eastAsia="zh-CN"/>
              </w:rPr>
              <w:t>℃‌，保温后通过空气、喷水或喷雾等方式冷却‌，回火使用</w:t>
            </w:r>
            <w:r>
              <w:rPr>
                <w:rFonts w:hint="eastAsia" w:ascii="Times New Roman" w:hAnsi="Times New Roman" w:eastAsia="宋体" w:cs="Times New Roman"/>
                <w:color w:val="auto"/>
                <w:lang w:val="en-US" w:eastAsia="zh-CN"/>
              </w:rPr>
              <w:t>退火炉</w:t>
            </w:r>
            <w:r>
              <w:rPr>
                <w:rFonts w:hint="eastAsia" w:ascii="Times New Roman" w:hAnsi="Times New Roman" w:eastAsia="宋体" w:cs="Times New Roman"/>
                <w:color w:val="auto"/>
                <w:lang w:eastAsia="zh-CN"/>
              </w:rPr>
              <w:t>加热，采用天然气加热，加热至</w:t>
            </w:r>
            <w:r>
              <w:rPr>
                <w:rFonts w:hint="eastAsia" w:ascii="Times New Roman" w:hAnsi="Times New Roman" w:eastAsia="宋体" w:cs="Times New Roman"/>
                <w:color w:val="auto"/>
                <w:lang w:val="en-US" w:eastAsia="zh-CN"/>
              </w:rPr>
              <w:t>500~700</w:t>
            </w:r>
            <w:r>
              <w:rPr>
                <w:rFonts w:hint="eastAsia" w:ascii="Times New Roman" w:hAnsi="Times New Roman" w:eastAsia="宋体" w:cs="Times New Roman"/>
                <w:color w:val="auto"/>
                <w:lang w:eastAsia="zh-CN"/>
              </w:rPr>
              <w:t>℃以下某一温度保温后炉冷</w:t>
            </w:r>
            <w:r>
              <w:rPr>
                <w:rFonts w:hint="eastAsia" w:ascii="Times New Roman" w:hAnsi="Times New Roman" w:eastAsia="宋体" w:cs="Times New Roman"/>
                <w:color w:val="auto"/>
                <w:lang w:val="en-US" w:eastAsia="zh-CN"/>
              </w:rPr>
              <w:t>。</w:t>
            </w:r>
          </w:p>
          <w:p>
            <w:pPr>
              <w:spacing w:line="500" w:lineRule="exact"/>
              <w:ind w:firstLine="422" w:firstLineChars="200"/>
              <w:rPr>
                <w:rFonts w:hint="eastAsia" w:ascii="Times New Roman" w:hAnsi="Times New Roman" w:eastAsia="宋体" w:cs="Times New Roman"/>
                <w:color w:val="auto"/>
                <w:lang w:eastAsia="zh-CN"/>
              </w:rPr>
            </w:pPr>
            <w:r>
              <w:rPr>
                <w:rFonts w:hint="eastAsia" w:cs="Times New Roman"/>
                <w:b/>
                <w:bCs/>
                <w:color w:val="auto"/>
                <w:lang w:val="en-US" w:eastAsia="zh-CN"/>
              </w:rPr>
              <w:t>淬火</w:t>
            </w:r>
            <w:r>
              <w:rPr>
                <w:rFonts w:hint="eastAsia" w:ascii="Times New Roman" w:hAnsi="Times New Roman" w:eastAsia="宋体" w:cs="Times New Roman"/>
                <w:b/>
                <w:bCs/>
                <w:color w:val="auto"/>
                <w:lang w:val="en-US" w:eastAsia="zh-CN"/>
              </w:rPr>
              <w:t>、回火</w:t>
            </w:r>
            <w:r>
              <w:rPr>
                <w:rFonts w:hint="eastAsia" w:cs="Times New Roman"/>
                <w:b/>
                <w:bCs/>
                <w:color w:val="auto"/>
                <w:lang w:val="en-US" w:eastAsia="zh-CN"/>
              </w:rPr>
              <w:t>：</w:t>
            </w:r>
            <w:r>
              <w:rPr>
                <w:rFonts w:hint="eastAsia" w:ascii="Times New Roman" w:hAnsi="Times New Roman" w:eastAsia="宋体" w:cs="Times New Roman"/>
                <w:color w:val="auto"/>
                <w:lang w:val="en-US" w:eastAsia="zh-CN"/>
              </w:rPr>
              <w:t>淬火冷却后的工件硬度高、耐磨性能好。</w:t>
            </w:r>
            <w:r>
              <w:rPr>
                <w:rFonts w:hint="eastAsia" w:ascii="Times New Roman" w:hAnsi="Times New Roman" w:eastAsia="宋体" w:cs="Times New Roman"/>
                <w:color w:val="auto"/>
                <w:lang w:eastAsia="zh-CN"/>
              </w:rPr>
              <w:t>企业淬火采用水淬</w:t>
            </w:r>
            <w:r>
              <w:rPr>
                <w:rFonts w:hint="eastAsia" w:ascii="Times New Roman" w:hAnsi="Times New Roman" w:eastAsia="宋体" w:cs="Times New Roman"/>
                <w:color w:val="auto"/>
                <w:lang w:val="en-US" w:eastAsia="zh-CN"/>
              </w:rPr>
              <w:t>使用的介质是水，</w:t>
            </w:r>
            <w:r>
              <w:rPr>
                <w:rFonts w:hint="eastAsia" w:ascii="Times New Roman" w:hAnsi="Times New Roman" w:eastAsia="宋体" w:cs="Times New Roman"/>
                <w:color w:val="auto"/>
                <w:lang w:eastAsia="zh-CN"/>
              </w:rPr>
              <w:t>经过淬火后的工件需要再加热至500-700℃回火，回火使淬火所得的不稳定组织转变为稳定组织，适当降低硬度及强度，并提高塑性和韧性，减小或消除残余应力，然后出炉空冷至室温，</w:t>
            </w:r>
            <w:r>
              <w:rPr>
                <w:rFonts w:hint="eastAsia" w:cs="Times New Roman"/>
                <w:color w:val="auto"/>
                <w:lang w:val="en-US" w:eastAsia="zh-CN"/>
              </w:rPr>
              <w:t>淬火</w:t>
            </w:r>
            <w:r>
              <w:rPr>
                <w:rFonts w:hint="eastAsia" w:ascii="Times New Roman" w:hAnsi="Times New Roman" w:eastAsia="宋体" w:cs="Times New Roman"/>
                <w:color w:val="auto"/>
                <w:lang w:val="en-US" w:eastAsia="zh-CN"/>
              </w:rPr>
              <w:t>、回火</w:t>
            </w:r>
            <w:r>
              <w:rPr>
                <w:rFonts w:hint="eastAsia" w:ascii="Times New Roman" w:hAnsi="Times New Roman" w:eastAsia="宋体" w:cs="Times New Roman"/>
                <w:color w:val="auto"/>
                <w:lang w:eastAsia="zh-CN"/>
              </w:rPr>
              <w:t>采用电加热。</w:t>
            </w:r>
          </w:p>
          <w:p>
            <w:pPr>
              <w:spacing w:line="500" w:lineRule="exact"/>
              <w:ind w:firstLine="422" w:firstLineChars="200"/>
              <w:rPr>
                <w:rFonts w:hint="eastAsia" w:ascii="Arial" w:hAnsi="Arial" w:cs="Arial"/>
                <w:color w:val="FF0000"/>
                <w:sz w:val="24"/>
                <w:shd w:val="clear" w:color="auto" w:fill="FFFFFF"/>
              </w:rPr>
            </w:pPr>
            <w:r>
              <w:rPr>
                <w:rFonts w:hint="eastAsia" w:ascii="Times New Roman" w:hAnsi="Times New Roman" w:eastAsia="宋体" w:cs="Times New Roman"/>
                <w:b/>
                <w:bCs/>
                <w:lang w:val="en-US" w:eastAsia="zh-CN"/>
              </w:rPr>
              <w:t>此工序会产生G1-2天然气燃烧废气、</w:t>
            </w:r>
            <w:r>
              <w:rPr>
                <w:rFonts w:hint="eastAsia" w:cs="Times New Roman"/>
                <w:b/>
                <w:bCs/>
                <w:color w:val="auto"/>
                <w:lang w:val="en-US" w:eastAsia="zh-CN"/>
              </w:rPr>
              <w:t>W1-1冷却水、S1-4</w:t>
            </w:r>
            <w:r>
              <w:rPr>
                <w:rFonts w:hint="eastAsia"/>
                <w:b/>
                <w:bCs/>
                <w:color w:val="auto"/>
                <w:lang w:val="en-US" w:eastAsia="zh-CN"/>
              </w:rPr>
              <w:t>淬火沉渣</w:t>
            </w:r>
            <w:r>
              <w:rPr>
                <w:rFonts w:hint="eastAsia" w:cs="Times New Roman"/>
                <w:b/>
                <w:bCs/>
                <w:color w:val="auto"/>
                <w:lang w:val="en-US" w:eastAsia="zh-CN"/>
              </w:rPr>
              <w:t>、</w:t>
            </w:r>
            <w:r>
              <w:rPr>
                <w:rFonts w:hint="eastAsia" w:ascii="Times New Roman" w:hAnsi="Times New Roman" w:eastAsia="宋体" w:cs="Times New Roman"/>
                <w:b/>
                <w:bCs/>
                <w:lang w:val="en-US" w:eastAsia="zh-CN"/>
              </w:rPr>
              <w:t>N噪声。</w:t>
            </w:r>
          </w:p>
          <w:p>
            <w:pPr>
              <w:spacing w:line="500" w:lineRule="exact"/>
              <w:ind w:firstLine="420" w:firstLineChars="200"/>
              <w:rPr>
                <w:rFonts w:hint="eastAsia" w:cs="Times New Roman"/>
                <w:color w:val="auto"/>
                <w:lang w:eastAsia="zh-CN"/>
              </w:rPr>
            </w:pPr>
            <w:r>
              <w:rPr>
                <w:rFonts w:hint="eastAsia" w:ascii="Times New Roman" w:hAnsi="Times New Roman" w:eastAsia="宋体" w:cs="Times New Roman"/>
                <w:color w:val="auto"/>
                <w:lang w:eastAsia="zh-CN"/>
              </w:rPr>
              <w:t>金属加工：</w:t>
            </w:r>
            <w:r>
              <w:rPr>
                <w:rFonts w:hint="default" w:ascii="Times New Roman" w:hAnsi="Times New Roman" w:eastAsia="宋体" w:cs="Times New Roman"/>
                <w:color w:val="auto"/>
                <w:lang w:eastAsia="zh-CN"/>
              </w:rPr>
              <w:t>通过高精度机床加工至最终尺寸，表面粗糙度控制，满足装配要求‌。</w:t>
            </w:r>
            <w:r>
              <w:rPr>
                <w:rFonts w:hint="eastAsia" w:cs="Times New Roman"/>
                <w:color w:val="auto"/>
                <w:lang w:eastAsia="zh-CN"/>
              </w:rPr>
              <w:t>其中包含锯床</w:t>
            </w:r>
            <w:r>
              <w:rPr>
                <w:rFonts w:hint="eastAsia" w:ascii="Times New Roman" w:hAnsi="Times New Roman" w:eastAsia="宋体" w:cs="Times New Roman"/>
                <w:b w:val="0"/>
                <w:bCs w:val="0"/>
                <w:color w:val="auto"/>
                <w:kern w:val="2"/>
                <w:sz w:val="21"/>
                <w:szCs w:val="24"/>
                <w:lang w:val="en-US" w:eastAsia="zh-CN" w:bidi="ar-SA"/>
              </w:rPr>
              <w:t>下料过程会产生切割粉尘</w:t>
            </w:r>
            <w:r>
              <w:rPr>
                <w:rFonts w:hint="eastAsia" w:cs="Times New Roman"/>
                <w:b w:val="0"/>
                <w:bCs w:val="0"/>
                <w:color w:val="auto"/>
                <w:kern w:val="2"/>
                <w:sz w:val="21"/>
                <w:szCs w:val="24"/>
                <w:lang w:val="en-US" w:eastAsia="zh-CN" w:bidi="ar-SA"/>
              </w:rPr>
              <w:t>，需对有毛边的</w:t>
            </w:r>
            <w:r>
              <w:rPr>
                <w:rFonts w:hint="eastAsia" w:ascii="Times New Roman" w:hAnsi="Times New Roman" w:eastAsia="宋体" w:cs="Times New Roman"/>
                <w:b w:val="0"/>
                <w:bCs w:val="0"/>
                <w:color w:val="auto"/>
                <w:kern w:val="2"/>
                <w:sz w:val="21"/>
                <w:szCs w:val="24"/>
                <w:lang w:val="en-US" w:eastAsia="zh-CN" w:bidi="ar-SA"/>
              </w:rPr>
              <w:t>铸件进行打磨</w:t>
            </w:r>
            <w:r>
              <w:rPr>
                <w:rFonts w:hint="eastAsia" w:cs="Times New Roman"/>
                <w:b w:val="0"/>
                <w:bCs w:val="0"/>
                <w:color w:val="auto"/>
                <w:kern w:val="2"/>
                <w:sz w:val="21"/>
                <w:szCs w:val="24"/>
                <w:lang w:val="en-US" w:eastAsia="zh-CN" w:bidi="ar-SA"/>
              </w:rPr>
              <w:t>处理</w:t>
            </w:r>
            <w:r>
              <w:rPr>
                <w:rFonts w:hint="eastAsia" w:cs="Times New Roman"/>
                <w:color w:val="auto"/>
                <w:lang w:eastAsia="zh-CN"/>
              </w:rPr>
              <w:t>，在</w:t>
            </w:r>
            <w:r>
              <w:rPr>
                <w:rFonts w:hint="default" w:ascii="Times New Roman" w:hAnsi="Times New Roman" w:eastAsia="宋体" w:cs="Times New Roman"/>
                <w:color w:val="auto"/>
                <w:lang w:eastAsia="zh-CN"/>
              </w:rPr>
              <w:t>机床加工过程中</w:t>
            </w:r>
            <w:r>
              <w:rPr>
                <w:rFonts w:hint="eastAsia" w:cs="Times New Roman"/>
                <w:color w:val="auto"/>
                <w:lang w:eastAsia="zh-CN"/>
              </w:rPr>
              <w:t>则使用</w:t>
            </w:r>
            <w:r>
              <w:rPr>
                <w:rFonts w:hint="eastAsia" w:ascii="Times New Roman" w:hAnsi="Times New Roman" w:eastAsia="宋体" w:cs="Times New Roman"/>
                <w:color w:val="auto"/>
                <w:lang w:eastAsia="zh-CN"/>
              </w:rPr>
              <w:t>水性切削液、润滑油、乳化液进行</w:t>
            </w:r>
            <w:r>
              <w:rPr>
                <w:rFonts w:hint="default" w:ascii="Times New Roman" w:hAnsi="Times New Roman" w:eastAsia="宋体" w:cs="Times New Roman"/>
                <w:color w:val="auto"/>
                <w:lang w:eastAsia="zh-CN"/>
              </w:rPr>
              <w:t>降温、润滑工件与刀具</w:t>
            </w:r>
            <w:r>
              <w:rPr>
                <w:rFonts w:hint="eastAsia" w:cs="Times New Roman"/>
                <w:color w:val="auto"/>
                <w:lang w:eastAsia="zh-CN"/>
              </w:rPr>
              <w:t>。</w:t>
            </w:r>
          </w:p>
          <w:p>
            <w:pPr>
              <w:spacing w:line="500" w:lineRule="exact"/>
              <w:ind w:firstLine="422" w:firstLineChars="200"/>
              <w:rPr>
                <w:rFonts w:hint="eastAsia" w:ascii="Times New Roman" w:hAnsi="Times New Roman" w:eastAsia="宋体" w:cs="Times New Roman"/>
                <w:b/>
                <w:bCs/>
                <w:color w:val="auto"/>
                <w:lang w:eastAsia="zh-CN"/>
              </w:rPr>
            </w:pPr>
            <w:r>
              <w:rPr>
                <w:rFonts w:hint="eastAsia"/>
                <w:b/>
                <w:bCs/>
                <w:color w:val="auto"/>
                <w:sz w:val="21"/>
                <w:szCs w:val="21"/>
                <w:lang w:eastAsia="zh-CN"/>
              </w:rPr>
              <w:t>此工序</w:t>
            </w:r>
            <w:r>
              <w:rPr>
                <w:rFonts w:hint="eastAsia" w:ascii="Times New Roman" w:hAnsi="Times New Roman"/>
                <w:b/>
                <w:bCs/>
                <w:color w:val="auto"/>
                <w:sz w:val="21"/>
                <w:szCs w:val="21"/>
              </w:rPr>
              <w:t>会产生</w:t>
            </w:r>
            <w:r>
              <w:rPr>
                <w:rFonts w:hint="eastAsia" w:ascii="Times New Roman" w:hAnsi="Times New Roman" w:eastAsia="宋体"/>
                <w:b/>
                <w:bCs/>
                <w:color w:val="auto"/>
                <w:spacing w:val="0"/>
                <w:kern w:val="0"/>
                <w:szCs w:val="24"/>
                <w:lang w:val="en-US" w:eastAsia="zh-CN"/>
              </w:rPr>
              <w:t>G1-3</w:t>
            </w:r>
            <w:r>
              <w:rPr>
                <w:rFonts w:hint="eastAsia" w:ascii="Times New Roman" w:hAnsi="Times New Roman" w:eastAsia="宋体"/>
                <w:b/>
                <w:bCs/>
                <w:color w:val="auto"/>
                <w:spacing w:val="0"/>
                <w:kern w:val="0"/>
                <w:szCs w:val="24"/>
                <w:lang w:eastAsia="zh-CN"/>
              </w:rPr>
              <w:t>下料</w:t>
            </w:r>
            <w:r>
              <w:rPr>
                <w:rFonts w:hint="eastAsia" w:ascii="Times New Roman" w:hAnsi="Times New Roman" w:eastAsia="宋体"/>
                <w:b/>
                <w:bCs/>
                <w:color w:val="auto"/>
                <w:spacing w:val="0"/>
                <w:kern w:val="0"/>
                <w:szCs w:val="24"/>
                <w:lang w:val="en-US" w:eastAsia="zh-CN"/>
              </w:rPr>
              <w:t>切割粉尘、G1-4</w:t>
            </w:r>
            <w:r>
              <w:rPr>
                <w:rFonts w:hint="eastAsia" w:ascii="Times New Roman" w:hAnsi="Times New Roman" w:eastAsia="宋体"/>
                <w:b/>
                <w:bCs/>
                <w:color w:val="auto"/>
                <w:spacing w:val="0"/>
                <w:kern w:val="0"/>
                <w:szCs w:val="24"/>
                <w:lang w:eastAsia="zh-CN"/>
              </w:rPr>
              <w:t>打磨粉尘、</w:t>
            </w:r>
            <w:r>
              <w:rPr>
                <w:rFonts w:hint="eastAsia"/>
                <w:b/>
                <w:bCs/>
                <w:color w:val="auto"/>
                <w:sz w:val="21"/>
                <w:szCs w:val="21"/>
                <w:lang w:val="en-US" w:eastAsia="zh-CN"/>
              </w:rPr>
              <w:t>G</w:t>
            </w:r>
            <w:r>
              <w:rPr>
                <w:rFonts w:hint="eastAsia"/>
                <w:b/>
                <w:bCs/>
                <w:color w:val="auto"/>
                <w:lang w:val="en-US" w:eastAsia="zh-CN"/>
              </w:rPr>
              <w:t>1-5机加工</w:t>
            </w:r>
            <w:r>
              <w:rPr>
                <w:rFonts w:hint="eastAsia" w:ascii="Times New Roman" w:hAnsi="Times New Roman" w:eastAsia="宋体"/>
                <w:b/>
                <w:bCs/>
                <w:color w:val="auto"/>
                <w:spacing w:val="0"/>
                <w:kern w:val="0"/>
                <w:szCs w:val="24"/>
                <w:lang w:eastAsia="zh-CN"/>
              </w:rPr>
              <w:t>废气</w:t>
            </w:r>
            <w:r>
              <w:rPr>
                <w:rFonts w:hint="eastAsia"/>
                <w:b/>
                <w:bCs/>
                <w:color w:val="auto"/>
                <w:spacing w:val="0"/>
                <w:kern w:val="0"/>
                <w:szCs w:val="24"/>
                <w:lang w:eastAsia="zh-CN"/>
              </w:rPr>
              <w:t>（</w:t>
            </w:r>
            <w:r>
              <w:rPr>
                <w:rFonts w:hint="eastAsia" w:ascii="Times New Roman" w:hAnsi="Times New Roman" w:eastAsia="宋体"/>
                <w:b/>
                <w:bCs/>
                <w:color w:val="auto"/>
                <w:spacing w:val="0"/>
                <w:kern w:val="0"/>
                <w:szCs w:val="24"/>
              </w:rPr>
              <w:t>切削液</w:t>
            </w:r>
            <w:r>
              <w:rPr>
                <w:rFonts w:hint="eastAsia" w:ascii="Times New Roman" w:hAnsi="Times New Roman" w:eastAsia="宋体"/>
                <w:b/>
                <w:bCs/>
                <w:color w:val="auto"/>
                <w:spacing w:val="0"/>
                <w:kern w:val="0"/>
                <w:szCs w:val="24"/>
                <w:lang w:eastAsia="zh-CN"/>
              </w:rPr>
              <w:t>挥发有机</w:t>
            </w:r>
            <w:r>
              <w:rPr>
                <w:rFonts w:hint="eastAsia"/>
                <w:b/>
                <w:bCs/>
                <w:color w:val="auto"/>
                <w:spacing w:val="0"/>
                <w:kern w:val="0"/>
                <w:szCs w:val="24"/>
                <w:lang w:eastAsia="zh-CN"/>
              </w:rPr>
              <w:t>废气）</w:t>
            </w:r>
            <w:r>
              <w:rPr>
                <w:rFonts w:hint="eastAsia"/>
                <w:b/>
                <w:bCs/>
                <w:color w:val="auto"/>
                <w:sz w:val="21"/>
                <w:szCs w:val="21"/>
                <w:lang w:eastAsia="zh-CN"/>
              </w:rPr>
              <w:t>、</w:t>
            </w:r>
            <w:r>
              <w:rPr>
                <w:rFonts w:hint="eastAsia"/>
                <w:b/>
                <w:bCs/>
                <w:color w:val="auto"/>
                <w:lang w:val="en-US" w:eastAsia="zh-CN"/>
              </w:rPr>
              <w:t>S1-5废</w:t>
            </w:r>
            <w:r>
              <w:rPr>
                <w:rFonts w:hint="eastAsia"/>
                <w:b/>
                <w:bCs/>
                <w:color w:val="auto"/>
                <w:vertAlign w:val="baseline"/>
                <w:lang w:eastAsia="zh-CN"/>
              </w:rPr>
              <w:t>金属屑</w:t>
            </w:r>
            <w:r>
              <w:rPr>
                <w:rFonts w:hint="eastAsia"/>
                <w:b/>
                <w:bCs/>
                <w:color w:val="auto"/>
                <w:lang w:val="en-US" w:eastAsia="zh-CN"/>
              </w:rPr>
              <w:t>、S1-6</w:t>
            </w:r>
            <w:r>
              <w:rPr>
                <w:rFonts w:hint="eastAsia" w:ascii="Times New Roman" w:hAnsi="Times New Roman" w:eastAsia="宋体"/>
                <w:b/>
                <w:bCs/>
                <w:color w:val="auto"/>
                <w:spacing w:val="0"/>
                <w:kern w:val="0"/>
                <w:szCs w:val="24"/>
              </w:rPr>
              <w:t>废切削液</w:t>
            </w:r>
            <w:r>
              <w:rPr>
                <w:rFonts w:hint="eastAsia" w:ascii="Times New Roman" w:hAnsi="Times New Roman" w:eastAsia="宋体"/>
                <w:b/>
                <w:bCs/>
                <w:color w:val="auto"/>
                <w:spacing w:val="0"/>
                <w:kern w:val="0"/>
                <w:szCs w:val="24"/>
                <w:lang w:eastAsia="zh-CN"/>
              </w:rPr>
              <w:t>、</w:t>
            </w:r>
            <w:r>
              <w:rPr>
                <w:rFonts w:hint="eastAsia"/>
                <w:b/>
                <w:bCs/>
                <w:color w:val="auto"/>
                <w:lang w:val="en-US" w:eastAsia="zh-CN"/>
              </w:rPr>
              <w:t>S1-7</w:t>
            </w:r>
            <w:r>
              <w:rPr>
                <w:rFonts w:hint="eastAsia" w:ascii="Times New Roman" w:hAnsi="Times New Roman" w:eastAsia="宋体"/>
                <w:b/>
                <w:bCs/>
                <w:color w:val="auto"/>
                <w:spacing w:val="0"/>
                <w:kern w:val="0"/>
                <w:szCs w:val="24"/>
                <w:lang w:eastAsia="zh-CN"/>
              </w:rPr>
              <w:t>废润滑油、</w:t>
            </w:r>
            <w:r>
              <w:rPr>
                <w:rFonts w:hint="eastAsia"/>
                <w:b/>
                <w:bCs/>
                <w:color w:val="auto"/>
                <w:lang w:val="en-US" w:eastAsia="zh-CN"/>
              </w:rPr>
              <w:t>S1-8</w:t>
            </w:r>
            <w:r>
              <w:rPr>
                <w:rFonts w:hint="eastAsia" w:ascii="Times New Roman" w:hAnsi="Times New Roman" w:eastAsia="宋体"/>
                <w:b/>
                <w:bCs/>
                <w:color w:val="auto"/>
                <w:spacing w:val="0"/>
                <w:kern w:val="0"/>
                <w:szCs w:val="24"/>
                <w:lang w:eastAsia="zh-CN"/>
              </w:rPr>
              <w:t>废乳化液、</w:t>
            </w:r>
            <w:r>
              <w:rPr>
                <w:rFonts w:hint="eastAsia" w:ascii="Times New Roman" w:hAnsi="Times New Roman" w:eastAsia="宋体" w:cs="Times New Roman"/>
                <w:b/>
                <w:bCs/>
                <w:lang w:val="en-US" w:eastAsia="zh-CN"/>
              </w:rPr>
              <w:t>N噪声</w:t>
            </w:r>
            <w:r>
              <w:rPr>
                <w:rFonts w:hint="eastAsia" w:ascii="Times New Roman" w:hAnsi="Times New Roman"/>
                <w:b/>
                <w:bCs/>
                <w:color w:val="auto"/>
                <w:sz w:val="21"/>
                <w:szCs w:val="21"/>
              </w:rPr>
              <w:t>。</w:t>
            </w:r>
          </w:p>
          <w:p>
            <w:pPr>
              <w:keepNext w:val="0"/>
              <w:keepLines w:val="0"/>
              <w:pageBreakBefore w:val="0"/>
              <w:widowControl/>
              <w:kinsoku/>
              <w:wordWrap/>
              <w:overflowPunct/>
              <w:topLinePunct w:val="0"/>
              <w:autoSpaceDE/>
              <w:autoSpaceDN/>
              <w:bidi w:val="0"/>
              <w:adjustRightInd/>
              <w:snapToGrid/>
              <w:spacing w:beforeAutospacing="0" w:afterAutospacing="0" w:line="500" w:lineRule="exact"/>
              <w:ind w:firstLine="420" w:firstLineChars="200"/>
              <w:contextualSpacing/>
              <w:jc w:val="left"/>
              <w:textAlignment w:val="auto"/>
              <w:rPr>
                <w:rFonts w:hint="eastAsia" w:eastAsia="宋体"/>
                <w:color w:val="auto"/>
                <w:szCs w:val="21"/>
                <w:lang w:val="en-US" w:eastAsia="zh-CN"/>
              </w:rPr>
            </w:pPr>
            <w:r>
              <w:rPr>
                <w:rFonts w:hint="eastAsia" w:eastAsia="宋体"/>
                <w:color w:val="auto"/>
                <w:szCs w:val="21"/>
                <w:lang w:val="en-US" w:eastAsia="zh-CN"/>
              </w:rPr>
              <w:t>设备维修：</w:t>
            </w:r>
            <w:r>
              <w:rPr>
                <w:rFonts w:hint="default" w:ascii="Times New Roman" w:hAnsi="Times New Roman" w:eastAsia="宋体" w:cs="Times New Roman"/>
                <w:b w:val="0"/>
                <w:bCs w:val="0"/>
                <w:color w:val="auto"/>
                <w:kern w:val="2"/>
                <w:sz w:val="21"/>
                <w:szCs w:val="24"/>
                <w:lang w:val="en-US" w:eastAsia="zh-CN" w:bidi="ar-SA"/>
              </w:rPr>
              <w:t>长期暴露在潮湿环境中的金属部件易锈死，常规工具如扳手、液压拉马无法拆卸时，气割可快速切除螺栓头或螺母。</w:t>
            </w:r>
            <w:r>
              <w:rPr>
                <w:rFonts w:hint="eastAsia" w:eastAsia="宋体"/>
                <w:color w:val="auto"/>
                <w:szCs w:val="21"/>
                <w:lang w:val="en-US" w:eastAsia="zh-CN"/>
              </w:rPr>
              <w:t>建设项目设备维修时必须使用气割</w:t>
            </w:r>
            <w:r>
              <w:rPr>
                <w:rFonts w:hint="eastAsia"/>
                <w:color w:val="auto"/>
                <w:szCs w:val="21"/>
                <w:lang w:val="en-US" w:eastAsia="zh-CN"/>
              </w:rPr>
              <w:t>，</w:t>
            </w:r>
            <w:r>
              <w:rPr>
                <w:rFonts w:hint="eastAsia" w:eastAsia="宋体"/>
                <w:color w:val="auto"/>
                <w:szCs w:val="21"/>
                <w:lang w:val="en-US" w:eastAsia="zh-CN"/>
              </w:rPr>
              <w:t>气割选用氧气和丙烷气割作为切割气体，气割过程中丙烷燃烧产生二氧化碳和水，另外还会产生少量无组织排放的粉尘此工序产生G1</w:t>
            </w:r>
            <w:r>
              <w:rPr>
                <w:rFonts w:hint="eastAsia"/>
                <w:color w:val="auto"/>
                <w:szCs w:val="21"/>
                <w:lang w:val="en-US" w:eastAsia="zh-CN"/>
              </w:rPr>
              <w:t>-6切割</w:t>
            </w:r>
            <w:r>
              <w:rPr>
                <w:rFonts w:hint="eastAsia" w:eastAsia="宋体"/>
                <w:color w:val="auto"/>
                <w:szCs w:val="21"/>
                <w:lang w:val="en-US" w:eastAsia="zh-CN"/>
              </w:rPr>
              <w:t>粉尘、N</w:t>
            </w:r>
            <w:r>
              <w:rPr>
                <w:rFonts w:hint="eastAsia" w:ascii="Times New Roman" w:hAnsi="Times New Roman" w:eastAsia="宋体" w:cs="Times New Roman"/>
                <w:b w:val="0"/>
                <w:bCs w:val="0"/>
                <w:color w:val="auto"/>
                <w:lang w:val="en-US" w:eastAsia="zh-CN"/>
              </w:rPr>
              <w:t>噪声</w:t>
            </w:r>
            <w:r>
              <w:rPr>
                <w:rFonts w:hint="eastAsia" w:eastAsia="宋体"/>
                <w:color w:val="auto"/>
                <w:szCs w:val="21"/>
                <w:lang w:val="en-US" w:eastAsia="zh-CN"/>
              </w:rPr>
              <w:t>。</w:t>
            </w:r>
          </w:p>
          <w:p>
            <w:pPr>
              <w:spacing w:line="500" w:lineRule="exact"/>
              <w:jc w:val="center"/>
              <w:rPr>
                <w:b/>
                <w:bCs/>
              </w:rPr>
            </w:pPr>
            <w:r>
              <w:rPr>
                <w:b/>
                <w:bCs/>
              </w:rPr>
              <w:t>表 2-</w:t>
            </w:r>
            <w:r>
              <w:rPr>
                <w:rFonts w:hint="eastAsia"/>
                <w:b/>
                <w:bCs/>
                <w:lang w:val="en-US" w:eastAsia="zh-CN"/>
              </w:rPr>
              <w:t>17</w:t>
            </w:r>
            <w:r>
              <w:rPr>
                <w:b/>
                <w:bCs/>
              </w:rPr>
              <w:t xml:space="preserve"> 主要产污环节及排污特征</w:t>
            </w:r>
          </w:p>
          <w:tbl>
            <w:tblPr>
              <w:tblStyle w:val="22"/>
              <w:tblW w:w="7856"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6"/>
              <w:gridCol w:w="707"/>
              <w:gridCol w:w="1444"/>
              <w:gridCol w:w="1891"/>
              <w:gridCol w:w="967"/>
              <w:gridCol w:w="215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6" w:type="dxa"/>
                  <w:tcBorders>
                    <w:tl2br w:val="nil"/>
                    <w:tr2bl w:val="nil"/>
                  </w:tcBorders>
                  <w:vAlign w:val="center"/>
                </w:tcPr>
                <w:p>
                  <w:pPr>
                    <w:jc w:val="center"/>
                    <w:rPr>
                      <w:sz w:val="18"/>
                      <w:szCs w:val="18"/>
                    </w:rPr>
                  </w:pPr>
                  <w:r>
                    <w:rPr>
                      <w:sz w:val="18"/>
                      <w:szCs w:val="18"/>
                    </w:rPr>
                    <w:t>类型</w:t>
                  </w:r>
                </w:p>
              </w:tc>
              <w:tc>
                <w:tcPr>
                  <w:tcW w:w="707" w:type="dxa"/>
                  <w:tcBorders>
                    <w:tl2br w:val="nil"/>
                    <w:tr2bl w:val="nil"/>
                  </w:tcBorders>
                  <w:vAlign w:val="center"/>
                </w:tcPr>
                <w:p>
                  <w:pPr>
                    <w:jc w:val="center"/>
                    <w:rPr>
                      <w:sz w:val="18"/>
                      <w:szCs w:val="18"/>
                    </w:rPr>
                  </w:pPr>
                  <w:r>
                    <w:rPr>
                      <w:sz w:val="18"/>
                      <w:szCs w:val="18"/>
                    </w:rPr>
                    <w:t>编号</w:t>
                  </w:r>
                </w:p>
              </w:tc>
              <w:tc>
                <w:tcPr>
                  <w:tcW w:w="1444" w:type="dxa"/>
                  <w:tcBorders>
                    <w:tl2br w:val="nil"/>
                    <w:tr2bl w:val="nil"/>
                  </w:tcBorders>
                  <w:vAlign w:val="center"/>
                </w:tcPr>
                <w:p>
                  <w:pPr>
                    <w:jc w:val="center"/>
                    <w:rPr>
                      <w:sz w:val="18"/>
                      <w:szCs w:val="18"/>
                    </w:rPr>
                  </w:pPr>
                  <w:r>
                    <w:rPr>
                      <w:sz w:val="18"/>
                      <w:szCs w:val="18"/>
                    </w:rPr>
                    <w:t>产污环节</w:t>
                  </w:r>
                </w:p>
              </w:tc>
              <w:tc>
                <w:tcPr>
                  <w:tcW w:w="1891" w:type="dxa"/>
                  <w:tcBorders>
                    <w:tl2br w:val="nil"/>
                    <w:tr2bl w:val="nil"/>
                  </w:tcBorders>
                  <w:vAlign w:val="center"/>
                </w:tcPr>
                <w:p>
                  <w:pPr>
                    <w:jc w:val="center"/>
                    <w:rPr>
                      <w:sz w:val="18"/>
                      <w:szCs w:val="18"/>
                    </w:rPr>
                  </w:pPr>
                  <w:r>
                    <w:rPr>
                      <w:sz w:val="18"/>
                      <w:szCs w:val="18"/>
                    </w:rPr>
                    <w:t>主要污染因子</w:t>
                  </w:r>
                </w:p>
              </w:tc>
              <w:tc>
                <w:tcPr>
                  <w:tcW w:w="967" w:type="dxa"/>
                  <w:tcBorders>
                    <w:tl2br w:val="nil"/>
                    <w:tr2bl w:val="nil"/>
                  </w:tcBorders>
                  <w:vAlign w:val="center"/>
                </w:tcPr>
                <w:p>
                  <w:pPr>
                    <w:jc w:val="center"/>
                    <w:rPr>
                      <w:sz w:val="18"/>
                      <w:szCs w:val="18"/>
                    </w:rPr>
                  </w:pPr>
                  <w:r>
                    <w:rPr>
                      <w:sz w:val="18"/>
                      <w:szCs w:val="18"/>
                    </w:rPr>
                    <w:t>特征</w:t>
                  </w:r>
                </w:p>
              </w:tc>
              <w:tc>
                <w:tcPr>
                  <w:tcW w:w="2151" w:type="dxa"/>
                  <w:tcBorders>
                    <w:tl2br w:val="nil"/>
                    <w:tr2bl w:val="nil"/>
                  </w:tcBorders>
                  <w:vAlign w:val="center"/>
                </w:tcPr>
                <w:p>
                  <w:pPr>
                    <w:jc w:val="center"/>
                    <w:rPr>
                      <w:sz w:val="18"/>
                      <w:szCs w:val="18"/>
                    </w:rPr>
                  </w:pPr>
                  <w:r>
                    <w:rPr>
                      <w:sz w:val="18"/>
                      <w:szCs w:val="18"/>
                    </w:rPr>
                    <w:t>处理措施及排放去向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6" w:type="dxa"/>
                  <w:vMerge w:val="restart"/>
                  <w:tcBorders>
                    <w:tl2br w:val="nil"/>
                    <w:tr2bl w:val="nil"/>
                  </w:tcBorders>
                  <w:vAlign w:val="center"/>
                </w:tcPr>
                <w:p>
                  <w:pPr>
                    <w:jc w:val="center"/>
                    <w:rPr>
                      <w:sz w:val="18"/>
                      <w:szCs w:val="18"/>
                    </w:rPr>
                  </w:pPr>
                  <w:r>
                    <w:rPr>
                      <w:sz w:val="18"/>
                      <w:szCs w:val="18"/>
                    </w:rPr>
                    <w:t>废水</w:t>
                  </w:r>
                </w:p>
              </w:tc>
              <w:tc>
                <w:tcPr>
                  <w:tcW w:w="707" w:type="dxa"/>
                  <w:tcBorders>
                    <w:tl2br w:val="nil"/>
                    <w:tr2bl w:val="nil"/>
                  </w:tcBorders>
                  <w:vAlign w:val="center"/>
                </w:tcPr>
                <w:p>
                  <w:pPr>
                    <w:jc w:val="center"/>
                    <w:rPr>
                      <w:rFonts w:hint="default" w:eastAsia="宋体"/>
                      <w:color w:val="auto"/>
                      <w:sz w:val="18"/>
                      <w:szCs w:val="18"/>
                      <w:lang w:val="en-US" w:eastAsia="zh-CN"/>
                    </w:rPr>
                  </w:pPr>
                  <w:r>
                    <w:rPr>
                      <w:color w:val="auto"/>
                      <w:sz w:val="18"/>
                      <w:szCs w:val="18"/>
                    </w:rPr>
                    <w:t>W1</w:t>
                  </w:r>
                  <w:r>
                    <w:rPr>
                      <w:rFonts w:hint="eastAsia"/>
                      <w:color w:val="auto"/>
                      <w:sz w:val="18"/>
                      <w:szCs w:val="18"/>
                      <w:lang w:val="en-US" w:eastAsia="zh-CN"/>
                    </w:rPr>
                    <w:t>-1</w:t>
                  </w:r>
                </w:p>
              </w:tc>
              <w:tc>
                <w:tcPr>
                  <w:tcW w:w="1444" w:type="dxa"/>
                  <w:tcBorders>
                    <w:tl2br w:val="nil"/>
                    <w:tr2bl w:val="nil"/>
                  </w:tcBorders>
                  <w:vAlign w:val="center"/>
                </w:tcPr>
                <w:p>
                  <w:pPr>
                    <w:jc w:val="center"/>
                    <w:rPr>
                      <w:color w:val="auto"/>
                      <w:sz w:val="18"/>
                      <w:szCs w:val="18"/>
                    </w:rPr>
                  </w:pPr>
                  <w:r>
                    <w:rPr>
                      <w:color w:val="auto"/>
                      <w:sz w:val="18"/>
                      <w:szCs w:val="18"/>
                    </w:rPr>
                    <w:t>冷却水</w:t>
                  </w:r>
                </w:p>
              </w:tc>
              <w:tc>
                <w:tcPr>
                  <w:tcW w:w="1891" w:type="dxa"/>
                  <w:tcBorders>
                    <w:tl2br w:val="nil"/>
                    <w:tr2bl w:val="nil"/>
                  </w:tcBorders>
                  <w:vAlign w:val="center"/>
                </w:tcPr>
                <w:p>
                  <w:pPr>
                    <w:widowControl/>
                    <w:jc w:val="center"/>
                    <w:rPr>
                      <w:color w:val="auto"/>
                      <w:sz w:val="18"/>
                      <w:szCs w:val="18"/>
                    </w:rPr>
                  </w:pPr>
                  <w:r>
                    <w:rPr>
                      <w:color w:val="auto"/>
                      <w:kern w:val="0"/>
                      <w:sz w:val="18"/>
                      <w:szCs w:val="18"/>
                      <w:lang w:bidi="ar"/>
                    </w:rPr>
                    <w:t>COD、SS</w:t>
                  </w:r>
                </w:p>
              </w:tc>
              <w:tc>
                <w:tcPr>
                  <w:tcW w:w="967" w:type="dxa"/>
                  <w:tcBorders>
                    <w:tl2br w:val="nil"/>
                    <w:tr2bl w:val="nil"/>
                  </w:tcBorders>
                  <w:vAlign w:val="center"/>
                </w:tcPr>
                <w:p>
                  <w:pPr>
                    <w:jc w:val="center"/>
                    <w:rPr>
                      <w:color w:val="auto"/>
                      <w:sz w:val="18"/>
                      <w:szCs w:val="18"/>
                    </w:rPr>
                  </w:pPr>
                  <w:r>
                    <w:rPr>
                      <w:color w:val="auto"/>
                      <w:sz w:val="18"/>
                      <w:szCs w:val="18"/>
                    </w:rPr>
                    <w:t>间歇</w:t>
                  </w:r>
                </w:p>
              </w:tc>
              <w:tc>
                <w:tcPr>
                  <w:tcW w:w="2151" w:type="dxa"/>
                  <w:tcBorders>
                    <w:tl2br w:val="nil"/>
                    <w:tr2bl w:val="nil"/>
                  </w:tcBorders>
                  <w:vAlign w:val="center"/>
                </w:tcPr>
                <w:p>
                  <w:pPr>
                    <w:jc w:val="center"/>
                    <w:rPr>
                      <w:rFonts w:hint="eastAsia" w:eastAsia="宋体"/>
                      <w:color w:val="auto"/>
                      <w:sz w:val="18"/>
                      <w:szCs w:val="18"/>
                      <w:lang w:eastAsia="zh-CN"/>
                    </w:rPr>
                  </w:pPr>
                  <w:r>
                    <w:rPr>
                      <w:color w:val="auto"/>
                      <w:sz w:val="18"/>
                      <w:szCs w:val="18"/>
                    </w:rPr>
                    <w:t>循环使用</w:t>
                  </w:r>
                  <w:r>
                    <w:rPr>
                      <w:rFonts w:hint="eastAsia"/>
                      <w:color w:val="auto"/>
                      <w:sz w:val="18"/>
                      <w:szCs w:val="18"/>
                      <w:lang w:eastAsia="zh-CN"/>
                    </w:rPr>
                    <w:t>后沉淀池预处理后接管至</w:t>
                  </w:r>
                  <w:r>
                    <w:rPr>
                      <w:rFonts w:hint="eastAsia" w:ascii="Times New Roman" w:hAnsi="Times New Roman" w:eastAsia="宋体" w:cs="Times New Roman"/>
                      <w:color w:val="auto"/>
                      <w:sz w:val="18"/>
                      <w:szCs w:val="18"/>
                      <w:lang w:val="en-US" w:eastAsia="zh-CN"/>
                    </w:rPr>
                    <w:t>如皋市富港水处理有限公司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6" w:type="dxa"/>
                  <w:vMerge w:val="continue"/>
                  <w:tcBorders>
                    <w:tl2br w:val="nil"/>
                    <w:tr2bl w:val="nil"/>
                  </w:tcBorders>
                  <w:vAlign w:val="center"/>
                </w:tcPr>
                <w:p>
                  <w:pPr>
                    <w:jc w:val="center"/>
                    <w:rPr>
                      <w:sz w:val="18"/>
                      <w:szCs w:val="18"/>
                    </w:rPr>
                  </w:pPr>
                </w:p>
              </w:tc>
              <w:tc>
                <w:tcPr>
                  <w:tcW w:w="707" w:type="dxa"/>
                  <w:tcBorders>
                    <w:tl2br w:val="nil"/>
                    <w:tr2bl w:val="nil"/>
                  </w:tcBorders>
                  <w:vAlign w:val="center"/>
                </w:tcPr>
                <w:p>
                  <w:pPr>
                    <w:jc w:val="center"/>
                    <w:rPr>
                      <w:rFonts w:hint="eastAsia" w:eastAsia="宋体"/>
                      <w:sz w:val="18"/>
                      <w:szCs w:val="18"/>
                      <w:lang w:eastAsia="zh-CN"/>
                    </w:rPr>
                  </w:pPr>
                  <w:r>
                    <w:rPr>
                      <w:sz w:val="18"/>
                      <w:szCs w:val="18"/>
                    </w:rPr>
                    <w:t>W</w:t>
                  </w:r>
                  <w:r>
                    <w:rPr>
                      <w:rFonts w:hint="eastAsia"/>
                      <w:sz w:val="18"/>
                      <w:szCs w:val="18"/>
                      <w:lang w:val="en-US" w:eastAsia="zh-CN"/>
                    </w:rPr>
                    <w:t>1</w:t>
                  </w:r>
                </w:p>
              </w:tc>
              <w:tc>
                <w:tcPr>
                  <w:tcW w:w="1444" w:type="dxa"/>
                  <w:tcBorders>
                    <w:tl2br w:val="nil"/>
                    <w:tr2bl w:val="nil"/>
                  </w:tcBorders>
                  <w:vAlign w:val="center"/>
                </w:tcPr>
                <w:p>
                  <w:pPr>
                    <w:jc w:val="center"/>
                    <w:rPr>
                      <w:sz w:val="18"/>
                      <w:szCs w:val="18"/>
                    </w:rPr>
                  </w:pPr>
                  <w:r>
                    <w:rPr>
                      <w:sz w:val="18"/>
                      <w:szCs w:val="18"/>
                    </w:rPr>
                    <w:t>员工生活</w:t>
                  </w:r>
                </w:p>
              </w:tc>
              <w:tc>
                <w:tcPr>
                  <w:tcW w:w="1891" w:type="dxa"/>
                  <w:tcBorders>
                    <w:tl2br w:val="nil"/>
                    <w:tr2bl w:val="nil"/>
                  </w:tcBorders>
                  <w:vAlign w:val="center"/>
                </w:tcPr>
                <w:p>
                  <w:pPr>
                    <w:jc w:val="center"/>
                    <w:rPr>
                      <w:sz w:val="18"/>
                      <w:szCs w:val="18"/>
                    </w:rPr>
                  </w:pPr>
                  <w:r>
                    <w:rPr>
                      <w:sz w:val="18"/>
                      <w:szCs w:val="18"/>
                    </w:rPr>
                    <w:t>COD、SS、TP、TN、NH</w:t>
                  </w:r>
                  <w:r>
                    <w:rPr>
                      <w:sz w:val="18"/>
                      <w:szCs w:val="18"/>
                      <w:vertAlign w:val="subscript"/>
                    </w:rPr>
                    <w:t>3</w:t>
                  </w:r>
                  <w:r>
                    <w:rPr>
                      <w:sz w:val="18"/>
                      <w:szCs w:val="18"/>
                    </w:rPr>
                    <w:t>-N</w:t>
                  </w:r>
                </w:p>
              </w:tc>
              <w:tc>
                <w:tcPr>
                  <w:tcW w:w="967" w:type="dxa"/>
                  <w:tcBorders>
                    <w:tl2br w:val="nil"/>
                    <w:tr2bl w:val="nil"/>
                  </w:tcBorders>
                  <w:vAlign w:val="center"/>
                </w:tcPr>
                <w:p>
                  <w:pPr>
                    <w:jc w:val="center"/>
                    <w:rPr>
                      <w:sz w:val="18"/>
                      <w:szCs w:val="18"/>
                    </w:rPr>
                  </w:pPr>
                  <w:r>
                    <w:rPr>
                      <w:sz w:val="18"/>
                      <w:szCs w:val="18"/>
                    </w:rPr>
                    <w:t>间歇</w:t>
                  </w:r>
                </w:p>
              </w:tc>
              <w:tc>
                <w:tcPr>
                  <w:tcW w:w="2151" w:type="dxa"/>
                  <w:vMerge w:val="restart"/>
                  <w:tcBorders>
                    <w:tl2br w:val="nil"/>
                    <w:tr2bl w:val="nil"/>
                  </w:tcBorders>
                  <w:vAlign w:val="center"/>
                </w:tcPr>
                <w:p>
                  <w:pPr>
                    <w:jc w:val="center"/>
                    <w:rPr>
                      <w:rFonts w:ascii="Times New Roman" w:hAnsi="Times New Roman" w:eastAsia="宋体" w:cs="Times New Roman"/>
                      <w:sz w:val="18"/>
                      <w:szCs w:val="18"/>
                    </w:rPr>
                  </w:pPr>
                  <w:r>
                    <w:rPr>
                      <w:rFonts w:hint="eastAsia"/>
                      <w:sz w:val="18"/>
                      <w:szCs w:val="18"/>
                      <w:lang w:eastAsia="zh-CN"/>
                    </w:rPr>
                    <w:t>隔油池、化粪池预处理后接管至</w:t>
                  </w:r>
                  <w:r>
                    <w:rPr>
                      <w:rFonts w:hint="eastAsia" w:ascii="Times New Roman" w:hAnsi="Times New Roman" w:eastAsia="宋体" w:cs="Times New Roman"/>
                      <w:sz w:val="18"/>
                      <w:szCs w:val="18"/>
                      <w:lang w:val="en-US" w:eastAsia="zh-CN"/>
                    </w:rPr>
                    <w:t>如皋市富港水处理有限公司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6" w:type="dxa"/>
                  <w:vMerge w:val="continue"/>
                  <w:tcBorders>
                    <w:tl2br w:val="nil"/>
                    <w:tr2bl w:val="nil"/>
                  </w:tcBorders>
                  <w:vAlign w:val="center"/>
                </w:tcPr>
                <w:p>
                  <w:pPr>
                    <w:jc w:val="center"/>
                    <w:rPr>
                      <w:sz w:val="18"/>
                      <w:szCs w:val="18"/>
                    </w:rPr>
                  </w:pPr>
                </w:p>
              </w:tc>
              <w:tc>
                <w:tcPr>
                  <w:tcW w:w="707" w:type="dxa"/>
                  <w:tcBorders>
                    <w:tl2br w:val="nil"/>
                    <w:tr2bl w:val="nil"/>
                  </w:tcBorders>
                  <w:vAlign w:val="center"/>
                </w:tcPr>
                <w:p>
                  <w:pPr>
                    <w:jc w:val="center"/>
                    <w:rPr>
                      <w:sz w:val="18"/>
                      <w:szCs w:val="18"/>
                    </w:rPr>
                  </w:pPr>
                  <w:r>
                    <w:rPr>
                      <w:sz w:val="18"/>
                      <w:szCs w:val="18"/>
                    </w:rPr>
                    <w:t>W</w:t>
                  </w:r>
                  <w:r>
                    <w:rPr>
                      <w:rFonts w:hint="eastAsia"/>
                      <w:sz w:val="18"/>
                      <w:szCs w:val="18"/>
                      <w:lang w:val="en-US" w:eastAsia="zh-CN"/>
                    </w:rPr>
                    <w:t>2</w:t>
                  </w:r>
                </w:p>
              </w:tc>
              <w:tc>
                <w:tcPr>
                  <w:tcW w:w="1444" w:type="dxa"/>
                  <w:tcBorders>
                    <w:tl2br w:val="nil"/>
                    <w:tr2bl w:val="nil"/>
                  </w:tcBorders>
                  <w:vAlign w:val="center"/>
                </w:tcPr>
                <w:p>
                  <w:pPr>
                    <w:jc w:val="center"/>
                    <w:rPr>
                      <w:rFonts w:hint="eastAsia" w:eastAsia="宋体"/>
                      <w:sz w:val="18"/>
                      <w:szCs w:val="18"/>
                      <w:lang w:eastAsia="zh-CN"/>
                    </w:rPr>
                  </w:pPr>
                  <w:r>
                    <w:rPr>
                      <w:rFonts w:hint="eastAsia"/>
                      <w:sz w:val="18"/>
                      <w:szCs w:val="18"/>
                      <w:lang w:eastAsia="zh-CN"/>
                    </w:rPr>
                    <w:t>食堂用水</w:t>
                  </w:r>
                </w:p>
              </w:tc>
              <w:tc>
                <w:tcPr>
                  <w:tcW w:w="1891" w:type="dxa"/>
                  <w:tcBorders>
                    <w:tl2br w:val="nil"/>
                    <w:tr2bl w:val="nil"/>
                  </w:tcBorders>
                  <w:vAlign w:val="center"/>
                </w:tcPr>
                <w:p>
                  <w:pPr>
                    <w:jc w:val="center"/>
                    <w:rPr>
                      <w:rFonts w:hint="eastAsia" w:eastAsia="宋体"/>
                      <w:sz w:val="18"/>
                      <w:szCs w:val="18"/>
                      <w:lang w:eastAsia="zh-CN"/>
                    </w:rPr>
                  </w:pPr>
                  <w:r>
                    <w:rPr>
                      <w:sz w:val="18"/>
                      <w:szCs w:val="18"/>
                    </w:rPr>
                    <w:t>COD、SS、TP、TN、NH</w:t>
                  </w:r>
                  <w:r>
                    <w:rPr>
                      <w:sz w:val="18"/>
                      <w:szCs w:val="18"/>
                      <w:vertAlign w:val="subscript"/>
                    </w:rPr>
                    <w:t>3</w:t>
                  </w:r>
                  <w:r>
                    <w:rPr>
                      <w:sz w:val="18"/>
                      <w:szCs w:val="18"/>
                    </w:rPr>
                    <w:t>-N</w:t>
                  </w:r>
                  <w:r>
                    <w:rPr>
                      <w:rFonts w:hint="eastAsia"/>
                      <w:sz w:val="18"/>
                      <w:szCs w:val="18"/>
                      <w:lang w:eastAsia="zh-CN"/>
                    </w:rPr>
                    <w:t>、动植物油</w:t>
                  </w:r>
                </w:p>
              </w:tc>
              <w:tc>
                <w:tcPr>
                  <w:tcW w:w="967" w:type="dxa"/>
                  <w:tcBorders>
                    <w:tl2br w:val="nil"/>
                    <w:tr2bl w:val="nil"/>
                  </w:tcBorders>
                  <w:vAlign w:val="center"/>
                </w:tcPr>
                <w:p>
                  <w:pPr>
                    <w:jc w:val="center"/>
                    <w:rPr>
                      <w:sz w:val="18"/>
                      <w:szCs w:val="18"/>
                    </w:rPr>
                  </w:pPr>
                  <w:r>
                    <w:rPr>
                      <w:sz w:val="18"/>
                      <w:szCs w:val="18"/>
                    </w:rPr>
                    <w:t>间歇</w:t>
                  </w:r>
                </w:p>
              </w:tc>
              <w:tc>
                <w:tcPr>
                  <w:tcW w:w="2151" w:type="dxa"/>
                  <w:vMerge w:val="continue"/>
                  <w:tcBorders>
                    <w:tl2br w:val="nil"/>
                    <w:tr2bl w:val="nil"/>
                  </w:tcBorders>
                  <w:vAlign w:val="center"/>
                </w:tcPr>
                <w:p>
                  <w:pPr>
                    <w:jc w:val="center"/>
                    <w:rPr>
                      <w:rFonts w:ascii="Times New Roman" w:hAnsi="Times New Roman" w:eastAsia="宋体" w:cs="Times New Roman"/>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6" w:type="dxa"/>
                  <w:vMerge w:val="restart"/>
                  <w:tcBorders>
                    <w:tl2br w:val="nil"/>
                    <w:tr2bl w:val="nil"/>
                  </w:tcBorders>
                  <w:vAlign w:val="center"/>
                </w:tcPr>
                <w:p>
                  <w:pPr>
                    <w:jc w:val="center"/>
                    <w:rPr>
                      <w:sz w:val="18"/>
                      <w:szCs w:val="18"/>
                    </w:rPr>
                  </w:pPr>
                  <w:r>
                    <w:rPr>
                      <w:sz w:val="18"/>
                      <w:szCs w:val="18"/>
                    </w:rPr>
                    <w:t>废气</w:t>
                  </w:r>
                </w:p>
              </w:tc>
              <w:tc>
                <w:tcPr>
                  <w:tcW w:w="707" w:type="dxa"/>
                  <w:tcBorders>
                    <w:tl2br w:val="nil"/>
                    <w:tr2bl w:val="nil"/>
                  </w:tcBorders>
                  <w:vAlign w:val="center"/>
                </w:tcPr>
                <w:p>
                  <w:pPr>
                    <w:jc w:val="center"/>
                    <w:rPr>
                      <w:rFonts w:hint="default"/>
                      <w:sz w:val="18"/>
                      <w:szCs w:val="18"/>
                      <w:lang w:val="en-US"/>
                    </w:rPr>
                  </w:pPr>
                  <w:r>
                    <w:rPr>
                      <w:sz w:val="18"/>
                      <w:szCs w:val="18"/>
                    </w:rPr>
                    <w:t>G</w:t>
                  </w:r>
                  <w:r>
                    <w:rPr>
                      <w:rFonts w:hint="eastAsia"/>
                      <w:sz w:val="18"/>
                      <w:szCs w:val="18"/>
                      <w:lang w:val="en-US" w:eastAsia="zh-CN"/>
                    </w:rPr>
                    <w:t>1-1、G1-2</w:t>
                  </w:r>
                </w:p>
              </w:tc>
              <w:tc>
                <w:tcPr>
                  <w:tcW w:w="1444" w:type="dxa"/>
                  <w:tcBorders>
                    <w:tl2br w:val="nil"/>
                    <w:tr2bl w:val="nil"/>
                  </w:tcBorders>
                  <w:vAlign w:val="center"/>
                </w:tcPr>
                <w:p>
                  <w:pPr>
                    <w:jc w:val="center"/>
                    <w:rPr>
                      <w:sz w:val="18"/>
                      <w:szCs w:val="18"/>
                    </w:rPr>
                  </w:pPr>
                  <w:r>
                    <w:rPr>
                      <w:rFonts w:hint="eastAsia"/>
                      <w:sz w:val="18"/>
                      <w:szCs w:val="18"/>
                      <w:lang w:eastAsia="zh-CN"/>
                    </w:rPr>
                    <w:t>燃烧废气</w:t>
                  </w:r>
                </w:p>
              </w:tc>
              <w:tc>
                <w:tcPr>
                  <w:tcW w:w="1891" w:type="dxa"/>
                  <w:tcBorders>
                    <w:tl2br w:val="nil"/>
                    <w:tr2bl w:val="nil"/>
                  </w:tcBorders>
                  <w:vAlign w:val="center"/>
                </w:tcPr>
                <w:p>
                  <w:pPr>
                    <w:jc w:val="center"/>
                    <w:rPr>
                      <w:sz w:val="18"/>
                      <w:szCs w:val="18"/>
                    </w:rPr>
                  </w:pPr>
                  <w:r>
                    <w:rPr>
                      <w:sz w:val="18"/>
                      <w:szCs w:val="18"/>
                    </w:rPr>
                    <w:t>颗粒物</w:t>
                  </w:r>
                  <w:r>
                    <w:rPr>
                      <w:rFonts w:hint="eastAsia"/>
                      <w:sz w:val="18"/>
                      <w:szCs w:val="18"/>
                      <w:lang w:eastAsia="zh-CN"/>
                    </w:rPr>
                    <w:t>、</w:t>
                  </w:r>
                  <w:r>
                    <w:rPr>
                      <w:rFonts w:hint="eastAsia"/>
                      <w:sz w:val="18"/>
                      <w:szCs w:val="18"/>
                      <w:lang w:val="en-US" w:eastAsia="zh-CN"/>
                    </w:rPr>
                    <w:t>SO</w:t>
                  </w:r>
                  <w:r>
                    <w:rPr>
                      <w:rFonts w:hint="eastAsia"/>
                      <w:sz w:val="18"/>
                      <w:szCs w:val="18"/>
                      <w:vertAlign w:val="subscript"/>
                      <w:lang w:val="en-US" w:eastAsia="zh-CN"/>
                    </w:rPr>
                    <w:t>2</w:t>
                  </w:r>
                  <w:r>
                    <w:rPr>
                      <w:rFonts w:hint="eastAsia"/>
                      <w:sz w:val="18"/>
                      <w:szCs w:val="18"/>
                      <w:lang w:val="en-US" w:eastAsia="zh-CN"/>
                    </w:rPr>
                    <w:t>、NOx</w:t>
                  </w:r>
                </w:p>
              </w:tc>
              <w:tc>
                <w:tcPr>
                  <w:tcW w:w="967" w:type="dxa"/>
                  <w:tcBorders>
                    <w:tl2br w:val="nil"/>
                    <w:tr2bl w:val="nil"/>
                  </w:tcBorders>
                  <w:vAlign w:val="center"/>
                </w:tcPr>
                <w:p>
                  <w:pPr>
                    <w:jc w:val="center"/>
                    <w:rPr>
                      <w:sz w:val="18"/>
                      <w:szCs w:val="18"/>
                    </w:rPr>
                  </w:pPr>
                  <w:r>
                    <w:rPr>
                      <w:sz w:val="18"/>
                      <w:szCs w:val="18"/>
                    </w:rPr>
                    <w:t>连续</w:t>
                  </w:r>
                </w:p>
              </w:tc>
              <w:tc>
                <w:tcPr>
                  <w:tcW w:w="2151" w:type="dxa"/>
                  <w:tcBorders>
                    <w:tl2br w:val="nil"/>
                    <w:tr2bl w:val="nil"/>
                  </w:tcBorders>
                  <w:vAlign w:val="center"/>
                </w:tcPr>
                <w:p>
                  <w:pPr>
                    <w:jc w:val="center"/>
                    <w:rPr>
                      <w:sz w:val="18"/>
                      <w:szCs w:val="18"/>
                    </w:rPr>
                  </w:pPr>
                  <w:r>
                    <w:rPr>
                      <w:rFonts w:hint="eastAsia"/>
                      <w:sz w:val="18"/>
                      <w:szCs w:val="18"/>
                      <w:lang w:val="en-US" w:eastAsia="zh-CN"/>
                    </w:rPr>
                    <w:t>直排+低氮燃烧</w:t>
                  </w:r>
                  <w:r>
                    <w:rPr>
                      <w:rFonts w:hint="eastAsia"/>
                      <w:color w:val="auto"/>
                      <w:sz w:val="18"/>
                      <w:szCs w:val="18"/>
                      <w:lang w:val="en-US" w:eastAsia="zh-CN"/>
                    </w:rPr>
                    <w:t>处理后</w:t>
                  </w:r>
                  <w:r>
                    <w:rPr>
                      <w:sz w:val="18"/>
                      <w:szCs w:val="18"/>
                    </w:rPr>
                    <w:t>排气筒外排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6" w:type="dxa"/>
                  <w:vMerge w:val="continue"/>
                  <w:tcBorders>
                    <w:tl2br w:val="nil"/>
                    <w:tr2bl w:val="nil"/>
                  </w:tcBorders>
                  <w:vAlign w:val="center"/>
                </w:tcPr>
                <w:p>
                  <w:pPr>
                    <w:jc w:val="center"/>
                    <w:rPr>
                      <w:sz w:val="18"/>
                      <w:szCs w:val="18"/>
                    </w:rPr>
                  </w:pPr>
                </w:p>
              </w:tc>
              <w:tc>
                <w:tcPr>
                  <w:tcW w:w="707" w:type="dxa"/>
                  <w:tcBorders>
                    <w:tl2br w:val="nil"/>
                    <w:tr2bl w:val="nil"/>
                  </w:tcBorders>
                  <w:vAlign w:val="center"/>
                </w:tcPr>
                <w:p>
                  <w:pPr>
                    <w:jc w:val="center"/>
                    <w:rPr>
                      <w:color w:val="auto"/>
                      <w:sz w:val="18"/>
                      <w:szCs w:val="18"/>
                    </w:rPr>
                  </w:pPr>
                  <w:r>
                    <w:rPr>
                      <w:rFonts w:hint="eastAsia"/>
                      <w:color w:val="auto"/>
                      <w:sz w:val="18"/>
                      <w:szCs w:val="18"/>
                      <w:lang w:val="en-US" w:eastAsia="zh-CN"/>
                    </w:rPr>
                    <w:t>G1-3</w:t>
                  </w:r>
                </w:p>
              </w:tc>
              <w:tc>
                <w:tcPr>
                  <w:tcW w:w="1444" w:type="dxa"/>
                  <w:tcBorders>
                    <w:tl2br w:val="nil"/>
                    <w:tr2bl w:val="nil"/>
                  </w:tcBorders>
                  <w:vAlign w:val="center"/>
                </w:tcPr>
                <w:p>
                  <w:pPr>
                    <w:jc w:val="center"/>
                    <w:rPr>
                      <w:rFonts w:hint="eastAsia"/>
                      <w:color w:val="auto"/>
                      <w:sz w:val="18"/>
                      <w:szCs w:val="18"/>
                      <w:lang w:eastAsia="zh-CN"/>
                    </w:rPr>
                  </w:pPr>
                  <w:r>
                    <w:rPr>
                      <w:rFonts w:hint="eastAsia"/>
                      <w:color w:val="auto"/>
                      <w:sz w:val="18"/>
                      <w:szCs w:val="18"/>
                      <w:lang w:eastAsia="zh-CN"/>
                    </w:rPr>
                    <w:t>下料</w:t>
                  </w:r>
                  <w:r>
                    <w:rPr>
                      <w:rFonts w:hint="eastAsia"/>
                      <w:color w:val="auto"/>
                      <w:sz w:val="18"/>
                      <w:szCs w:val="18"/>
                      <w:lang w:val="en-US" w:eastAsia="zh-CN"/>
                    </w:rPr>
                    <w:t>切割粉尘</w:t>
                  </w:r>
                </w:p>
              </w:tc>
              <w:tc>
                <w:tcPr>
                  <w:tcW w:w="1891" w:type="dxa"/>
                  <w:tcBorders>
                    <w:tl2br w:val="nil"/>
                    <w:tr2bl w:val="nil"/>
                  </w:tcBorders>
                  <w:vAlign w:val="center"/>
                </w:tcPr>
                <w:p>
                  <w:pPr>
                    <w:jc w:val="center"/>
                    <w:rPr>
                      <w:rFonts w:hint="eastAsia" w:eastAsia="宋体"/>
                      <w:color w:val="auto"/>
                      <w:sz w:val="18"/>
                      <w:szCs w:val="18"/>
                      <w:lang w:eastAsia="zh-CN"/>
                    </w:rPr>
                  </w:pPr>
                  <w:r>
                    <w:rPr>
                      <w:rFonts w:hint="eastAsia"/>
                      <w:color w:val="auto"/>
                      <w:sz w:val="18"/>
                      <w:szCs w:val="18"/>
                      <w:lang w:eastAsia="zh-CN"/>
                    </w:rPr>
                    <w:t>颗粒物</w:t>
                  </w:r>
                </w:p>
              </w:tc>
              <w:tc>
                <w:tcPr>
                  <w:tcW w:w="967" w:type="dxa"/>
                  <w:tcBorders>
                    <w:tl2br w:val="nil"/>
                    <w:tr2bl w:val="nil"/>
                  </w:tcBorders>
                  <w:vAlign w:val="center"/>
                </w:tcPr>
                <w:p>
                  <w:pPr>
                    <w:jc w:val="center"/>
                    <w:rPr>
                      <w:color w:val="auto"/>
                      <w:sz w:val="18"/>
                      <w:szCs w:val="18"/>
                    </w:rPr>
                  </w:pPr>
                  <w:r>
                    <w:rPr>
                      <w:color w:val="auto"/>
                      <w:sz w:val="18"/>
                      <w:szCs w:val="18"/>
                    </w:rPr>
                    <w:t>连续</w:t>
                  </w:r>
                </w:p>
              </w:tc>
              <w:tc>
                <w:tcPr>
                  <w:tcW w:w="2151" w:type="dxa"/>
                  <w:tcBorders>
                    <w:tl2br w:val="nil"/>
                    <w:tr2bl w:val="nil"/>
                  </w:tcBorders>
                  <w:vAlign w:val="center"/>
                </w:tcPr>
                <w:p>
                  <w:pPr>
                    <w:jc w:val="center"/>
                    <w:rPr>
                      <w:rFonts w:hint="eastAsia"/>
                      <w:color w:val="auto"/>
                      <w:sz w:val="18"/>
                      <w:szCs w:val="18"/>
                      <w:lang w:val="en-US" w:eastAsia="zh-CN"/>
                    </w:rPr>
                  </w:pPr>
                  <w:r>
                    <w:rPr>
                      <w:rFonts w:hint="eastAsia"/>
                      <w:color w:val="auto"/>
                      <w:sz w:val="18"/>
                      <w:szCs w:val="18"/>
                      <w:lang w:val="en-US" w:eastAsia="zh-CN"/>
                    </w:rPr>
                    <w:t>集气罩+布袋除尘装置处理后</w:t>
                  </w:r>
                  <w:r>
                    <w:rPr>
                      <w:color w:val="auto"/>
                      <w:sz w:val="18"/>
                      <w:szCs w:val="18"/>
                    </w:rPr>
                    <w:t>排气筒外排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6" w:type="dxa"/>
                  <w:vMerge w:val="continue"/>
                  <w:tcBorders>
                    <w:tl2br w:val="nil"/>
                    <w:tr2bl w:val="nil"/>
                  </w:tcBorders>
                  <w:vAlign w:val="center"/>
                </w:tcPr>
                <w:p>
                  <w:pPr>
                    <w:jc w:val="center"/>
                    <w:rPr>
                      <w:sz w:val="18"/>
                      <w:szCs w:val="18"/>
                    </w:rPr>
                  </w:pPr>
                </w:p>
              </w:tc>
              <w:tc>
                <w:tcPr>
                  <w:tcW w:w="707" w:type="dxa"/>
                  <w:tcBorders>
                    <w:tl2br w:val="nil"/>
                    <w:tr2bl w:val="nil"/>
                  </w:tcBorders>
                  <w:vAlign w:val="center"/>
                </w:tcPr>
                <w:p>
                  <w:pPr>
                    <w:jc w:val="center"/>
                    <w:rPr>
                      <w:color w:val="auto"/>
                      <w:sz w:val="18"/>
                      <w:szCs w:val="18"/>
                    </w:rPr>
                  </w:pPr>
                  <w:r>
                    <w:rPr>
                      <w:rFonts w:hint="eastAsia"/>
                      <w:color w:val="auto"/>
                      <w:sz w:val="18"/>
                      <w:szCs w:val="18"/>
                      <w:lang w:val="en-US" w:eastAsia="zh-CN"/>
                    </w:rPr>
                    <w:t>G1-4</w:t>
                  </w:r>
                </w:p>
              </w:tc>
              <w:tc>
                <w:tcPr>
                  <w:tcW w:w="1444" w:type="dxa"/>
                  <w:tcBorders>
                    <w:tl2br w:val="nil"/>
                    <w:tr2bl w:val="nil"/>
                  </w:tcBorders>
                  <w:vAlign w:val="center"/>
                </w:tcPr>
                <w:p>
                  <w:pPr>
                    <w:jc w:val="center"/>
                    <w:rPr>
                      <w:rFonts w:hint="eastAsia"/>
                      <w:color w:val="auto"/>
                      <w:sz w:val="18"/>
                      <w:szCs w:val="18"/>
                      <w:lang w:eastAsia="zh-CN"/>
                    </w:rPr>
                  </w:pPr>
                  <w:r>
                    <w:rPr>
                      <w:rFonts w:hint="eastAsia"/>
                      <w:color w:val="auto"/>
                      <w:sz w:val="18"/>
                      <w:szCs w:val="18"/>
                      <w:lang w:eastAsia="zh-CN"/>
                    </w:rPr>
                    <w:t>打磨粉尘</w:t>
                  </w:r>
                </w:p>
              </w:tc>
              <w:tc>
                <w:tcPr>
                  <w:tcW w:w="1891" w:type="dxa"/>
                  <w:tcBorders>
                    <w:tl2br w:val="nil"/>
                    <w:tr2bl w:val="nil"/>
                  </w:tcBorders>
                  <w:vAlign w:val="center"/>
                </w:tcPr>
                <w:p>
                  <w:pPr>
                    <w:jc w:val="center"/>
                    <w:rPr>
                      <w:color w:val="auto"/>
                      <w:sz w:val="18"/>
                      <w:szCs w:val="18"/>
                    </w:rPr>
                  </w:pPr>
                  <w:r>
                    <w:rPr>
                      <w:rFonts w:hint="eastAsia"/>
                      <w:color w:val="auto"/>
                      <w:sz w:val="18"/>
                      <w:szCs w:val="18"/>
                      <w:lang w:eastAsia="zh-CN"/>
                    </w:rPr>
                    <w:t>颗粒物</w:t>
                  </w:r>
                </w:p>
              </w:tc>
              <w:tc>
                <w:tcPr>
                  <w:tcW w:w="967" w:type="dxa"/>
                  <w:tcBorders>
                    <w:tl2br w:val="nil"/>
                    <w:tr2bl w:val="nil"/>
                  </w:tcBorders>
                  <w:vAlign w:val="center"/>
                </w:tcPr>
                <w:p>
                  <w:pPr>
                    <w:jc w:val="center"/>
                    <w:rPr>
                      <w:color w:val="auto"/>
                      <w:sz w:val="18"/>
                      <w:szCs w:val="18"/>
                    </w:rPr>
                  </w:pPr>
                  <w:r>
                    <w:rPr>
                      <w:color w:val="auto"/>
                      <w:sz w:val="18"/>
                      <w:szCs w:val="18"/>
                    </w:rPr>
                    <w:t>间歇</w:t>
                  </w:r>
                </w:p>
              </w:tc>
              <w:tc>
                <w:tcPr>
                  <w:tcW w:w="2151" w:type="dxa"/>
                  <w:tcBorders>
                    <w:tl2br w:val="nil"/>
                    <w:tr2bl w:val="nil"/>
                  </w:tcBorders>
                  <w:vAlign w:val="center"/>
                </w:tcPr>
                <w:p>
                  <w:pPr>
                    <w:jc w:val="center"/>
                    <w:rPr>
                      <w:rFonts w:hint="default"/>
                      <w:color w:val="auto"/>
                      <w:sz w:val="18"/>
                      <w:szCs w:val="18"/>
                      <w:lang w:val="en-US" w:eastAsia="zh-CN"/>
                    </w:rPr>
                  </w:pPr>
                  <w:r>
                    <w:rPr>
                      <w:rFonts w:hint="eastAsia"/>
                      <w:color w:val="auto"/>
                      <w:sz w:val="18"/>
                      <w:szCs w:val="18"/>
                      <w:lang w:val="en-US" w:eastAsia="zh-CN"/>
                    </w:rPr>
                    <w:t>集气罩+移动式除尘器+无组织排放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6" w:type="dxa"/>
                  <w:vMerge w:val="continue"/>
                  <w:tcBorders>
                    <w:tl2br w:val="nil"/>
                    <w:tr2bl w:val="nil"/>
                  </w:tcBorders>
                  <w:vAlign w:val="center"/>
                </w:tcPr>
                <w:p>
                  <w:pPr>
                    <w:jc w:val="center"/>
                    <w:rPr>
                      <w:sz w:val="18"/>
                      <w:szCs w:val="18"/>
                    </w:rPr>
                  </w:pPr>
                </w:p>
              </w:tc>
              <w:tc>
                <w:tcPr>
                  <w:tcW w:w="707" w:type="dxa"/>
                  <w:tcBorders>
                    <w:tl2br w:val="nil"/>
                    <w:tr2bl w:val="nil"/>
                  </w:tcBorders>
                  <w:vAlign w:val="center"/>
                </w:tcPr>
                <w:p>
                  <w:pPr>
                    <w:jc w:val="center"/>
                    <w:rPr>
                      <w:rFonts w:hint="default"/>
                      <w:color w:val="auto"/>
                      <w:sz w:val="18"/>
                      <w:szCs w:val="18"/>
                      <w:lang w:val="en-US" w:eastAsia="zh-CN"/>
                    </w:rPr>
                  </w:pPr>
                  <w:r>
                    <w:rPr>
                      <w:rFonts w:hint="eastAsia"/>
                      <w:color w:val="auto"/>
                      <w:sz w:val="18"/>
                      <w:szCs w:val="18"/>
                      <w:lang w:val="en-US" w:eastAsia="zh-CN"/>
                    </w:rPr>
                    <w:t>G1-5</w:t>
                  </w:r>
                </w:p>
              </w:tc>
              <w:tc>
                <w:tcPr>
                  <w:tcW w:w="1444" w:type="dxa"/>
                  <w:tcBorders>
                    <w:tl2br w:val="nil"/>
                    <w:tr2bl w:val="nil"/>
                  </w:tcBorders>
                  <w:vAlign w:val="center"/>
                </w:tcPr>
                <w:p>
                  <w:pPr>
                    <w:jc w:val="center"/>
                    <w:rPr>
                      <w:rFonts w:hint="eastAsia"/>
                      <w:color w:val="auto"/>
                      <w:sz w:val="18"/>
                      <w:szCs w:val="18"/>
                      <w:lang w:eastAsia="zh-CN"/>
                    </w:rPr>
                  </w:pPr>
                  <w:r>
                    <w:rPr>
                      <w:rFonts w:hint="eastAsia"/>
                      <w:color w:val="auto"/>
                      <w:sz w:val="18"/>
                      <w:szCs w:val="18"/>
                      <w:lang w:eastAsia="zh-CN"/>
                    </w:rPr>
                    <w:t>机加工废气</w:t>
                  </w:r>
                </w:p>
              </w:tc>
              <w:tc>
                <w:tcPr>
                  <w:tcW w:w="1891" w:type="dxa"/>
                  <w:tcBorders>
                    <w:tl2br w:val="nil"/>
                    <w:tr2bl w:val="nil"/>
                  </w:tcBorders>
                  <w:vAlign w:val="center"/>
                </w:tcPr>
                <w:p>
                  <w:pPr>
                    <w:jc w:val="center"/>
                    <w:rPr>
                      <w:rFonts w:hint="eastAsia" w:eastAsia="宋体"/>
                      <w:color w:val="auto"/>
                      <w:sz w:val="18"/>
                      <w:szCs w:val="18"/>
                      <w:lang w:eastAsia="zh-CN"/>
                    </w:rPr>
                  </w:pPr>
                  <w:r>
                    <w:rPr>
                      <w:rFonts w:hint="eastAsia"/>
                      <w:color w:val="auto"/>
                      <w:sz w:val="18"/>
                      <w:szCs w:val="18"/>
                      <w:lang w:eastAsia="zh-CN"/>
                    </w:rPr>
                    <w:t>非甲烷总烃</w:t>
                  </w:r>
                </w:p>
              </w:tc>
              <w:tc>
                <w:tcPr>
                  <w:tcW w:w="967" w:type="dxa"/>
                  <w:tcBorders>
                    <w:tl2br w:val="nil"/>
                    <w:tr2bl w:val="nil"/>
                  </w:tcBorders>
                  <w:vAlign w:val="center"/>
                </w:tcPr>
                <w:p>
                  <w:pPr>
                    <w:jc w:val="center"/>
                    <w:rPr>
                      <w:color w:val="auto"/>
                      <w:sz w:val="18"/>
                      <w:szCs w:val="18"/>
                    </w:rPr>
                  </w:pPr>
                  <w:r>
                    <w:rPr>
                      <w:color w:val="auto"/>
                      <w:sz w:val="18"/>
                      <w:szCs w:val="18"/>
                    </w:rPr>
                    <w:t>间歇</w:t>
                  </w:r>
                </w:p>
              </w:tc>
              <w:tc>
                <w:tcPr>
                  <w:tcW w:w="2151" w:type="dxa"/>
                  <w:tcBorders>
                    <w:tl2br w:val="nil"/>
                    <w:tr2bl w:val="nil"/>
                  </w:tcBorders>
                  <w:vAlign w:val="center"/>
                </w:tcPr>
                <w:p>
                  <w:pPr>
                    <w:jc w:val="center"/>
                    <w:rPr>
                      <w:rFonts w:hint="eastAsia"/>
                      <w:color w:val="auto"/>
                      <w:sz w:val="18"/>
                      <w:szCs w:val="18"/>
                      <w:lang w:val="en-US" w:eastAsia="zh-CN"/>
                    </w:rPr>
                  </w:pPr>
                  <w:r>
                    <w:rPr>
                      <w:rFonts w:hint="eastAsia"/>
                      <w:color w:val="auto"/>
                      <w:sz w:val="18"/>
                      <w:szCs w:val="18"/>
                      <w:lang w:val="en-US" w:eastAsia="zh-CN"/>
                    </w:rPr>
                    <w:t>无组织排放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6" w:type="dxa"/>
                  <w:vMerge w:val="continue"/>
                  <w:tcBorders>
                    <w:tl2br w:val="nil"/>
                    <w:tr2bl w:val="nil"/>
                  </w:tcBorders>
                  <w:vAlign w:val="center"/>
                </w:tcPr>
                <w:p>
                  <w:pPr>
                    <w:jc w:val="center"/>
                    <w:rPr>
                      <w:sz w:val="18"/>
                      <w:szCs w:val="18"/>
                    </w:rPr>
                  </w:pPr>
                </w:p>
              </w:tc>
              <w:tc>
                <w:tcPr>
                  <w:tcW w:w="707" w:type="dxa"/>
                  <w:tcBorders>
                    <w:tl2br w:val="nil"/>
                    <w:tr2bl w:val="nil"/>
                  </w:tcBorders>
                  <w:vAlign w:val="center"/>
                </w:tcPr>
                <w:p>
                  <w:pPr>
                    <w:jc w:val="center"/>
                    <w:rPr>
                      <w:rFonts w:hint="default"/>
                      <w:color w:val="auto"/>
                      <w:sz w:val="18"/>
                      <w:szCs w:val="18"/>
                      <w:lang w:val="en-US"/>
                    </w:rPr>
                  </w:pPr>
                  <w:r>
                    <w:rPr>
                      <w:color w:val="auto"/>
                      <w:sz w:val="18"/>
                      <w:szCs w:val="18"/>
                    </w:rPr>
                    <w:t>G</w:t>
                  </w:r>
                  <w:r>
                    <w:rPr>
                      <w:rFonts w:hint="eastAsia"/>
                      <w:color w:val="auto"/>
                      <w:sz w:val="18"/>
                      <w:szCs w:val="18"/>
                      <w:lang w:val="en-US" w:eastAsia="zh-CN"/>
                    </w:rPr>
                    <w:t>1-6</w:t>
                  </w:r>
                </w:p>
              </w:tc>
              <w:tc>
                <w:tcPr>
                  <w:tcW w:w="1444" w:type="dxa"/>
                  <w:tcBorders>
                    <w:tl2br w:val="nil"/>
                    <w:tr2bl w:val="nil"/>
                  </w:tcBorders>
                  <w:vAlign w:val="center"/>
                </w:tcPr>
                <w:p>
                  <w:pPr>
                    <w:jc w:val="center"/>
                    <w:rPr>
                      <w:rFonts w:hint="eastAsia"/>
                      <w:color w:val="auto"/>
                      <w:sz w:val="18"/>
                      <w:szCs w:val="18"/>
                      <w:lang w:eastAsia="zh-CN"/>
                    </w:rPr>
                  </w:pPr>
                  <w:r>
                    <w:rPr>
                      <w:rFonts w:hint="eastAsia"/>
                      <w:color w:val="auto"/>
                      <w:sz w:val="18"/>
                      <w:szCs w:val="18"/>
                      <w:lang w:val="en-US" w:eastAsia="zh-CN"/>
                    </w:rPr>
                    <w:t>维修</w:t>
                  </w:r>
                  <w:r>
                    <w:rPr>
                      <w:rFonts w:hint="eastAsia" w:eastAsia="宋体"/>
                      <w:color w:val="auto"/>
                      <w:sz w:val="18"/>
                      <w:szCs w:val="18"/>
                      <w:lang w:val="en-US" w:eastAsia="zh-CN"/>
                    </w:rPr>
                    <w:t>切割</w:t>
                  </w:r>
                  <w:r>
                    <w:rPr>
                      <w:rFonts w:hint="eastAsia" w:ascii="Times New Roman" w:hAnsi="Times New Roman" w:eastAsia="宋体" w:cs="Times New Roman"/>
                      <w:color w:val="auto"/>
                      <w:sz w:val="18"/>
                      <w:szCs w:val="18"/>
                      <w:lang w:val="en-US" w:eastAsia="zh-CN"/>
                    </w:rPr>
                    <w:t>粉尘</w:t>
                  </w:r>
                </w:p>
              </w:tc>
              <w:tc>
                <w:tcPr>
                  <w:tcW w:w="1891" w:type="dxa"/>
                  <w:tcBorders>
                    <w:tl2br w:val="nil"/>
                    <w:tr2bl w:val="nil"/>
                  </w:tcBorders>
                  <w:vAlign w:val="center"/>
                </w:tcPr>
                <w:p>
                  <w:pPr>
                    <w:jc w:val="center"/>
                    <w:rPr>
                      <w:color w:val="auto"/>
                      <w:sz w:val="18"/>
                      <w:szCs w:val="18"/>
                    </w:rPr>
                  </w:pPr>
                  <w:r>
                    <w:rPr>
                      <w:color w:val="auto"/>
                      <w:sz w:val="18"/>
                      <w:szCs w:val="18"/>
                    </w:rPr>
                    <w:t>颗粒物</w:t>
                  </w:r>
                </w:p>
              </w:tc>
              <w:tc>
                <w:tcPr>
                  <w:tcW w:w="967" w:type="dxa"/>
                  <w:tcBorders>
                    <w:tl2br w:val="nil"/>
                    <w:tr2bl w:val="nil"/>
                  </w:tcBorders>
                  <w:vAlign w:val="center"/>
                </w:tcPr>
                <w:p>
                  <w:pPr>
                    <w:jc w:val="center"/>
                    <w:rPr>
                      <w:color w:val="auto"/>
                      <w:sz w:val="18"/>
                      <w:szCs w:val="18"/>
                    </w:rPr>
                  </w:pPr>
                  <w:r>
                    <w:rPr>
                      <w:color w:val="auto"/>
                      <w:sz w:val="18"/>
                      <w:szCs w:val="18"/>
                    </w:rPr>
                    <w:t>间歇</w:t>
                  </w:r>
                </w:p>
              </w:tc>
              <w:tc>
                <w:tcPr>
                  <w:tcW w:w="2151" w:type="dxa"/>
                  <w:tcBorders>
                    <w:tl2br w:val="nil"/>
                    <w:tr2bl w:val="nil"/>
                  </w:tcBorders>
                  <w:vAlign w:val="center"/>
                </w:tcPr>
                <w:p>
                  <w:pPr>
                    <w:jc w:val="center"/>
                    <w:rPr>
                      <w:rFonts w:hint="eastAsia"/>
                      <w:color w:val="FF0000"/>
                      <w:sz w:val="18"/>
                      <w:szCs w:val="18"/>
                      <w:lang w:val="en-US" w:eastAsia="zh-CN"/>
                    </w:rPr>
                  </w:pPr>
                  <w:r>
                    <w:rPr>
                      <w:rFonts w:hint="eastAsia"/>
                      <w:sz w:val="18"/>
                      <w:szCs w:val="18"/>
                      <w:lang w:val="en-US" w:eastAsia="zh-CN"/>
                    </w:rPr>
                    <w:t>集气罩+移动式除尘器+无组织排放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6" w:type="dxa"/>
                  <w:vMerge w:val="continue"/>
                  <w:tcBorders>
                    <w:tl2br w:val="nil"/>
                    <w:tr2bl w:val="nil"/>
                  </w:tcBorders>
                  <w:vAlign w:val="center"/>
                </w:tcPr>
                <w:p>
                  <w:pPr>
                    <w:jc w:val="center"/>
                    <w:rPr>
                      <w:sz w:val="18"/>
                      <w:szCs w:val="18"/>
                    </w:rPr>
                  </w:pPr>
                </w:p>
              </w:tc>
              <w:tc>
                <w:tcPr>
                  <w:tcW w:w="707" w:type="dxa"/>
                  <w:tcBorders>
                    <w:tl2br w:val="nil"/>
                    <w:tr2bl w:val="nil"/>
                  </w:tcBorders>
                  <w:vAlign w:val="center"/>
                </w:tcPr>
                <w:p>
                  <w:pPr>
                    <w:jc w:val="center"/>
                    <w:rPr>
                      <w:rFonts w:hint="default" w:eastAsia="宋体"/>
                      <w:color w:val="auto"/>
                      <w:sz w:val="18"/>
                      <w:szCs w:val="18"/>
                      <w:lang w:val="en-US" w:eastAsia="zh-CN"/>
                    </w:rPr>
                  </w:pPr>
                  <w:r>
                    <w:rPr>
                      <w:rFonts w:hint="eastAsia"/>
                      <w:color w:val="auto"/>
                      <w:sz w:val="18"/>
                      <w:szCs w:val="18"/>
                      <w:lang w:val="en-US" w:eastAsia="zh-CN"/>
                    </w:rPr>
                    <w:t>G1</w:t>
                  </w:r>
                </w:p>
              </w:tc>
              <w:tc>
                <w:tcPr>
                  <w:tcW w:w="1444" w:type="dxa"/>
                  <w:tcBorders>
                    <w:tl2br w:val="nil"/>
                    <w:tr2bl w:val="nil"/>
                  </w:tcBorders>
                  <w:vAlign w:val="center"/>
                </w:tcPr>
                <w:p>
                  <w:pPr>
                    <w:jc w:val="center"/>
                    <w:rPr>
                      <w:rFonts w:hint="eastAsia"/>
                      <w:color w:val="auto"/>
                      <w:sz w:val="18"/>
                      <w:szCs w:val="18"/>
                      <w:lang w:val="en-US" w:eastAsia="zh-CN"/>
                    </w:rPr>
                  </w:pPr>
                  <w:r>
                    <w:rPr>
                      <w:rFonts w:hint="eastAsia"/>
                      <w:color w:val="auto"/>
                      <w:sz w:val="18"/>
                      <w:szCs w:val="18"/>
                      <w:lang w:val="en-US" w:eastAsia="zh-CN"/>
                    </w:rPr>
                    <w:t>食堂废气</w:t>
                  </w:r>
                </w:p>
              </w:tc>
              <w:tc>
                <w:tcPr>
                  <w:tcW w:w="1891" w:type="dxa"/>
                  <w:tcBorders>
                    <w:tl2br w:val="nil"/>
                    <w:tr2bl w:val="nil"/>
                  </w:tcBorders>
                  <w:vAlign w:val="center"/>
                </w:tcPr>
                <w:p>
                  <w:pPr>
                    <w:jc w:val="center"/>
                    <w:rPr>
                      <w:rFonts w:hint="eastAsia" w:eastAsia="宋体"/>
                      <w:color w:val="auto"/>
                      <w:sz w:val="18"/>
                      <w:szCs w:val="18"/>
                      <w:lang w:eastAsia="zh-CN"/>
                    </w:rPr>
                  </w:pPr>
                  <w:r>
                    <w:rPr>
                      <w:rFonts w:hint="eastAsia"/>
                      <w:color w:val="auto"/>
                      <w:sz w:val="18"/>
                      <w:szCs w:val="18"/>
                      <w:lang w:eastAsia="zh-CN"/>
                    </w:rPr>
                    <w:t>食堂油烟</w:t>
                  </w:r>
                </w:p>
              </w:tc>
              <w:tc>
                <w:tcPr>
                  <w:tcW w:w="967" w:type="dxa"/>
                  <w:tcBorders>
                    <w:tl2br w:val="nil"/>
                    <w:tr2bl w:val="nil"/>
                  </w:tcBorders>
                  <w:vAlign w:val="center"/>
                </w:tcPr>
                <w:p>
                  <w:pPr>
                    <w:jc w:val="center"/>
                    <w:rPr>
                      <w:color w:val="auto"/>
                      <w:sz w:val="18"/>
                      <w:szCs w:val="18"/>
                    </w:rPr>
                  </w:pPr>
                  <w:r>
                    <w:rPr>
                      <w:color w:val="auto"/>
                      <w:sz w:val="18"/>
                      <w:szCs w:val="18"/>
                    </w:rPr>
                    <w:t>间歇</w:t>
                  </w:r>
                </w:p>
              </w:tc>
              <w:tc>
                <w:tcPr>
                  <w:tcW w:w="2151" w:type="dxa"/>
                  <w:tcBorders>
                    <w:tl2br w:val="nil"/>
                    <w:tr2bl w:val="nil"/>
                  </w:tcBorders>
                  <w:vAlign w:val="center"/>
                </w:tcPr>
                <w:p>
                  <w:pPr>
                    <w:jc w:val="center"/>
                    <w:rPr>
                      <w:rFonts w:hint="eastAsia"/>
                      <w:sz w:val="18"/>
                      <w:szCs w:val="18"/>
                      <w:lang w:val="en-US" w:eastAsia="zh-CN"/>
                    </w:rPr>
                  </w:pPr>
                  <w:r>
                    <w:rPr>
                      <w:rFonts w:hint="eastAsia" w:ascii="Times New Roman" w:hAnsi="Times New Roman" w:eastAsia="宋体" w:cs="Times New Roman"/>
                      <w:bCs/>
                      <w:color w:val="auto"/>
                      <w:sz w:val="18"/>
                      <w:szCs w:val="18"/>
                      <w:lang w:val="en-US" w:eastAsia="zh-CN"/>
                    </w:rPr>
                    <w:t>油烟净化装置+</w:t>
                  </w:r>
                  <w:r>
                    <w:rPr>
                      <w:rFonts w:hint="eastAsia" w:ascii="Times New Roman" w:hAnsi="Times New Roman" w:eastAsia="宋体" w:cs="Times New Roman"/>
                      <w:color w:val="auto"/>
                      <w:kern w:val="2"/>
                      <w:sz w:val="18"/>
                      <w:szCs w:val="21"/>
                      <w:lang w:val="en-US" w:eastAsia="zh-CN" w:bidi="ar-SA"/>
                    </w:rPr>
                    <w:t>专用烟道排放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6" w:type="dxa"/>
                  <w:tcBorders>
                    <w:tl2br w:val="nil"/>
                    <w:tr2bl w:val="nil"/>
                  </w:tcBorders>
                  <w:vAlign w:val="center"/>
                </w:tcPr>
                <w:p>
                  <w:pPr>
                    <w:jc w:val="center"/>
                    <w:rPr>
                      <w:sz w:val="18"/>
                      <w:szCs w:val="18"/>
                    </w:rPr>
                  </w:pPr>
                  <w:r>
                    <w:rPr>
                      <w:sz w:val="18"/>
                      <w:szCs w:val="18"/>
                    </w:rPr>
                    <w:t>噪声</w:t>
                  </w:r>
                </w:p>
              </w:tc>
              <w:tc>
                <w:tcPr>
                  <w:tcW w:w="707" w:type="dxa"/>
                  <w:tcBorders>
                    <w:tl2br w:val="nil"/>
                    <w:tr2bl w:val="nil"/>
                  </w:tcBorders>
                  <w:vAlign w:val="center"/>
                </w:tcPr>
                <w:p>
                  <w:pPr>
                    <w:jc w:val="center"/>
                    <w:rPr>
                      <w:color w:val="auto"/>
                      <w:sz w:val="18"/>
                      <w:szCs w:val="18"/>
                    </w:rPr>
                  </w:pPr>
                  <w:r>
                    <w:rPr>
                      <w:color w:val="auto"/>
                      <w:sz w:val="18"/>
                      <w:szCs w:val="18"/>
                    </w:rPr>
                    <w:t>N</w:t>
                  </w:r>
                </w:p>
              </w:tc>
              <w:tc>
                <w:tcPr>
                  <w:tcW w:w="1444" w:type="dxa"/>
                  <w:tcBorders>
                    <w:tl2br w:val="nil"/>
                    <w:tr2bl w:val="nil"/>
                  </w:tcBorders>
                  <w:vAlign w:val="center"/>
                </w:tcPr>
                <w:p>
                  <w:pPr>
                    <w:jc w:val="center"/>
                    <w:rPr>
                      <w:color w:val="auto"/>
                      <w:sz w:val="18"/>
                      <w:szCs w:val="18"/>
                    </w:rPr>
                  </w:pPr>
                  <w:r>
                    <w:rPr>
                      <w:color w:val="auto"/>
                      <w:sz w:val="18"/>
                      <w:szCs w:val="18"/>
                    </w:rPr>
                    <w:t>各类生产设备</w:t>
                  </w:r>
                </w:p>
              </w:tc>
              <w:tc>
                <w:tcPr>
                  <w:tcW w:w="1891" w:type="dxa"/>
                  <w:tcBorders>
                    <w:tl2br w:val="nil"/>
                    <w:tr2bl w:val="nil"/>
                  </w:tcBorders>
                  <w:vAlign w:val="center"/>
                </w:tcPr>
                <w:p>
                  <w:pPr>
                    <w:jc w:val="center"/>
                    <w:rPr>
                      <w:color w:val="auto"/>
                      <w:sz w:val="18"/>
                      <w:szCs w:val="18"/>
                    </w:rPr>
                  </w:pPr>
                  <w:r>
                    <w:rPr>
                      <w:color w:val="auto"/>
                      <w:sz w:val="18"/>
                      <w:szCs w:val="18"/>
                    </w:rPr>
                    <w:t>Leq(A)</w:t>
                  </w:r>
                </w:p>
              </w:tc>
              <w:tc>
                <w:tcPr>
                  <w:tcW w:w="967" w:type="dxa"/>
                  <w:tcBorders>
                    <w:tl2br w:val="nil"/>
                    <w:tr2bl w:val="nil"/>
                  </w:tcBorders>
                  <w:vAlign w:val="center"/>
                </w:tcPr>
                <w:p>
                  <w:pPr>
                    <w:jc w:val="center"/>
                    <w:rPr>
                      <w:color w:val="auto"/>
                      <w:sz w:val="18"/>
                      <w:szCs w:val="18"/>
                    </w:rPr>
                  </w:pPr>
                  <w:r>
                    <w:rPr>
                      <w:color w:val="auto"/>
                      <w:sz w:val="18"/>
                      <w:szCs w:val="18"/>
                    </w:rPr>
                    <w:t>间歇</w:t>
                  </w:r>
                </w:p>
              </w:tc>
              <w:tc>
                <w:tcPr>
                  <w:tcW w:w="2151" w:type="dxa"/>
                  <w:tcBorders>
                    <w:tl2br w:val="nil"/>
                    <w:tr2bl w:val="nil"/>
                  </w:tcBorders>
                  <w:vAlign w:val="center"/>
                </w:tcPr>
                <w:p>
                  <w:pPr>
                    <w:jc w:val="center"/>
                    <w:rPr>
                      <w:sz w:val="18"/>
                      <w:szCs w:val="18"/>
                    </w:rPr>
                  </w:pPr>
                  <w:r>
                    <w:rPr>
                      <w:spacing w:val="8"/>
                      <w:sz w:val="18"/>
                      <w:szCs w:val="18"/>
                    </w:rPr>
                    <w:t>隔</w:t>
                  </w:r>
                  <w:r>
                    <w:rPr>
                      <w:spacing w:val="5"/>
                      <w:sz w:val="18"/>
                      <w:szCs w:val="18"/>
                    </w:rPr>
                    <w:t>声、减振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6" w:type="dxa"/>
                  <w:vMerge w:val="restart"/>
                  <w:tcBorders>
                    <w:tl2br w:val="nil"/>
                    <w:tr2bl w:val="nil"/>
                  </w:tcBorders>
                  <w:vAlign w:val="center"/>
                </w:tcPr>
                <w:p>
                  <w:pPr>
                    <w:jc w:val="center"/>
                    <w:rPr>
                      <w:sz w:val="18"/>
                      <w:szCs w:val="18"/>
                    </w:rPr>
                  </w:pPr>
                  <w:r>
                    <w:rPr>
                      <w:sz w:val="18"/>
                      <w:szCs w:val="18"/>
                    </w:rPr>
                    <w:t>固废</w:t>
                  </w:r>
                </w:p>
              </w:tc>
              <w:tc>
                <w:tcPr>
                  <w:tcW w:w="707" w:type="dxa"/>
                  <w:tcBorders>
                    <w:tl2br w:val="nil"/>
                    <w:tr2bl w:val="nil"/>
                  </w:tcBorders>
                  <w:vAlign w:val="center"/>
                </w:tcPr>
                <w:p>
                  <w:pPr>
                    <w:jc w:val="center"/>
                    <w:rPr>
                      <w:rFonts w:hint="default" w:eastAsia="宋体"/>
                      <w:color w:val="auto"/>
                      <w:sz w:val="18"/>
                      <w:szCs w:val="18"/>
                      <w:lang w:val="en-US" w:eastAsia="zh-CN"/>
                    </w:rPr>
                  </w:pPr>
                  <w:r>
                    <w:rPr>
                      <w:color w:val="auto"/>
                      <w:sz w:val="18"/>
                      <w:szCs w:val="18"/>
                    </w:rPr>
                    <w:t>S1</w:t>
                  </w:r>
                  <w:r>
                    <w:rPr>
                      <w:rFonts w:hint="eastAsia"/>
                      <w:color w:val="auto"/>
                      <w:sz w:val="18"/>
                      <w:szCs w:val="18"/>
                      <w:lang w:val="en-US" w:eastAsia="zh-CN"/>
                    </w:rPr>
                    <w:t>-1</w:t>
                  </w:r>
                </w:p>
              </w:tc>
              <w:tc>
                <w:tcPr>
                  <w:tcW w:w="1444" w:type="dxa"/>
                  <w:tcBorders>
                    <w:tl2br w:val="nil"/>
                    <w:tr2bl w:val="nil"/>
                  </w:tcBorders>
                  <w:vAlign w:val="center"/>
                </w:tcPr>
                <w:p>
                  <w:pPr>
                    <w:jc w:val="center"/>
                    <w:rPr>
                      <w:rFonts w:hint="eastAsia" w:ascii="Times New Roman" w:hAnsi="Times New Roman" w:eastAsia="宋体" w:cs="Times New Roman"/>
                      <w:color w:val="auto"/>
                      <w:sz w:val="18"/>
                      <w:szCs w:val="18"/>
                      <w:lang w:eastAsia="zh-CN"/>
                    </w:rPr>
                  </w:pPr>
                  <w:r>
                    <w:rPr>
                      <w:rFonts w:hint="eastAsia" w:cs="Times New Roman"/>
                      <w:color w:val="auto"/>
                      <w:sz w:val="18"/>
                      <w:szCs w:val="18"/>
                      <w:lang w:eastAsia="zh-CN"/>
                    </w:rPr>
                    <w:t>锻压</w:t>
                  </w:r>
                </w:p>
              </w:tc>
              <w:tc>
                <w:tcPr>
                  <w:tcW w:w="1891" w:type="dxa"/>
                  <w:tcBorders>
                    <w:tl2br w:val="nil"/>
                    <w:tr2bl w:val="nil"/>
                  </w:tcBorders>
                  <w:vAlign w:val="center"/>
                </w:tcPr>
                <w:p>
                  <w:pPr>
                    <w:jc w:val="center"/>
                    <w:rPr>
                      <w:rFonts w:hint="eastAsia" w:eastAsia="宋体"/>
                      <w:color w:val="auto"/>
                      <w:sz w:val="18"/>
                      <w:szCs w:val="18"/>
                      <w:lang w:eastAsia="zh-CN"/>
                    </w:rPr>
                  </w:pPr>
                  <w:r>
                    <w:rPr>
                      <w:rFonts w:hint="eastAsia"/>
                      <w:color w:val="auto"/>
                      <w:sz w:val="18"/>
                      <w:szCs w:val="18"/>
                      <w:lang w:eastAsia="zh-CN"/>
                    </w:rPr>
                    <w:t>废氧化皮</w:t>
                  </w:r>
                </w:p>
              </w:tc>
              <w:tc>
                <w:tcPr>
                  <w:tcW w:w="967" w:type="dxa"/>
                  <w:tcBorders>
                    <w:tl2br w:val="nil"/>
                    <w:tr2bl w:val="nil"/>
                  </w:tcBorders>
                  <w:vAlign w:val="center"/>
                </w:tcPr>
                <w:p>
                  <w:pPr>
                    <w:jc w:val="center"/>
                    <w:rPr>
                      <w:color w:val="auto"/>
                      <w:sz w:val="18"/>
                      <w:szCs w:val="18"/>
                    </w:rPr>
                  </w:pPr>
                  <w:r>
                    <w:rPr>
                      <w:color w:val="auto"/>
                      <w:sz w:val="18"/>
                      <w:szCs w:val="18"/>
                    </w:rPr>
                    <w:t>间歇</w:t>
                  </w:r>
                </w:p>
              </w:tc>
              <w:tc>
                <w:tcPr>
                  <w:tcW w:w="2151" w:type="dxa"/>
                  <w:vMerge w:val="restart"/>
                  <w:tcBorders>
                    <w:tl2br w:val="nil"/>
                    <w:tr2bl w:val="nil"/>
                  </w:tcBorders>
                  <w:vAlign w:val="center"/>
                </w:tcPr>
                <w:p>
                  <w:pPr>
                    <w:jc w:val="center"/>
                    <w:rPr>
                      <w:spacing w:val="8"/>
                      <w:sz w:val="18"/>
                      <w:szCs w:val="18"/>
                    </w:rPr>
                  </w:pPr>
                  <w:r>
                    <w:rPr>
                      <w:spacing w:val="16"/>
                      <w:sz w:val="18"/>
                      <w:szCs w:val="18"/>
                    </w:rPr>
                    <w:t>收</w:t>
                  </w:r>
                  <w:r>
                    <w:rPr>
                      <w:spacing w:val="9"/>
                      <w:sz w:val="18"/>
                      <w:szCs w:val="18"/>
                    </w:rPr>
                    <w:t>集</w:t>
                  </w:r>
                  <w:r>
                    <w:rPr>
                      <w:spacing w:val="8"/>
                      <w:sz w:val="18"/>
                      <w:szCs w:val="18"/>
                    </w:rPr>
                    <w:t>后分类暂存于一般固废仓库，外售处理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6" w:type="dxa"/>
                  <w:vMerge w:val="continue"/>
                  <w:tcBorders>
                    <w:tl2br w:val="nil"/>
                    <w:tr2bl w:val="nil"/>
                  </w:tcBorders>
                  <w:vAlign w:val="center"/>
                </w:tcPr>
                <w:p>
                  <w:pPr>
                    <w:jc w:val="center"/>
                    <w:rPr>
                      <w:sz w:val="18"/>
                      <w:szCs w:val="18"/>
                    </w:rPr>
                  </w:pPr>
                </w:p>
              </w:tc>
              <w:tc>
                <w:tcPr>
                  <w:tcW w:w="707" w:type="dxa"/>
                  <w:tcBorders>
                    <w:tl2br w:val="nil"/>
                    <w:tr2bl w:val="nil"/>
                  </w:tcBorders>
                  <w:vAlign w:val="center"/>
                </w:tcPr>
                <w:p>
                  <w:pPr>
                    <w:jc w:val="center"/>
                    <w:rPr>
                      <w:rFonts w:hint="default"/>
                      <w:color w:val="auto"/>
                      <w:sz w:val="18"/>
                      <w:szCs w:val="18"/>
                      <w:lang w:val="en-US"/>
                    </w:rPr>
                  </w:pPr>
                  <w:r>
                    <w:rPr>
                      <w:color w:val="auto"/>
                      <w:sz w:val="18"/>
                      <w:szCs w:val="18"/>
                    </w:rPr>
                    <w:t>S1</w:t>
                  </w:r>
                  <w:r>
                    <w:rPr>
                      <w:rFonts w:hint="eastAsia"/>
                      <w:color w:val="auto"/>
                      <w:sz w:val="18"/>
                      <w:szCs w:val="18"/>
                      <w:lang w:val="en-US" w:eastAsia="zh-CN"/>
                    </w:rPr>
                    <w:t>-2</w:t>
                  </w:r>
                </w:p>
              </w:tc>
              <w:tc>
                <w:tcPr>
                  <w:tcW w:w="1444" w:type="dxa"/>
                  <w:tcBorders>
                    <w:tl2br w:val="nil"/>
                    <w:tr2bl w:val="nil"/>
                  </w:tcBorders>
                  <w:vAlign w:val="center"/>
                </w:tcPr>
                <w:p>
                  <w:pPr>
                    <w:jc w:val="center"/>
                    <w:rPr>
                      <w:rFonts w:ascii="Times New Roman" w:hAnsi="Times New Roman" w:eastAsia="宋体" w:cs="Times New Roman"/>
                      <w:color w:val="auto"/>
                      <w:sz w:val="18"/>
                      <w:szCs w:val="18"/>
                    </w:rPr>
                  </w:pPr>
                  <w:r>
                    <w:rPr>
                      <w:rFonts w:hint="eastAsia" w:cs="Times New Roman"/>
                      <w:color w:val="auto"/>
                      <w:sz w:val="18"/>
                      <w:szCs w:val="18"/>
                      <w:lang w:eastAsia="zh-CN"/>
                    </w:rPr>
                    <w:t>锻压</w:t>
                  </w:r>
                </w:p>
              </w:tc>
              <w:tc>
                <w:tcPr>
                  <w:tcW w:w="1891" w:type="dxa"/>
                  <w:tcBorders>
                    <w:tl2br w:val="nil"/>
                    <w:tr2bl w:val="nil"/>
                  </w:tcBorders>
                  <w:vAlign w:val="center"/>
                </w:tcPr>
                <w:p>
                  <w:pPr>
                    <w:jc w:val="center"/>
                    <w:rPr>
                      <w:color w:val="auto"/>
                      <w:sz w:val="18"/>
                      <w:szCs w:val="18"/>
                    </w:rPr>
                  </w:pPr>
                  <w:r>
                    <w:rPr>
                      <w:color w:val="auto"/>
                      <w:sz w:val="18"/>
                      <w:szCs w:val="18"/>
                    </w:rPr>
                    <w:t>废边角料</w:t>
                  </w:r>
                </w:p>
              </w:tc>
              <w:tc>
                <w:tcPr>
                  <w:tcW w:w="967" w:type="dxa"/>
                  <w:tcBorders>
                    <w:tl2br w:val="nil"/>
                    <w:tr2bl w:val="nil"/>
                  </w:tcBorders>
                  <w:vAlign w:val="center"/>
                </w:tcPr>
                <w:p>
                  <w:pPr>
                    <w:jc w:val="center"/>
                    <w:rPr>
                      <w:color w:val="auto"/>
                      <w:sz w:val="18"/>
                      <w:szCs w:val="18"/>
                    </w:rPr>
                  </w:pPr>
                  <w:r>
                    <w:rPr>
                      <w:color w:val="auto"/>
                      <w:sz w:val="18"/>
                      <w:szCs w:val="18"/>
                    </w:rPr>
                    <w:t>间歇</w:t>
                  </w:r>
                </w:p>
              </w:tc>
              <w:tc>
                <w:tcPr>
                  <w:tcW w:w="2151" w:type="dxa"/>
                  <w:vMerge w:val="continue"/>
                  <w:tcBorders>
                    <w:tl2br w:val="nil"/>
                    <w:tr2bl w:val="nil"/>
                  </w:tcBorders>
                  <w:vAlign w:val="center"/>
                </w:tcPr>
                <w:p>
                  <w:pPr>
                    <w:jc w:val="center"/>
                    <w:rPr>
                      <w:spacing w:val="8"/>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6" w:type="dxa"/>
                  <w:vMerge w:val="continue"/>
                  <w:tcBorders>
                    <w:tl2br w:val="nil"/>
                    <w:tr2bl w:val="nil"/>
                  </w:tcBorders>
                  <w:vAlign w:val="center"/>
                </w:tcPr>
                <w:p>
                  <w:pPr>
                    <w:jc w:val="center"/>
                    <w:rPr>
                      <w:sz w:val="18"/>
                      <w:szCs w:val="18"/>
                    </w:rPr>
                  </w:pPr>
                </w:p>
              </w:tc>
              <w:tc>
                <w:tcPr>
                  <w:tcW w:w="707" w:type="dxa"/>
                  <w:tcBorders>
                    <w:tl2br w:val="nil"/>
                    <w:tr2bl w:val="nil"/>
                  </w:tcBorders>
                  <w:vAlign w:val="center"/>
                </w:tcPr>
                <w:p>
                  <w:pPr>
                    <w:jc w:val="center"/>
                    <w:rPr>
                      <w:rFonts w:hint="default"/>
                      <w:color w:val="auto"/>
                      <w:sz w:val="18"/>
                      <w:szCs w:val="18"/>
                      <w:lang w:val="en-US"/>
                    </w:rPr>
                  </w:pPr>
                  <w:r>
                    <w:rPr>
                      <w:color w:val="auto"/>
                      <w:sz w:val="18"/>
                      <w:szCs w:val="18"/>
                    </w:rPr>
                    <w:t>S1</w:t>
                  </w:r>
                  <w:r>
                    <w:rPr>
                      <w:rFonts w:hint="eastAsia"/>
                      <w:color w:val="auto"/>
                      <w:sz w:val="18"/>
                      <w:szCs w:val="18"/>
                      <w:lang w:val="en-US" w:eastAsia="zh-CN"/>
                    </w:rPr>
                    <w:t>-4</w:t>
                  </w:r>
                </w:p>
              </w:tc>
              <w:tc>
                <w:tcPr>
                  <w:tcW w:w="1444" w:type="dxa"/>
                  <w:tcBorders>
                    <w:tl2br w:val="nil"/>
                    <w:tr2bl w:val="nil"/>
                  </w:tcBorders>
                  <w:vAlign w:val="center"/>
                </w:tcPr>
                <w:p>
                  <w:pPr>
                    <w:jc w:val="center"/>
                    <w:rPr>
                      <w:rFonts w:hint="eastAsia" w:cs="Times New Roman"/>
                      <w:color w:val="auto"/>
                      <w:sz w:val="18"/>
                      <w:szCs w:val="18"/>
                      <w:lang w:eastAsia="zh-CN"/>
                    </w:rPr>
                  </w:pPr>
                  <w:r>
                    <w:rPr>
                      <w:rFonts w:hint="eastAsia" w:cs="Times New Roman"/>
                      <w:color w:val="auto"/>
                      <w:sz w:val="18"/>
                      <w:szCs w:val="18"/>
                      <w:lang w:eastAsia="zh-CN"/>
                    </w:rPr>
                    <w:t>热处理</w:t>
                  </w:r>
                </w:p>
              </w:tc>
              <w:tc>
                <w:tcPr>
                  <w:tcW w:w="1891" w:type="dxa"/>
                  <w:tcBorders>
                    <w:tl2br w:val="nil"/>
                    <w:tr2bl w:val="nil"/>
                  </w:tcBorders>
                  <w:vAlign w:val="center"/>
                </w:tcPr>
                <w:p>
                  <w:pPr>
                    <w:jc w:val="center"/>
                    <w:rPr>
                      <w:rFonts w:hint="eastAsia" w:eastAsia="宋体"/>
                      <w:color w:val="auto"/>
                      <w:sz w:val="18"/>
                      <w:szCs w:val="18"/>
                      <w:lang w:eastAsia="zh-CN"/>
                    </w:rPr>
                  </w:pPr>
                  <w:r>
                    <w:rPr>
                      <w:rFonts w:hint="eastAsia"/>
                      <w:color w:val="auto"/>
                      <w:sz w:val="18"/>
                      <w:szCs w:val="18"/>
                      <w:lang w:eastAsia="zh-CN"/>
                    </w:rPr>
                    <w:t>沉渣</w:t>
                  </w:r>
                </w:p>
              </w:tc>
              <w:tc>
                <w:tcPr>
                  <w:tcW w:w="967" w:type="dxa"/>
                  <w:tcBorders>
                    <w:tl2br w:val="nil"/>
                    <w:tr2bl w:val="nil"/>
                  </w:tcBorders>
                  <w:vAlign w:val="center"/>
                </w:tcPr>
                <w:p>
                  <w:pPr>
                    <w:jc w:val="center"/>
                    <w:rPr>
                      <w:color w:val="auto"/>
                      <w:sz w:val="18"/>
                      <w:szCs w:val="18"/>
                    </w:rPr>
                  </w:pPr>
                  <w:r>
                    <w:rPr>
                      <w:color w:val="auto"/>
                      <w:sz w:val="18"/>
                      <w:szCs w:val="18"/>
                    </w:rPr>
                    <w:t>间歇</w:t>
                  </w:r>
                </w:p>
              </w:tc>
              <w:tc>
                <w:tcPr>
                  <w:tcW w:w="2151" w:type="dxa"/>
                  <w:vMerge w:val="continue"/>
                  <w:tcBorders>
                    <w:tl2br w:val="nil"/>
                    <w:tr2bl w:val="nil"/>
                  </w:tcBorders>
                  <w:vAlign w:val="center"/>
                </w:tcPr>
                <w:p>
                  <w:pPr>
                    <w:jc w:val="center"/>
                    <w:rPr>
                      <w:spacing w:val="8"/>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6" w:type="dxa"/>
                  <w:vMerge w:val="continue"/>
                  <w:tcBorders>
                    <w:tl2br w:val="nil"/>
                    <w:tr2bl w:val="nil"/>
                  </w:tcBorders>
                  <w:vAlign w:val="center"/>
                </w:tcPr>
                <w:p>
                  <w:pPr>
                    <w:jc w:val="center"/>
                    <w:rPr>
                      <w:sz w:val="18"/>
                      <w:szCs w:val="18"/>
                    </w:rPr>
                  </w:pPr>
                </w:p>
              </w:tc>
              <w:tc>
                <w:tcPr>
                  <w:tcW w:w="707" w:type="dxa"/>
                  <w:tcBorders>
                    <w:tl2br w:val="nil"/>
                    <w:tr2bl w:val="nil"/>
                  </w:tcBorders>
                  <w:vAlign w:val="center"/>
                </w:tcPr>
                <w:p>
                  <w:pPr>
                    <w:jc w:val="center"/>
                    <w:rPr>
                      <w:color w:val="auto"/>
                      <w:sz w:val="18"/>
                      <w:szCs w:val="18"/>
                    </w:rPr>
                  </w:pPr>
                  <w:r>
                    <w:rPr>
                      <w:color w:val="auto"/>
                      <w:sz w:val="18"/>
                      <w:szCs w:val="18"/>
                    </w:rPr>
                    <w:t>S1</w:t>
                  </w:r>
                </w:p>
              </w:tc>
              <w:tc>
                <w:tcPr>
                  <w:tcW w:w="1444" w:type="dxa"/>
                  <w:tcBorders>
                    <w:tl2br w:val="nil"/>
                    <w:tr2bl w:val="nil"/>
                  </w:tcBorders>
                  <w:vAlign w:val="center"/>
                </w:tcPr>
                <w:p>
                  <w:pPr>
                    <w:jc w:val="center"/>
                    <w:rPr>
                      <w:color w:val="auto"/>
                      <w:sz w:val="18"/>
                      <w:szCs w:val="18"/>
                    </w:rPr>
                  </w:pPr>
                  <w:r>
                    <w:rPr>
                      <w:color w:val="auto"/>
                      <w:sz w:val="18"/>
                      <w:szCs w:val="18"/>
                    </w:rPr>
                    <w:t>原料使用</w:t>
                  </w:r>
                </w:p>
              </w:tc>
              <w:tc>
                <w:tcPr>
                  <w:tcW w:w="1891" w:type="dxa"/>
                  <w:tcBorders>
                    <w:tl2br w:val="nil"/>
                    <w:tr2bl w:val="nil"/>
                  </w:tcBorders>
                  <w:vAlign w:val="center"/>
                </w:tcPr>
                <w:p>
                  <w:pPr>
                    <w:jc w:val="center"/>
                    <w:rPr>
                      <w:color w:val="auto"/>
                      <w:sz w:val="18"/>
                      <w:szCs w:val="18"/>
                    </w:rPr>
                  </w:pPr>
                  <w:r>
                    <w:rPr>
                      <w:color w:val="auto"/>
                      <w:sz w:val="18"/>
                      <w:szCs w:val="18"/>
                    </w:rPr>
                    <w:t>废包装袋</w:t>
                  </w:r>
                </w:p>
              </w:tc>
              <w:tc>
                <w:tcPr>
                  <w:tcW w:w="967" w:type="dxa"/>
                  <w:tcBorders>
                    <w:tl2br w:val="nil"/>
                    <w:tr2bl w:val="nil"/>
                  </w:tcBorders>
                  <w:vAlign w:val="center"/>
                </w:tcPr>
                <w:p>
                  <w:pPr>
                    <w:jc w:val="center"/>
                    <w:rPr>
                      <w:color w:val="auto"/>
                      <w:sz w:val="18"/>
                      <w:szCs w:val="18"/>
                    </w:rPr>
                  </w:pPr>
                  <w:r>
                    <w:rPr>
                      <w:color w:val="auto"/>
                      <w:sz w:val="18"/>
                      <w:szCs w:val="18"/>
                    </w:rPr>
                    <w:t>间歇</w:t>
                  </w:r>
                </w:p>
              </w:tc>
              <w:tc>
                <w:tcPr>
                  <w:tcW w:w="2151" w:type="dxa"/>
                  <w:vMerge w:val="continue"/>
                  <w:tcBorders>
                    <w:tl2br w:val="nil"/>
                    <w:tr2bl w:val="nil"/>
                  </w:tcBorders>
                  <w:vAlign w:val="center"/>
                </w:tcPr>
                <w:p>
                  <w:pPr>
                    <w:jc w:val="center"/>
                    <w:rPr>
                      <w:spacing w:val="16"/>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6" w:type="dxa"/>
                  <w:vMerge w:val="continue"/>
                  <w:tcBorders>
                    <w:tl2br w:val="nil"/>
                    <w:tr2bl w:val="nil"/>
                  </w:tcBorders>
                  <w:vAlign w:val="center"/>
                </w:tcPr>
                <w:p>
                  <w:pPr>
                    <w:jc w:val="center"/>
                    <w:rPr>
                      <w:sz w:val="18"/>
                      <w:szCs w:val="18"/>
                    </w:rPr>
                  </w:pPr>
                </w:p>
              </w:tc>
              <w:tc>
                <w:tcPr>
                  <w:tcW w:w="707" w:type="dxa"/>
                  <w:tcBorders>
                    <w:tl2br w:val="nil"/>
                    <w:tr2bl w:val="nil"/>
                  </w:tcBorders>
                  <w:shd w:val="clear" w:color="auto" w:fill="auto"/>
                  <w:vAlign w:val="center"/>
                </w:tcPr>
                <w:p>
                  <w:pPr>
                    <w:jc w:val="center"/>
                    <w:rPr>
                      <w:rFonts w:hint="default" w:ascii="Times New Roman" w:hAnsi="Times New Roman" w:eastAsia="宋体" w:cs="Times New Roman"/>
                      <w:color w:val="auto"/>
                      <w:kern w:val="2"/>
                      <w:sz w:val="18"/>
                      <w:szCs w:val="18"/>
                      <w:lang w:val="en-US" w:eastAsia="zh-CN" w:bidi="ar-SA"/>
                    </w:rPr>
                  </w:pPr>
                  <w:r>
                    <w:rPr>
                      <w:color w:val="auto"/>
                      <w:sz w:val="18"/>
                      <w:szCs w:val="18"/>
                    </w:rPr>
                    <w:t>S</w:t>
                  </w:r>
                  <w:r>
                    <w:rPr>
                      <w:rFonts w:hint="eastAsia" w:ascii="Times New Roman" w:hAnsi="Times New Roman" w:eastAsia="宋体" w:cs="Times New Roman"/>
                      <w:color w:val="auto"/>
                      <w:sz w:val="18"/>
                      <w:szCs w:val="18"/>
                      <w:lang w:val="en-US" w:eastAsia="zh-CN"/>
                    </w:rPr>
                    <w:t>1-3</w:t>
                  </w:r>
                </w:p>
              </w:tc>
              <w:tc>
                <w:tcPr>
                  <w:tcW w:w="1444" w:type="dxa"/>
                  <w:tcBorders>
                    <w:tl2br w:val="nil"/>
                    <w:tr2bl w:val="nil"/>
                  </w:tcBorders>
                  <w:shd w:val="clear" w:color="auto" w:fill="auto"/>
                  <w:vAlign w:val="center"/>
                </w:tcPr>
                <w:p>
                  <w:pPr>
                    <w:jc w:val="center"/>
                    <w:rPr>
                      <w:rFonts w:ascii="Times New Roman" w:hAnsi="Times New Roman" w:eastAsia="宋体" w:cs="Times New Roman"/>
                      <w:color w:val="auto"/>
                      <w:kern w:val="2"/>
                      <w:sz w:val="18"/>
                      <w:szCs w:val="18"/>
                      <w:lang w:val="en-US" w:eastAsia="zh-CN" w:bidi="ar-SA"/>
                    </w:rPr>
                  </w:pPr>
                  <w:r>
                    <w:rPr>
                      <w:color w:val="auto"/>
                      <w:sz w:val="18"/>
                      <w:szCs w:val="18"/>
                    </w:rPr>
                    <w:t>维修保养</w:t>
                  </w:r>
                </w:p>
              </w:tc>
              <w:tc>
                <w:tcPr>
                  <w:tcW w:w="1891" w:type="dxa"/>
                  <w:tcBorders>
                    <w:tl2br w:val="nil"/>
                    <w:tr2bl w:val="nil"/>
                  </w:tcBorders>
                  <w:shd w:val="clear" w:color="auto" w:fill="auto"/>
                  <w:vAlign w:val="center"/>
                </w:tcPr>
                <w:p>
                  <w:pPr>
                    <w:jc w:val="center"/>
                    <w:rPr>
                      <w:rFonts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eastAsia="zh-CN"/>
                    </w:rPr>
                    <w:t>废液压油</w:t>
                  </w:r>
                </w:p>
              </w:tc>
              <w:tc>
                <w:tcPr>
                  <w:tcW w:w="967" w:type="dxa"/>
                  <w:tcBorders>
                    <w:tl2br w:val="nil"/>
                    <w:tr2bl w:val="nil"/>
                  </w:tcBorders>
                  <w:shd w:val="clear" w:color="auto" w:fill="auto"/>
                  <w:vAlign w:val="center"/>
                </w:tcPr>
                <w:p>
                  <w:pPr>
                    <w:jc w:val="center"/>
                    <w:rPr>
                      <w:rFonts w:ascii="Times New Roman" w:hAnsi="Times New Roman" w:eastAsia="宋体" w:cs="Times New Roman"/>
                      <w:color w:val="auto"/>
                      <w:kern w:val="2"/>
                      <w:sz w:val="18"/>
                      <w:szCs w:val="18"/>
                      <w:lang w:val="en-US" w:eastAsia="zh-CN" w:bidi="ar-SA"/>
                    </w:rPr>
                  </w:pPr>
                  <w:r>
                    <w:rPr>
                      <w:color w:val="auto"/>
                      <w:sz w:val="18"/>
                      <w:szCs w:val="18"/>
                    </w:rPr>
                    <w:t>间歇</w:t>
                  </w:r>
                </w:p>
              </w:tc>
              <w:tc>
                <w:tcPr>
                  <w:tcW w:w="2151" w:type="dxa"/>
                  <w:vMerge w:val="restart"/>
                  <w:tcBorders>
                    <w:tl2br w:val="nil"/>
                    <w:tr2bl w:val="nil"/>
                  </w:tcBorders>
                  <w:vAlign w:val="center"/>
                </w:tcPr>
                <w:p>
                  <w:pPr>
                    <w:jc w:val="center"/>
                    <w:rPr>
                      <w:spacing w:val="8"/>
                      <w:sz w:val="18"/>
                      <w:szCs w:val="18"/>
                    </w:rPr>
                  </w:pPr>
                  <w:r>
                    <w:rPr>
                      <w:sz w:val="18"/>
                      <w:szCs w:val="18"/>
                    </w:rPr>
                    <w:t>收集后分类暂存于危废仓库，委托有资质单位处置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6" w:type="dxa"/>
                  <w:vMerge w:val="continue"/>
                  <w:tcBorders>
                    <w:tl2br w:val="nil"/>
                    <w:tr2bl w:val="nil"/>
                  </w:tcBorders>
                  <w:vAlign w:val="center"/>
                </w:tcPr>
                <w:p>
                  <w:pPr>
                    <w:jc w:val="center"/>
                    <w:rPr>
                      <w:sz w:val="18"/>
                      <w:szCs w:val="18"/>
                    </w:rPr>
                  </w:pPr>
                </w:p>
              </w:tc>
              <w:tc>
                <w:tcPr>
                  <w:tcW w:w="707" w:type="dxa"/>
                  <w:tcBorders>
                    <w:tl2br w:val="nil"/>
                    <w:tr2bl w:val="nil"/>
                  </w:tcBorders>
                  <w:shd w:val="clear" w:color="auto" w:fill="auto"/>
                  <w:vAlign w:val="center"/>
                </w:tcPr>
                <w:p>
                  <w:pPr>
                    <w:jc w:val="center"/>
                    <w:rPr>
                      <w:rFonts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S1-5</w:t>
                  </w:r>
                </w:p>
              </w:tc>
              <w:tc>
                <w:tcPr>
                  <w:tcW w:w="1444" w:type="dxa"/>
                  <w:tcBorders>
                    <w:tl2br w:val="nil"/>
                    <w:tr2bl w:val="nil"/>
                  </w:tcBorders>
                  <w:shd w:val="clear" w:color="auto" w:fill="auto"/>
                  <w:vAlign w:val="center"/>
                </w:tcPr>
                <w:p>
                  <w:pPr>
                    <w:jc w:val="center"/>
                    <w:rPr>
                      <w:color w:val="auto"/>
                      <w:sz w:val="18"/>
                      <w:szCs w:val="18"/>
                    </w:rPr>
                  </w:pPr>
                  <w:r>
                    <w:rPr>
                      <w:rFonts w:hint="eastAsia" w:ascii="Times New Roman" w:hAnsi="Times New Roman" w:eastAsia="宋体" w:cs="Times New Roman"/>
                      <w:color w:val="auto"/>
                      <w:sz w:val="18"/>
                      <w:szCs w:val="18"/>
                      <w:lang w:eastAsia="zh-CN"/>
                    </w:rPr>
                    <w:t>金属加工</w:t>
                  </w:r>
                </w:p>
              </w:tc>
              <w:tc>
                <w:tcPr>
                  <w:tcW w:w="1891" w:type="dxa"/>
                  <w:tcBorders>
                    <w:tl2br w:val="nil"/>
                    <w:tr2bl w:val="nil"/>
                  </w:tcBorders>
                  <w:shd w:val="clear" w:color="auto" w:fill="auto"/>
                  <w:vAlign w:val="center"/>
                </w:tcPr>
                <w:p>
                  <w:pPr>
                    <w:jc w:val="center"/>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val="en-US" w:eastAsia="zh-CN"/>
                    </w:rPr>
                    <w:t>废</w:t>
                  </w:r>
                  <w:r>
                    <w:rPr>
                      <w:rFonts w:hint="eastAsia" w:ascii="Times New Roman" w:hAnsi="Times New Roman" w:eastAsia="宋体" w:cs="Times New Roman"/>
                      <w:color w:val="auto"/>
                      <w:sz w:val="18"/>
                      <w:szCs w:val="18"/>
                      <w:lang w:eastAsia="zh-CN"/>
                    </w:rPr>
                    <w:t>金属屑</w:t>
                  </w:r>
                </w:p>
              </w:tc>
              <w:tc>
                <w:tcPr>
                  <w:tcW w:w="967" w:type="dxa"/>
                  <w:tcBorders>
                    <w:tl2br w:val="nil"/>
                    <w:tr2bl w:val="nil"/>
                  </w:tcBorders>
                  <w:shd w:val="clear" w:color="auto" w:fill="auto"/>
                  <w:vAlign w:val="center"/>
                </w:tcPr>
                <w:p>
                  <w:pPr>
                    <w:jc w:val="center"/>
                    <w:rPr>
                      <w:color w:val="auto"/>
                      <w:sz w:val="18"/>
                      <w:szCs w:val="18"/>
                    </w:rPr>
                  </w:pPr>
                  <w:r>
                    <w:rPr>
                      <w:color w:val="auto"/>
                      <w:sz w:val="18"/>
                      <w:szCs w:val="18"/>
                    </w:rPr>
                    <w:t>间歇</w:t>
                  </w:r>
                </w:p>
              </w:tc>
              <w:tc>
                <w:tcPr>
                  <w:tcW w:w="2151" w:type="dxa"/>
                  <w:vMerge w:val="continue"/>
                  <w:tcBorders>
                    <w:tl2br w:val="nil"/>
                    <w:tr2bl w:val="nil"/>
                  </w:tcBorders>
                  <w:vAlign w:val="center"/>
                </w:tcPr>
                <w:p>
                  <w:pPr>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6" w:type="dxa"/>
                  <w:vMerge w:val="continue"/>
                  <w:tcBorders>
                    <w:tl2br w:val="nil"/>
                    <w:tr2bl w:val="nil"/>
                  </w:tcBorders>
                  <w:vAlign w:val="center"/>
                </w:tcPr>
                <w:p>
                  <w:pPr>
                    <w:jc w:val="center"/>
                    <w:rPr>
                      <w:sz w:val="18"/>
                      <w:szCs w:val="18"/>
                    </w:rPr>
                  </w:pPr>
                </w:p>
              </w:tc>
              <w:tc>
                <w:tcPr>
                  <w:tcW w:w="707" w:type="dxa"/>
                  <w:tcBorders>
                    <w:tl2br w:val="nil"/>
                    <w:tr2bl w:val="nil"/>
                  </w:tcBorders>
                  <w:shd w:val="clear" w:color="auto" w:fill="auto"/>
                  <w:vAlign w:val="center"/>
                </w:tcPr>
                <w:p>
                  <w:pPr>
                    <w:jc w:val="center"/>
                    <w:rPr>
                      <w:rFonts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S1-6</w:t>
                  </w:r>
                </w:p>
              </w:tc>
              <w:tc>
                <w:tcPr>
                  <w:tcW w:w="1444" w:type="dxa"/>
                  <w:tcBorders>
                    <w:tl2br w:val="nil"/>
                    <w:tr2bl w:val="nil"/>
                  </w:tcBorders>
                  <w:vAlign w:val="center"/>
                </w:tcPr>
                <w:p>
                  <w:pPr>
                    <w:jc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eastAsia="zh-CN"/>
                    </w:rPr>
                    <w:t>金属加工</w:t>
                  </w:r>
                </w:p>
              </w:tc>
              <w:tc>
                <w:tcPr>
                  <w:tcW w:w="1891" w:type="dxa"/>
                  <w:tcBorders>
                    <w:tl2br w:val="nil"/>
                    <w:tr2bl w:val="nil"/>
                  </w:tcBorders>
                  <w:shd w:val="clear" w:color="auto" w:fill="auto"/>
                  <w:vAlign w:val="center"/>
                </w:tcPr>
                <w:p>
                  <w:pPr>
                    <w:jc w:val="center"/>
                    <w:rPr>
                      <w:rFonts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rPr>
                    <w:t>废切削液</w:t>
                  </w:r>
                </w:p>
              </w:tc>
              <w:tc>
                <w:tcPr>
                  <w:tcW w:w="967" w:type="dxa"/>
                  <w:tcBorders>
                    <w:tl2br w:val="nil"/>
                    <w:tr2bl w:val="nil"/>
                  </w:tcBorders>
                  <w:vAlign w:val="center"/>
                </w:tcPr>
                <w:p>
                  <w:pPr>
                    <w:jc w:val="center"/>
                    <w:rPr>
                      <w:color w:val="auto"/>
                      <w:sz w:val="18"/>
                      <w:szCs w:val="18"/>
                    </w:rPr>
                  </w:pPr>
                  <w:r>
                    <w:rPr>
                      <w:color w:val="auto"/>
                      <w:sz w:val="18"/>
                      <w:szCs w:val="18"/>
                    </w:rPr>
                    <w:t>间歇</w:t>
                  </w:r>
                </w:p>
              </w:tc>
              <w:tc>
                <w:tcPr>
                  <w:tcW w:w="2151" w:type="dxa"/>
                  <w:vMerge w:val="continue"/>
                  <w:tcBorders>
                    <w:tl2br w:val="nil"/>
                    <w:tr2bl w:val="nil"/>
                  </w:tcBorders>
                  <w:vAlign w:val="center"/>
                </w:tcPr>
                <w:p>
                  <w:pPr>
                    <w:jc w:val="center"/>
                    <w:rPr>
                      <w:spacing w:val="16"/>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6" w:type="dxa"/>
                  <w:vMerge w:val="continue"/>
                  <w:tcBorders>
                    <w:tl2br w:val="nil"/>
                    <w:tr2bl w:val="nil"/>
                  </w:tcBorders>
                  <w:vAlign w:val="center"/>
                </w:tcPr>
                <w:p>
                  <w:pPr>
                    <w:jc w:val="center"/>
                    <w:rPr>
                      <w:sz w:val="18"/>
                      <w:szCs w:val="18"/>
                    </w:rPr>
                  </w:pPr>
                </w:p>
              </w:tc>
              <w:tc>
                <w:tcPr>
                  <w:tcW w:w="707" w:type="dxa"/>
                  <w:tcBorders>
                    <w:tl2br w:val="nil"/>
                    <w:tr2bl w:val="nil"/>
                  </w:tcBorders>
                  <w:shd w:val="clear" w:color="auto" w:fill="auto"/>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S1-7</w:t>
                  </w:r>
                </w:p>
              </w:tc>
              <w:tc>
                <w:tcPr>
                  <w:tcW w:w="1444" w:type="dxa"/>
                  <w:tcBorders>
                    <w:tl2br w:val="nil"/>
                    <w:tr2bl w:val="nil"/>
                  </w:tcBorders>
                  <w:vAlign w:val="center"/>
                </w:tcPr>
                <w:p>
                  <w:pPr>
                    <w:jc w:val="center"/>
                    <w:rPr>
                      <w:rFonts w:hint="eastAsia" w:ascii="Times New Roman" w:hAnsi="Times New Roman" w:eastAsia="宋体" w:cs="Times New Roman"/>
                      <w:color w:val="auto"/>
                      <w:sz w:val="18"/>
                      <w:szCs w:val="18"/>
                      <w:lang w:val="en-US" w:eastAsia="zh-CN"/>
                    </w:rPr>
                  </w:pPr>
                  <w:r>
                    <w:rPr>
                      <w:rFonts w:ascii="Times New Roman" w:hAnsi="Times New Roman" w:eastAsia="宋体" w:cs="Times New Roman"/>
                      <w:color w:val="auto"/>
                      <w:sz w:val="18"/>
                      <w:szCs w:val="18"/>
                    </w:rPr>
                    <w:t>维修保养</w:t>
                  </w:r>
                </w:p>
              </w:tc>
              <w:tc>
                <w:tcPr>
                  <w:tcW w:w="1891" w:type="dxa"/>
                  <w:tcBorders>
                    <w:tl2br w:val="nil"/>
                    <w:tr2bl w:val="nil"/>
                  </w:tcBorders>
                  <w:shd w:val="clear" w:color="auto" w:fill="auto"/>
                  <w:vAlign w:val="center"/>
                </w:tcPr>
                <w:p>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eastAsia="zh-CN"/>
                    </w:rPr>
                    <w:t>废润滑油</w:t>
                  </w:r>
                </w:p>
              </w:tc>
              <w:tc>
                <w:tcPr>
                  <w:tcW w:w="967" w:type="dxa"/>
                  <w:tcBorders>
                    <w:tl2br w:val="nil"/>
                    <w:tr2bl w:val="nil"/>
                  </w:tcBorders>
                  <w:vAlign w:val="center"/>
                </w:tcPr>
                <w:p>
                  <w:pPr>
                    <w:jc w:val="center"/>
                    <w:rPr>
                      <w:color w:val="auto"/>
                      <w:sz w:val="18"/>
                      <w:szCs w:val="18"/>
                    </w:rPr>
                  </w:pPr>
                  <w:r>
                    <w:rPr>
                      <w:color w:val="auto"/>
                      <w:sz w:val="18"/>
                      <w:szCs w:val="18"/>
                    </w:rPr>
                    <w:t>间歇</w:t>
                  </w:r>
                </w:p>
              </w:tc>
              <w:tc>
                <w:tcPr>
                  <w:tcW w:w="2151" w:type="dxa"/>
                  <w:vMerge w:val="continue"/>
                  <w:tcBorders>
                    <w:tl2br w:val="nil"/>
                    <w:tr2bl w:val="nil"/>
                  </w:tcBorders>
                  <w:vAlign w:val="center"/>
                </w:tcPr>
                <w:p>
                  <w:pPr>
                    <w:jc w:val="center"/>
                    <w:rPr>
                      <w:spacing w:val="16"/>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6" w:type="dxa"/>
                  <w:vMerge w:val="continue"/>
                  <w:tcBorders>
                    <w:tl2br w:val="nil"/>
                    <w:tr2bl w:val="nil"/>
                  </w:tcBorders>
                  <w:vAlign w:val="center"/>
                </w:tcPr>
                <w:p>
                  <w:pPr>
                    <w:jc w:val="center"/>
                    <w:rPr>
                      <w:sz w:val="18"/>
                      <w:szCs w:val="18"/>
                    </w:rPr>
                  </w:pPr>
                </w:p>
              </w:tc>
              <w:tc>
                <w:tcPr>
                  <w:tcW w:w="707" w:type="dxa"/>
                  <w:tcBorders>
                    <w:tl2br w:val="nil"/>
                    <w:tr2bl w:val="nil"/>
                  </w:tcBorders>
                  <w:vAlign w:val="center"/>
                </w:tcPr>
                <w:p>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S1-</w:t>
                  </w:r>
                  <w:r>
                    <w:rPr>
                      <w:rFonts w:hint="eastAsia" w:cs="Times New Roman"/>
                      <w:color w:val="auto"/>
                      <w:sz w:val="18"/>
                      <w:szCs w:val="18"/>
                      <w:lang w:val="en-US" w:eastAsia="zh-CN"/>
                    </w:rPr>
                    <w:t>8</w:t>
                  </w:r>
                </w:p>
              </w:tc>
              <w:tc>
                <w:tcPr>
                  <w:tcW w:w="1444" w:type="dxa"/>
                  <w:tcBorders>
                    <w:tl2br w:val="nil"/>
                    <w:tr2bl w:val="nil"/>
                  </w:tcBorders>
                  <w:vAlign w:val="center"/>
                </w:tcPr>
                <w:p>
                  <w:pPr>
                    <w:jc w:val="center"/>
                    <w:rPr>
                      <w:rFonts w:hint="eastAsia" w:ascii="Times New Roman" w:hAnsi="Times New Roman" w:eastAsia="宋体" w:cs="Times New Roman"/>
                      <w:color w:val="auto"/>
                      <w:sz w:val="18"/>
                      <w:szCs w:val="18"/>
                      <w:lang w:val="en-US" w:eastAsia="zh-CN"/>
                    </w:rPr>
                  </w:pPr>
                  <w:r>
                    <w:rPr>
                      <w:rFonts w:ascii="Times New Roman" w:hAnsi="Times New Roman" w:eastAsia="宋体" w:cs="Times New Roman"/>
                      <w:color w:val="auto"/>
                      <w:sz w:val="18"/>
                      <w:szCs w:val="18"/>
                    </w:rPr>
                    <w:t>维修保养</w:t>
                  </w:r>
                </w:p>
              </w:tc>
              <w:tc>
                <w:tcPr>
                  <w:tcW w:w="1891" w:type="dxa"/>
                  <w:tcBorders>
                    <w:tl2br w:val="nil"/>
                    <w:tr2bl w:val="nil"/>
                  </w:tcBorders>
                  <w:shd w:val="clear" w:color="auto" w:fill="auto"/>
                  <w:vAlign w:val="center"/>
                </w:tcPr>
                <w:p>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eastAsia="zh-CN"/>
                    </w:rPr>
                    <w:t>废乳化液</w:t>
                  </w:r>
                </w:p>
              </w:tc>
              <w:tc>
                <w:tcPr>
                  <w:tcW w:w="967" w:type="dxa"/>
                  <w:tcBorders>
                    <w:tl2br w:val="nil"/>
                    <w:tr2bl w:val="nil"/>
                  </w:tcBorders>
                  <w:vAlign w:val="center"/>
                </w:tcPr>
                <w:p>
                  <w:pPr>
                    <w:jc w:val="center"/>
                    <w:rPr>
                      <w:color w:val="auto"/>
                      <w:sz w:val="18"/>
                      <w:szCs w:val="18"/>
                    </w:rPr>
                  </w:pPr>
                  <w:r>
                    <w:rPr>
                      <w:color w:val="auto"/>
                      <w:sz w:val="18"/>
                      <w:szCs w:val="18"/>
                    </w:rPr>
                    <w:t>间歇</w:t>
                  </w:r>
                </w:p>
              </w:tc>
              <w:tc>
                <w:tcPr>
                  <w:tcW w:w="2151" w:type="dxa"/>
                  <w:vMerge w:val="continue"/>
                  <w:tcBorders>
                    <w:tl2br w:val="nil"/>
                    <w:tr2bl w:val="nil"/>
                  </w:tcBorders>
                  <w:vAlign w:val="center"/>
                </w:tcPr>
                <w:p>
                  <w:pPr>
                    <w:jc w:val="center"/>
                    <w:rPr>
                      <w:spacing w:val="16"/>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6" w:type="dxa"/>
                  <w:vMerge w:val="continue"/>
                  <w:tcBorders>
                    <w:tl2br w:val="nil"/>
                    <w:tr2bl w:val="nil"/>
                  </w:tcBorders>
                  <w:vAlign w:val="center"/>
                </w:tcPr>
                <w:p>
                  <w:pPr>
                    <w:jc w:val="center"/>
                    <w:rPr>
                      <w:sz w:val="18"/>
                      <w:szCs w:val="18"/>
                    </w:rPr>
                  </w:pPr>
                </w:p>
              </w:tc>
              <w:tc>
                <w:tcPr>
                  <w:tcW w:w="707" w:type="dxa"/>
                  <w:tcBorders>
                    <w:tl2br w:val="nil"/>
                    <w:tr2bl w:val="nil"/>
                  </w:tcBorders>
                  <w:shd w:val="clear" w:color="auto" w:fill="auto"/>
                  <w:vAlign w:val="center"/>
                </w:tcPr>
                <w:p>
                  <w:pPr>
                    <w:jc w:val="center"/>
                    <w:rPr>
                      <w:rFonts w:hint="eastAsia" w:ascii="Times New Roman" w:hAnsi="Times New Roman" w:eastAsia="宋体" w:cs="Times New Roman"/>
                      <w:color w:val="auto"/>
                      <w:kern w:val="2"/>
                      <w:sz w:val="18"/>
                      <w:szCs w:val="18"/>
                      <w:lang w:val="en-US" w:eastAsia="zh-CN" w:bidi="ar-SA"/>
                    </w:rPr>
                  </w:pPr>
                  <w:r>
                    <w:rPr>
                      <w:color w:val="auto"/>
                      <w:sz w:val="18"/>
                      <w:szCs w:val="18"/>
                    </w:rPr>
                    <w:t>S</w:t>
                  </w:r>
                  <w:r>
                    <w:rPr>
                      <w:rFonts w:hint="eastAsia"/>
                      <w:color w:val="auto"/>
                      <w:sz w:val="18"/>
                      <w:szCs w:val="18"/>
                      <w:lang w:val="en-US" w:eastAsia="zh-CN"/>
                    </w:rPr>
                    <w:t>2</w:t>
                  </w:r>
                </w:p>
              </w:tc>
              <w:tc>
                <w:tcPr>
                  <w:tcW w:w="1444" w:type="dxa"/>
                  <w:tcBorders>
                    <w:tl2br w:val="nil"/>
                    <w:tr2bl w:val="nil"/>
                  </w:tcBorders>
                  <w:shd w:val="clear" w:color="auto" w:fill="auto"/>
                  <w:vAlign w:val="center"/>
                </w:tcPr>
                <w:p>
                  <w:pPr>
                    <w:jc w:val="center"/>
                    <w:rPr>
                      <w:rFonts w:ascii="Times New Roman" w:hAnsi="Times New Roman" w:eastAsia="宋体" w:cs="Times New Roman"/>
                      <w:color w:val="auto"/>
                      <w:kern w:val="2"/>
                      <w:sz w:val="18"/>
                      <w:szCs w:val="18"/>
                      <w:lang w:val="en-US" w:eastAsia="zh-CN" w:bidi="ar-SA"/>
                    </w:rPr>
                  </w:pPr>
                  <w:r>
                    <w:rPr>
                      <w:color w:val="auto"/>
                      <w:sz w:val="18"/>
                      <w:szCs w:val="18"/>
                    </w:rPr>
                    <w:t>维修保养</w:t>
                  </w:r>
                </w:p>
              </w:tc>
              <w:tc>
                <w:tcPr>
                  <w:tcW w:w="1891" w:type="dxa"/>
                  <w:tcBorders>
                    <w:tl2br w:val="nil"/>
                    <w:tr2bl w:val="nil"/>
                  </w:tcBorders>
                  <w:shd w:val="clear" w:color="auto" w:fill="auto"/>
                  <w:vAlign w:val="center"/>
                </w:tcPr>
                <w:p>
                  <w:pPr>
                    <w:jc w:val="center"/>
                    <w:rPr>
                      <w:rFonts w:ascii="Times New Roman" w:hAnsi="Times New Roman" w:eastAsia="宋体" w:cs="Times New Roman"/>
                      <w:color w:val="auto"/>
                      <w:kern w:val="2"/>
                      <w:sz w:val="18"/>
                      <w:szCs w:val="18"/>
                      <w:lang w:val="en-US" w:eastAsia="zh-CN" w:bidi="ar-SA"/>
                    </w:rPr>
                  </w:pPr>
                  <w:r>
                    <w:rPr>
                      <w:color w:val="auto"/>
                      <w:sz w:val="18"/>
                      <w:szCs w:val="18"/>
                    </w:rPr>
                    <w:t>废机油</w:t>
                  </w:r>
                </w:p>
              </w:tc>
              <w:tc>
                <w:tcPr>
                  <w:tcW w:w="967" w:type="dxa"/>
                  <w:tcBorders>
                    <w:tl2br w:val="nil"/>
                    <w:tr2bl w:val="nil"/>
                  </w:tcBorders>
                  <w:shd w:val="clear" w:color="auto" w:fill="auto"/>
                  <w:vAlign w:val="center"/>
                </w:tcPr>
                <w:p>
                  <w:pPr>
                    <w:jc w:val="center"/>
                    <w:rPr>
                      <w:rFonts w:ascii="Times New Roman" w:hAnsi="Times New Roman" w:eastAsia="宋体" w:cs="Times New Roman"/>
                      <w:color w:val="auto"/>
                      <w:kern w:val="2"/>
                      <w:sz w:val="18"/>
                      <w:szCs w:val="18"/>
                      <w:lang w:val="en-US" w:eastAsia="zh-CN" w:bidi="ar-SA"/>
                    </w:rPr>
                  </w:pPr>
                  <w:r>
                    <w:rPr>
                      <w:color w:val="auto"/>
                      <w:sz w:val="18"/>
                      <w:szCs w:val="18"/>
                    </w:rPr>
                    <w:t>间歇</w:t>
                  </w:r>
                </w:p>
              </w:tc>
              <w:tc>
                <w:tcPr>
                  <w:tcW w:w="2151" w:type="dxa"/>
                  <w:vMerge w:val="continue"/>
                  <w:tcBorders>
                    <w:tl2br w:val="nil"/>
                    <w:tr2bl w:val="nil"/>
                  </w:tcBorders>
                  <w:vAlign w:val="center"/>
                </w:tcPr>
                <w:p>
                  <w:pPr>
                    <w:jc w:val="center"/>
                    <w:rPr>
                      <w:spacing w:val="8"/>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6" w:type="dxa"/>
                  <w:vMerge w:val="continue"/>
                  <w:tcBorders>
                    <w:tl2br w:val="nil"/>
                    <w:tr2bl w:val="nil"/>
                  </w:tcBorders>
                  <w:vAlign w:val="center"/>
                </w:tcPr>
                <w:p>
                  <w:pPr>
                    <w:jc w:val="center"/>
                    <w:rPr>
                      <w:sz w:val="18"/>
                      <w:szCs w:val="18"/>
                    </w:rPr>
                  </w:pPr>
                </w:p>
              </w:tc>
              <w:tc>
                <w:tcPr>
                  <w:tcW w:w="707" w:type="dxa"/>
                  <w:tcBorders>
                    <w:tl2br w:val="nil"/>
                    <w:tr2bl w:val="nil"/>
                  </w:tcBorders>
                  <w:shd w:val="clear" w:color="auto" w:fill="auto"/>
                  <w:vAlign w:val="center"/>
                </w:tcPr>
                <w:p>
                  <w:pPr>
                    <w:jc w:val="center"/>
                    <w:rPr>
                      <w:rFonts w:hint="eastAsia" w:ascii="Times New Roman" w:hAnsi="Times New Roman" w:eastAsia="宋体" w:cs="Times New Roman"/>
                      <w:color w:val="auto"/>
                      <w:kern w:val="2"/>
                      <w:sz w:val="18"/>
                      <w:szCs w:val="18"/>
                      <w:lang w:val="en-US" w:eastAsia="zh-CN" w:bidi="ar-SA"/>
                    </w:rPr>
                  </w:pPr>
                  <w:r>
                    <w:rPr>
                      <w:color w:val="auto"/>
                      <w:sz w:val="18"/>
                      <w:szCs w:val="18"/>
                    </w:rPr>
                    <w:t>S</w:t>
                  </w:r>
                  <w:r>
                    <w:rPr>
                      <w:rFonts w:hint="eastAsia"/>
                      <w:color w:val="auto"/>
                      <w:sz w:val="18"/>
                      <w:szCs w:val="18"/>
                      <w:lang w:val="en-US" w:eastAsia="zh-CN"/>
                    </w:rPr>
                    <w:t>3</w:t>
                  </w:r>
                </w:p>
              </w:tc>
              <w:tc>
                <w:tcPr>
                  <w:tcW w:w="1444" w:type="dxa"/>
                  <w:tcBorders>
                    <w:tl2br w:val="nil"/>
                    <w:tr2bl w:val="nil"/>
                  </w:tcBorders>
                  <w:shd w:val="clear" w:color="auto" w:fill="auto"/>
                  <w:vAlign w:val="center"/>
                </w:tcPr>
                <w:p>
                  <w:pPr>
                    <w:jc w:val="center"/>
                    <w:rPr>
                      <w:rFonts w:ascii="Times New Roman" w:hAnsi="Times New Roman" w:eastAsia="宋体" w:cs="Times New Roman"/>
                      <w:color w:val="auto"/>
                      <w:kern w:val="2"/>
                      <w:sz w:val="18"/>
                      <w:szCs w:val="18"/>
                      <w:lang w:val="en-US" w:eastAsia="zh-CN" w:bidi="ar-SA"/>
                    </w:rPr>
                  </w:pPr>
                  <w:r>
                    <w:rPr>
                      <w:color w:val="auto"/>
                      <w:sz w:val="18"/>
                      <w:szCs w:val="18"/>
                    </w:rPr>
                    <w:t>维修保养</w:t>
                  </w:r>
                </w:p>
              </w:tc>
              <w:tc>
                <w:tcPr>
                  <w:tcW w:w="1891" w:type="dxa"/>
                  <w:tcBorders>
                    <w:tl2br w:val="nil"/>
                    <w:tr2bl w:val="nil"/>
                  </w:tcBorders>
                  <w:shd w:val="clear" w:color="auto" w:fill="auto"/>
                  <w:vAlign w:val="center"/>
                </w:tcPr>
                <w:p>
                  <w:pPr>
                    <w:jc w:val="center"/>
                    <w:rPr>
                      <w:rFonts w:ascii="Times New Roman" w:hAnsi="Times New Roman" w:eastAsia="宋体" w:cs="Times New Roman"/>
                      <w:color w:val="auto"/>
                      <w:kern w:val="2"/>
                      <w:sz w:val="18"/>
                      <w:szCs w:val="18"/>
                      <w:lang w:val="en-US" w:eastAsia="zh-CN" w:bidi="ar-SA"/>
                    </w:rPr>
                  </w:pPr>
                  <w:r>
                    <w:rPr>
                      <w:color w:val="auto"/>
                      <w:sz w:val="18"/>
                      <w:szCs w:val="18"/>
                    </w:rPr>
                    <w:t>废油桶</w:t>
                  </w:r>
                </w:p>
              </w:tc>
              <w:tc>
                <w:tcPr>
                  <w:tcW w:w="967" w:type="dxa"/>
                  <w:tcBorders>
                    <w:tl2br w:val="nil"/>
                    <w:tr2bl w:val="nil"/>
                  </w:tcBorders>
                  <w:shd w:val="clear" w:color="auto" w:fill="auto"/>
                  <w:vAlign w:val="center"/>
                </w:tcPr>
                <w:p>
                  <w:pPr>
                    <w:jc w:val="center"/>
                    <w:rPr>
                      <w:rFonts w:ascii="Times New Roman" w:hAnsi="Times New Roman" w:eastAsia="宋体" w:cs="Times New Roman"/>
                      <w:color w:val="auto"/>
                      <w:kern w:val="2"/>
                      <w:sz w:val="18"/>
                      <w:szCs w:val="18"/>
                      <w:lang w:val="en-US" w:eastAsia="zh-CN" w:bidi="ar-SA"/>
                    </w:rPr>
                  </w:pPr>
                  <w:r>
                    <w:rPr>
                      <w:color w:val="auto"/>
                      <w:sz w:val="18"/>
                      <w:szCs w:val="18"/>
                    </w:rPr>
                    <w:t>间歇</w:t>
                  </w:r>
                </w:p>
              </w:tc>
              <w:tc>
                <w:tcPr>
                  <w:tcW w:w="2151" w:type="dxa"/>
                  <w:vMerge w:val="continue"/>
                  <w:tcBorders>
                    <w:tl2br w:val="nil"/>
                    <w:tr2bl w:val="nil"/>
                  </w:tcBorders>
                  <w:vAlign w:val="center"/>
                </w:tcPr>
                <w:p>
                  <w:pPr>
                    <w:jc w:val="center"/>
                    <w:rPr>
                      <w:spacing w:val="8"/>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6" w:type="dxa"/>
                  <w:vMerge w:val="continue"/>
                  <w:tcBorders>
                    <w:tl2br w:val="nil"/>
                    <w:tr2bl w:val="nil"/>
                  </w:tcBorders>
                  <w:vAlign w:val="center"/>
                </w:tcPr>
                <w:p>
                  <w:pPr>
                    <w:jc w:val="center"/>
                    <w:rPr>
                      <w:sz w:val="18"/>
                      <w:szCs w:val="18"/>
                    </w:rPr>
                  </w:pPr>
                </w:p>
              </w:tc>
              <w:tc>
                <w:tcPr>
                  <w:tcW w:w="707" w:type="dxa"/>
                  <w:tcBorders>
                    <w:tl2br w:val="nil"/>
                    <w:tr2bl w:val="nil"/>
                  </w:tcBorders>
                  <w:shd w:val="clear" w:color="auto" w:fill="auto"/>
                  <w:vAlign w:val="center"/>
                </w:tcPr>
                <w:p>
                  <w:pPr>
                    <w:jc w:val="center"/>
                    <w:rPr>
                      <w:color w:val="auto"/>
                      <w:sz w:val="18"/>
                      <w:szCs w:val="18"/>
                    </w:rPr>
                  </w:pPr>
                  <w:r>
                    <w:rPr>
                      <w:color w:val="auto"/>
                      <w:sz w:val="18"/>
                      <w:szCs w:val="18"/>
                    </w:rPr>
                    <w:t>S</w:t>
                  </w:r>
                  <w:r>
                    <w:rPr>
                      <w:rFonts w:hint="eastAsia"/>
                      <w:color w:val="auto"/>
                      <w:sz w:val="18"/>
                      <w:szCs w:val="18"/>
                      <w:lang w:val="en-US" w:eastAsia="zh-CN"/>
                    </w:rPr>
                    <w:t>4</w:t>
                  </w:r>
                </w:p>
              </w:tc>
              <w:tc>
                <w:tcPr>
                  <w:tcW w:w="1444" w:type="dxa"/>
                  <w:tcBorders>
                    <w:tl2br w:val="nil"/>
                    <w:tr2bl w:val="nil"/>
                  </w:tcBorders>
                  <w:shd w:val="clear" w:color="auto" w:fill="auto"/>
                  <w:vAlign w:val="center"/>
                </w:tcPr>
                <w:p>
                  <w:pPr>
                    <w:jc w:val="center"/>
                    <w:rPr>
                      <w:color w:val="auto"/>
                      <w:sz w:val="18"/>
                      <w:szCs w:val="18"/>
                    </w:rPr>
                  </w:pPr>
                  <w:r>
                    <w:rPr>
                      <w:rFonts w:hint="eastAsia" w:ascii="Times New Roman" w:hAnsi="Times New Roman" w:eastAsia="宋体" w:cs="Times New Roman"/>
                      <w:color w:val="auto"/>
                      <w:sz w:val="18"/>
                      <w:szCs w:val="18"/>
                      <w:lang w:eastAsia="zh-CN"/>
                    </w:rPr>
                    <w:t>金属加工</w:t>
                  </w:r>
                </w:p>
              </w:tc>
              <w:tc>
                <w:tcPr>
                  <w:tcW w:w="1891" w:type="dxa"/>
                  <w:tcBorders>
                    <w:tl2br w:val="nil"/>
                    <w:tr2bl w:val="nil"/>
                  </w:tcBorders>
                  <w:shd w:val="clear" w:color="auto" w:fill="auto"/>
                  <w:vAlign w:val="center"/>
                </w:tcPr>
                <w:p>
                  <w:pPr>
                    <w:jc w:val="center"/>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废包装桶</w:t>
                  </w:r>
                </w:p>
              </w:tc>
              <w:tc>
                <w:tcPr>
                  <w:tcW w:w="967" w:type="dxa"/>
                  <w:tcBorders>
                    <w:tl2br w:val="nil"/>
                    <w:tr2bl w:val="nil"/>
                  </w:tcBorders>
                  <w:shd w:val="clear" w:color="auto" w:fill="auto"/>
                  <w:vAlign w:val="center"/>
                </w:tcPr>
                <w:p>
                  <w:pPr>
                    <w:jc w:val="center"/>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间歇</w:t>
                  </w:r>
                </w:p>
              </w:tc>
              <w:tc>
                <w:tcPr>
                  <w:tcW w:w="2151" w:type="dxa"/>
                  <w:vMerge w:val="continue"/>
                  <w:tcBorders>
                    <w:tl2br w:val="nil"/>
                    <w:tr2bl w:val="nil"/>
                  </w:tcBorders>
                  <w:vAlign w:val="center"/>
                </w:tcPr>
                <w:p>
                  <w:pPr>
                    <w:jc w:val="center"/>
                    <w:rPr>
                      <w:spacing w:val="8"/>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6" w:type="dxa"/>
                  <w:vMerge w:val="continue"/>
                  <w:tcBorders>
                    <w:tl2br w:val="nil"/>
                    <w:tr2bl w:val="nil"/>
                  </w:tcBorders>
                  <w:vAlign w:val="center"/>
                </w:tcPr>
                <w:p>
                  <w:pPr>
                    <w:jc w:val="center"/>
                    <w:rPr>
                      <w:sz w:val="18"/>
                      <w:szCs w:val="18"/>
                    </w:rPr>
                  </w:pPr>
                </w:p>
              </w:tc>
              <w:tc>
                <w:tcPr>
                  <w:tcW w:w="707" w:type="dxa"/>
                  <w:tcBorders>
                    <w:tl2br w:val="nil"/>
                    <w:tr2bl w:val="nil"/>
                  </w:tcBorders>
                  <w:vAlign w:val="center"/>
                </w:tcPr>
                <w:p>
                  <w:pPr>
                    <w:jc w:val="center"/>
                    <w:rPr>
                      <w:rFonts w:hint="eastAsia" w:eastAsia="宋体"/>
                      <w:sz w:val="18"/>
                      <w:szCs w:val="18"/>
                      <w:lang w:eastAsia="zh-CN"/>
                    </w:rPr>
                  </w:pPr>
                  <w:r>
                    <w:rPr>
                      <w:sz w:val="18"/>
                      <w:szCs w:val="18"/>
                    </w:rPr>
                    <w:t>S</w:t>
                  </w:r>
                  <w:r>
                    <w:rPr>
                      <w:rFonts w:hint="eastAsia"/>
                      <w:sz w:val="18"/>
                      <w:szCs w:val="18"/>
                      <w:lang w:val="en-US" w:eastAsia="zh-CN"/>
                    </w:rPr>
                    <w:t>5</w:t>
                  </w:r>
                </w:p>
              </w:tc>
              <w:tc>
                <w:tcPr>
                  <w:tcW w:w="1444" w:type="dxa"/>
                  <w:tcBorders>
                    <w:tl2br w:val="nil"/>
                    <w:tr2bl w:val="nil"/>
                  </w:tcBorders>
                  <w:vAlign w:val="center"/>
                </w:tcPr>
                <w:p>
                  <w:pPr>
                    <w:jc w:val="center"/>
                    <w:rPr>
                      <w:sz w:val="18"/>
                      <w:szCs w:val="18"/>
                    </w:rPr>
                  </w:pPr>
                  <w:r>
                    <w:rPr>
                      <w:sz w:val="18"/>
                      <w:szCs w:val="18"/>
                    </w:rPr>
                    <w:t>员工生活</w:t>
                  </w:r>
                </w:p>
              </w:tc>
              <w:tc>
                <w:tcPr>
                  <w:tcW w:w="1891" w:type="dxa"/>
                  <w:tcBorders>
                    <w:tl2br w:val="nil"/>
                    <w:tr2bl w:val="nil"/>
                  </w:tcBorders>
                  <w:vAlign w:val="center"/>
                </w:tcPr>
                <w:p>
                  <w:pPr>
                    <w:jc w:val="center"/>
                    <w:rPr>
                      <w:sz w:val="18"/>
                      <w:szCs w:val="18"/>
                    </w:rPr>
                  </w:pPr>
                  <w:r>
                    <w:rPr>
                      <w:sz w:val="18"/>
                      <w:szCs w:val="18"/>
                    </w:rPr>
                    <w:t>生活垃圾</w:t>
                  </w:r>
                </w:p>
              </w:tc>
              <w:tc>
                <w:tcPr>
                  <w:tcW w:w="967" w:type="dxa"/>
                  <w:tcBorders>
                    <w:tl2br w:val="nil"/>
                    <w:tr2bl w:val="nil"/>
                  </w:tcBorders>
                  <w:vAlign w:val="center"/>
                </w:tcPr>
                <w:p>
                  <w:pPr>
                    <w:jc w:val="center"/>
                    <w:rPr>
                      <w:sz w:val="18"/>
                      <w:szCs w:val="18"/>
                    </w:rPr>
                  </w:pPr>
                  <w:r>
                    <w:rPr>
                      <w:sz w:val="18"/>
                      <w:szCs w:val="18"/>
                    </w:rPr>
                    <w:t>间歇</w:t>
                  </w:r>
                </w:p>
              </w:tc>
              <w:tc>
                <w:tcPr>
                  <w:tcW w:w="2151" w:type="dxa"/>
                  <w:tcBorders>
                    <w:tl2br w:val="nil"/>
                    <w:tr2bl w:val="nil"/>
                  </w:tcBorders>
                  <w:vAlign w:val="center"/>
                </w:tcPr>
                <w:p>
                  <w:pPr>
                    <w:jc w:val="center"/>
                    <w:rPr>
                      <w:spacing w:val="8"/>
                      <w:sz w:val="18"/>
                      <w:szCs w:val="18"/>
                    </w:rPr>
                  </w:pPr>
                  <w:r>
                    <w:rPr>
                      <w:spacing w:val="8"/>
                      <w:sz w:val="18"/>
                      <w:szCs w:val="18"/>
                    </w:rPr>
                    <w:t>交由环卫部门清运</w:t>
                  </w:r>
                </w:p>
              </w:tc>
            </w:tr>
          </w:tbl>
          <w:p>
            <w:pPr>
              <w:pStyle w:val="7"/>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1" w:type="dxa"/>
          <w:trHeight w:val="13329" w:hRule="atLeast"/>
        </w:trPr>
        <w:tc>
          <w:tcPr>
            <w:tcW w:w="838" w:type="dxa"/>
            <w:vAlign w:val="center"/>
          </w:tcPr>
          <w:p>
            <w:pPr>
              <w:jc w:val="center"/>
            </w:pPr>
          </w:p>
          <w:p>
            <w:pPr>
              <w:jc w:val="center"/>
              <w:rPr>
                <w:sz w:val="24"/>
                <w:szCs w:val="32"/>
              </w:rPr>
            </w:pPr>
          </w:p>
          <w:p>
            <w:pPr>
              <w:jc w:val="center"/>
              <w:rPr>
                <w:sz w:val="24"/>
                <w:szCs w:val="32"/>
              </w:rPr>
            </w:pPr>
            <w:r>
              <w:rPr>
                <w:sz w:val="24"/>
                <w:szCs w:val="32"/>
              </w:rPr>
              <w:t>与</w:t>
            </w:r>
          </w:p>
          <w:p>
            <w:pPr>
              <w:jc w:val="center"/>
              <w:rPr>
                <w:sz w:val="24"/>
                <w:szCs w:val="32"/>
              </w:rPr>
            </w:pPr>
            <w:r>
              <w:rPr>
                <w:sz w:val="24"/>
                <w:szCs w:val="32"/>
              </w:rPr>
              <w:t>项</w:t>
            </w:r>
          </w:p>
          <w:p>
            <w:pPr>
              <w:jc w:val="center"/>
              <w:rPr>
                <w:sz w:val="24"/>
                <w:szCs w:val="32"/>
              </w:rPr>
            </w:pPr>
            <w:r>
              <w:rPr>
                <w:sz w:val="24"/>
                <w:szCs w:val="32"/>
              </w:rPr>
              <w:t>目</w:t>
            </w:r>
          </w:p>
          <w:p>
            <w:pPr>
              <w:jc w:val="center"/>
              <w:rPr>
                <w:sz w:val="24"/>
                <w:szCs w:val="32"/>
              </w:rPr>
            </w:pPr>
            <w:r>
              <w:rPr>
                <w:sz w:val="24"/>
                <w:szCs w:val="32"/>
              </w:rPr>
              <w:t>有</w:t>
            </w:r>
          </w:p>
          <w:p>
            <w:pPr>
              <w:jc w:val="center"/>
              <w:rPr>
                <w:sz w:val="24"/>
                <w:szCs w:val="32"/>
              </w:rPr>
            </w:pPr>
            <w:r>
              <w:rPr>
                <w:sz w:val="24"/>
                <w:szCs w:val="32"/>
              </w:rPr>
              <w:t>关</w:t>
            </w:r>
          </w:p>
          <w:p>
            <w:pPr>
              <w:jc w:val="center"/>
              <w:rPr>
                <w:sz w:val="24"/>
                <w:szCs w:val="32"/>
              </w:rPr>
            </w:pPr>
            <w:r>
              <w:rPr>
                <w:sz w:val="24"/>
                <w:szCs w:val="32"/>
              </w:rPr>
              <w:t>的</w:t>
            </w:r>
          </w:p>
          <w:p>
            <w:pPr>
              <w:jc w:val="center"/>
              <w:rPr>
                <w:sz w:val="24"/>
                <w:szCs w:val="32"/>
              </w:rPr>
            </w:pPr>
            <w:r>
              <w:rPr>
                <w:sz w:val="24"/>
                <w:szCs w:val="32"/>
              </w:rPr>
              <w:t>原</w:t>
            </w:r>
          </w:p>
          <w:p>
            <w:pPr>
              <w:jc w:val="center"/>
              <w:rPr>
                <w:sz w:val="24"/>
                <w:szCs w:val="32"/>
              </w:rPr>
            </w:pPr>
            <w:r>
              <w:rPr>
                <w:sz w:val="24"/>
                <w:szCs w:val="32"/>
              </w:rPr>
              <w:t>有</w:t>
            </w:r>
          </w:p>
          <w:p>
            <w:pPr>
              <w:jc w:val="center"/>
              <w:rPr>
                <w:sz w:val="24"/>
                <w:szCs w:val="32"/>
              </w:rPr>
            </w:pPr>
            <w:r>
              <w:rPr>
                <w:sz w:val="24"/>
                <w:szCs w:val="32"/>
              </w:rPr>
              <w:t>环</w:t>
            </w:r>
          </w:p>
          <w:p>
            <w:pPr>
              <w:jc w:val="center"/>
              <w:rPr>
                <w:sz w:val="24"/>
                <w:szCs w:val="32"/>
              </w:rPr>
            </w:pPr>
            <w:r>
              <w:rPr>
                <w:sz w:val="24"/>
                <w:szCs w:val="32"/>
              </w:rPr>
              <w:t>境</w:t>
            </w:r>
          </w:p>
          <w:p>
            <w:pPr>
              <w:jc w:val="center"/>
              <w:rPr>
                <w:sz w:val="24"/>
                <w:szCs w:val="32"/>
              </w:rPr>
            </w:pPr>
            <w:r>
              <w:rPr>
                <w:sz w:val="24"/>
                <w:szCs w:val="32"/>
              </w:rPr>
              <w:t>污</w:t>
            </w:r>
          </w:p>
          <w:p>
            <w:pPr>
              <w:jc w:val="center"/>
              <w:rPr>
                <w:sz w:val="24"/>
                <w:szCs w:val="32"/>
              </w:rPr>
            </w:pPr>
            <w:r>
              <w:rPr>
                <w:sz w:val="24"/>
                <w:szCs w:val="32"/>
              </w:rPr>
              <w:t>染</w:t>
            </w:r>
          </w:p>
          <w:p>
            <w:pPr>
              <w:jc w:val="center"/>
              <w:rPr>
                <w:sz w:val="24"/>
                <w:szCs w:val="32"/>
              </w:rPr>
            </w:pPr>
            <w:r>
              <w:rPr>
                <w:sz w:val="24"/>
                <w:szCs w:val="32"/>
              </w:rPr>
              <w:t>问</w:t>
            </w:r>
          </w:p>
          <w:p>
            <w:pPr>
              <w:jc w:val="center"/>
            </w:pPr>
            <w:r>
              <w:rPr>
                <w:sz w:val="24"/>
                <w:szCs w:val="32"/>
              </w:rPr>
              <w:t>题</w:t>
            </w:r>
          </w:p>
        </w:tc>
        <w:tc>
          <w:tcPr>
            <w:tcW w:w="8148" w:type="dxa"/>
          </w:tcPr>
          <w:p>
            <w:pPr>
              <w:numPr>
                <w:ilvl w:val="0"/>
                <w:numId w:val="0"/>
              </w:numPr>
              <w:spacing w:line="500" w:lineRule="exact"/>
              <w:rPr>
                <w:b/>
                <w:bCs/>
                <w:color w:val="auto"/>
                <w:sz w:val="24"/>
              </w:rPr>
            </w:pPr>
            <w:r>
              <w:rPr>
                <w:rFonts w:hint="eastAsia"/>
                <w:b/>
                <w:bCs/>
                <w:color w:val="auto"/>
                <w:sz w:val="24"/>
                <w:lang w:val="en-US" w:eastAsia="zh-CN"/>
              </w:rPr>
              <w:t>1、</w:t>
            </w:r>
            <w:r>
              <w:rPr>
                <w:b/>
                <w:bCs/>
                <w:color w:val="auto"/>
                <w:sz w:val="24"/>
              </w:rPr>
              <w:t>现有项目环评手续概况</w:t>
            </w:r>
          </w:p>
          <w:p>
            <w:pPr>
              <w:widowControl/>
              <w:spacing w:beforeAutospacing="0" w:afterAutospacing="0" w:line="360" w:lineRule="auto"/>
              <w:ind w:firstLine="420"/>
              <w:contextualSpacing/>
              <w:jc w:val="left"/>
              <w:rPr>
                <w:rFonts w:hint="eastAsia" w:ascii="Times New Roman" w:hAnsi="Times New Roman" w:eastAsia="宋体" w:cs="Times New Roman"/>
                <w:color w:val="auto"/>
                <w:szCs w:val="21"/>
                <w:lang w:val="en-US" w:eastAsia="zh-CN"/>
              </w:rPr>
            </w:pPr>
            <w:r>
              <w:rPr>
                <w:rFonts w:hint="eastAsia" w:eastAsia="宋体"/>
                <w:color w:val="auto"/>
                <w:szCs w:val="21"/>
                <w:lang w:val="en-US" w:eastAsia="zh-CN"/>
              </w:rPr>
              <w:t>如皋市宏茂重型锻</w:t>
            </w:r>
            <w:r>
              <w:rPr>
                <w:rFonts w:hint="eastAsia" w:ascii="Times New Roman" w:hAnsi="Times New Roman" w:eastAsia="宋体" w:cs="Times New Roman"/>
                <w:color w:val="auto"/>
                <w:szCs w:val="21"/>
                <w:lang w:val="en-US" w:eastAsia="zh-CN"/>
              </w:rPr>
              <w:t>压有限公司成立于201</w:t>
            </w:r>
            <w:r>
              <w:rPr>
                <w:rFonts w:hint="eastAsia"/>
                <w:color w:val="auto"/>
                <w:szCs w:val="21"/>
                <w:lang w:val="en-US" w:eastAsia="zh-CN"/>
              </w:rPr>
              <w:t>4年，位于</w:t>
            </w:r>
            <w:r>
              <w:rPr>
                <w:rFonts w:hint="eastAsia" w:ascii="Times New Roman" w:hAnsi="Times New Roman" w:eastAsia="宋体" w:cs="Times New Roman"/>
                <w:b w:val="0"/>
                <w:bCs w:val="0"/>
                <w:color w:val="auto"/>
                <w:kern w:val="2"/>
                <w:sz w:val="21"/>
                <w:szCs w:val="21"/>
                <w:lang w:val="en-US" w:eastAsia="zh-CN" w:bidi="ar-SA"/>
              </w:rPr>
              <w:t>如皋市长江镇创业路8号</w:t>
            </w:r>
            <w:r>
              <w:rPr>
                <w:rFonts w:hint="eastAsia"/>
                <w:color w:val="auto"/>
                <w:szCs w:val="21"/>
                <w:lang w:val="en-US" w:eastAsia="zh-CN"/>
              </w:rPr>
              <w:t>，</w:t>
            </w:r>
            <w:r>
              <w:rPr>
                <w:rFonts w:hint="eastAsia"/>
                <w:color w:val="auto"/>
                <w:szCs w:val="21"/>
              </w:rPr>
              <w:t>主营业务为高端装备特钢材料和新能源风电零部件的研发、生产及销售，新能源风电零部件是其在风力发电领域的主要产品，具体包括主轴以及齿轮箱零部件（包括行星轮、太阳轮、内齿圈、销轴、高速轴、中间轴、行星架等）。</w:t>
            </w:r>
            <w:r>
              <w:rPr>
                <w:rFonts w:hint="eastAsia" w:ascii="Times New Roman" w:hAnsi="Times New Roman" w:eastAsia="宋体" w:cs="Times New Roman"/>
                <w:color w:val="auto"/>
                <w:szCs w:val="21"/>
              </w:rPr>
              <w:t>公司成立初期</w:t>
            </w:r>
            <w:r>
              <w:rPr>
                <w:rFonts w:hint="eastAsia" w:ascii="Times New Roman" w:hAnsi="Times New Roman" w:eastAsia="宋体" w:cs="Times New Roman"/>
                <w:color w:val="auto"/>
                <w:szCs w:val="21"/>
                <w:lang w:val="en-US" w:eastAsia="zh-CN"/>
              </w:rPr>
              <w:t>（</w:t>
            </w:r>
            <w:r>
              <w:rPr>
                <w:rFonts w:hint="eastAsia" w:ascii="Times New Roman" w:hAnsi="Times New Roman" w:eastAsia="宋体" w:cs="Times New Roman"/>
                <w:color w:val="auto"/>
                <w:szCs w:val="21"/>
              </w:rPr>
              <w:t>2014年</w:t>
            </w:r>
            <w:r>
              <w:rPr>
                <w:rFonts w:hint="eastAsia" w:ascii="Times New Roman" w:hAnsi="Times New Roman" w:eastAsia="宋体" w:cs="Times New Roman"/>
                <w:color w:val="auto"/>
                <w:szCs w:val="21"/>
                <w:lang w:val="en-US" w:eastAsia="zh-CN"/>
              </w:rPr>
              <w:t>）</w:t>
            </w:r>
            <w:r>
              <w:rPr>
                <w:rFonts w:hint="eastAsia" w:ascii="Times New Roman" w:hAnsi="Times New Roman" w:eastAsia="宋体" w:cs="Times New Roman"/>
                <w:color w:val="auto"/>
                <w:szCs w:val="21"/>
              </w:rPr>
              <w:t>通过</w:t>
            </w:r>
            <w:r>
              <w:rPr>
                <w:rFonts w:hint="eastAsia" w:ascii="Times New Roman" w:hAnsi="Times New Roman" w:eastAsia="宋体" w:cs="Times New Roman"/>
                <w:color w:val="auto"/>
                <w:szCs w:val="21"/>
                <w:lang w:val="en-US" w:eastAsia="zh-CN"/>
              </w:rPr>
              <w:t>租赁南通振华宏晟重型锻压有限公司的厂房、土地及生产设备</w:t>
            </w:r>
            <w:r>
              <w:rPr>
                <w:rFonts w:hint="eastAsia" w:ascii="Times New Roman" w:hAnsi="Times New Roman" w:eastAsia="宋体" w:cs="Times New Roman"/>
                <w:color w:val="auto"/>
                <w:szCs w:val="21"/>
              </w:rPr>
              <w:t>开展锻件生产业务</w:t>
            </w:r>
            <w:r>
              <w:rPr>
                <w:rFonts w:hint="eastAsia" w:ascii="Times New Roman" w:hAnsi="Times New Roman" w:eastAsia="宋体" w:cs="Times New Roman"/>
                <w:color w:val="auto"/>
                <w:szCs w:val="21"/>
                <w:lang w:val="en-US" w:eastAsia="zh-CN"/>
              </w:rPr>
              <w:t>，</w:t>
            </w:r>
            <w:r>
              <w:rPr>
                <w:rFonts w:hint="eastAsia" w:ascii="Times New Roman" w:hAnsi="Times New Roman" w:eastAsia="宋体" w:cs="Times New Roman"/>
                <w:color w:val="auto"/>
                <w:szCs w:val="21"/>
              </w:rPr>
              <w:t>随着锻造工艺的</w:t>
            </w:r>
            <w:r>
              <w:rPr>
                <w:rFonts w:hint="eastAsia" w:ascii="Times New Roman" w:hAnsi="Times New Roman" w:eastAsia="宋体" w:cs="Times New Roman"/>
                <w:color w:val="auto"/>
                <w:szCs w:val="21"/>
                <w:lang w:eastAsia="zh-CN"/>
              </w:rPr>
              <w:t>持续改进</w:t>
            </w:r>
            <w:r>
              <w:rPr>
                <w:rFonts w:hint="eastAsia" w:ascii="Times New Roman" w:hAnsi="Times New Roman" w:eastAsia="宋体" w:cs="Times New Roman"/>
                <w:color w:val="auto"/>
                <w:szCs w:val="21"/>
              </w:rPr>
              <w:t>，</w:t>
            </w:r>
            <w:r>
              <w:rPr>
                <w:rFonts w:hint="eastAsia" w:ascii="Times New Roman" w:hAnsi="Times New Roman" w:eastAsia="宋体" w:cs="Times New Roman"/>
                <w:color w:val="auto"/>
                <w:szCs w:val="21"/>
                <w:lang w:eastAsia="zh-CN"/>
              </w:rPr>
              <w:t>其</w:t>
            </w:r>
            <w:r>
              <w:rPr>
                <w:rFonts w:hint="eastAsia" w:ascii="Times New Roman" w:hAnsi="Times New Roman" w:eastAsia="宋体" w:cs="Times New Roman"/>
                <w:color w:val="auto"/>
                <w:szCs w:val="21"/>
              </w:rPr>
              <w:t>主轴产品得到下游客户认可。</w:t>
            </w:r>
            <w:r>
              <w:rPr>
                <w:rFonts w:hint="eastAsia" w:ascii="Times New Roman" w:hAnsi="Times New Roman" w:eastAsia="宋体" w:cs="Times New Roman"/>
                <w:color w:val="auto"/>
                <w:szCs w:val="21"/>
                <w:lang w:val="en-US" w:eastAsia="zh-CN"/>
              </w:rPr>
              <w:t>2018年</w:t>
            </w:r>
            <w:r>
              <w:rPr>
                <w:rFonts w:hint="eastAsia" w:ascii="Times New Roman" w:hAnsi="Times New Roman" w:eastAsia="宋体" w:cs="Times New Roman"/>
                <w:color w:val="auto"/>
                <w:szCs w:val="21"/>
              </w:rPr>
              <w:t>公司进一步收购了</w:t>
            </w:r>
            <w:r>
              <w:rPr>
                <w:rFonts w:hint="eastAsia" w:ascii="Times New Roman" w:hAnsi="Times New Roman" w:eastAsia="宋体" w:cs="Times New Roman"/>
                <w:color w:val="auto"/>
                <w:szCs w:val="21"/>
                <w:lang w:val="en-US" w:eastAsia="zh-CN"/>
              </w:rPr>
              <w:t>南通振华宏晟重型锻压有限公司厂房、土地及生产设备</w:t>
            </w:r>
            <w:r>
              <w:rPr>
                <w:rFonts w:hint="eastAsia" w:ascii="Times New Roman" w:hAnsi="Times New Roman" w:eastAsia="宋体" w:cs="Times New Roman"/>
                <w:color w:val="auto"/>
                <w:szCs w:val="21"/>
              </w:rPr>
              <w:t>实现自主生产。</w:t>
            </w:r>
            <w:r>
              <w:rPr>
                <w:rFonts w:hint="eastAsia" w:ascii="Times New Roman" w:hAnsi="Times New Roman" w:eastAsia="宋体" w:cs="Times New Roman"/>
                <w:color w:val="auto"/>
                <w:szCs w:val="21"/>
                <w:lang w:val="en-US" w:eastAsia="zh-CN"/>
              </w:rPr>
              <w:t>南通</w:t>
            </w:r>
            <w:r>
              <w:rPr>
                <w:rFonts w:hint="eastAsia"/>
                <w:color w:val="auto"/>
                <w:szCs w:val="21"/>
                <w:lang w:val="en-US" w:eastAsia="zh-CN"/>
              </w:rPr>
              <w:t>振华宏晟重型锻压有限公司原有</w:t>
            </w:r>
            <w:r>
              <w:rPr>
                <w:rFonts w:hint="eastAsia" w:cs="Times New Roman"/>
                <w:color w:val="auto"/>
                <w:lang w:val="en-US" w:eastAsia="zh-CN"/>
              </w:rPr>
              <w:t>的“</w:t>
            </w:r>
            <w:r>
              <w:rPr>
                <w:rFonts w:hint="eastAsia" w:eastAsia="宋体" w:cs="Times New Roman"/>
                <w:color w:val="auto"/>
                <w:lang w:val="en-US" w:eastAsia="zh-CN"/>
              </w:rPr>
              <w:t>新建5000T快锻机组生产线项目</w:t>
            </w:r>
            <w:r>
              <w:rPr>
                <w:rFonts w:hint="eastAsia" w:cs="Times New Roman"/>
                <w:color w:val="auto"/>
                <w:lang w:val="en-US" w:eastAsia="zh-CN"/>
              </w:rPr>
              <w:t>”</w:t>
            </w:r>
            <w:r>
              <w:rPr>
                <w:rFonts w:hint="eastAsia" w:ascii="Times New Roman" w:hAnsi="Times New Roman" w:eastAsia="宋体" w:cs="Times New Roman"/>
                <w:color w:val="auto"/>
                <w:szCs w:val="21"/>
                <w:lang w:eastAsia="zh-CN"/>
              </w:rPr>
              <w:t>该项目于</w:t>
            </w:r>
            <w:r>
              <w:rPr>
                <w:rFonts w:hint="eastAsia" w:ascii="Times New Roman" w:hAnsi="Times New Roman" w:eastAsia="宋体" w:cs="Times New Roman"/>
                <w:color w:val="auto"/>
                <w:szCs w:val="21"/>
              </w:rPr>
              <w:t>201</w:t>
            </w:r>
            <w:r>
              <w:rPr>
                <w:rFonts w:hint="eastAsia" w:ascii="Times New Roman" w:hAnsi="Times New Roman" w:eastAsia="宋体" w:cs="Times New Roman"/>
                <w:color w:val="auto"/>
                <w:szCs w:val="21"/>
                <w:lang w:val="en-US" w:eastAsia="zh-CN"/>
              </w:rPr>
              <w:t>0</w:t>
            </w:r>
            <w:r>
              <w:rPr>
                <w:rFonts w:hint="eastAsia" w:ascii="Times New Roman" w:hAnsi="Times New Roman" w:eastAsia="宋体" w:cs="Times New Roman"/>
                <w:color w:val="auto"/>
                <w:szCs w:val="21"/>
              </w:rPr>
              <w:t>年</w:t>
            </w:r>
            <w:r>
              <w:rPr>
                <w:rFonts w:hint="eastAsia" w:ascii="Times New Roman" w:hAnsi="Times New Roman" w:eastAsia="宋体" w:cs="Times New Roman"/>
                <w:color w:val="auto"/>
                <w:szCs w:val="21"/>
                <w:lang w:val="en-US" w:eastAsia="zh-CN"/>
              </w:rPr>
              <w:t>1</w:t>
            </w:r>
            <w:r>
              <w:rPr>
                <w:rFonts w:hint="eastAsia" w:ascii="Times New Roman" w:hAnsi="Times New Roman" w:eastAsia="宋体" w:cs="Times New Roman"/>
                <w:color w:val="auto"/>
                <w:szCs w:val="21"/>
              </w:rPr>
              <w:t>月</w:t>
            </w:r>
            <w:r>
              <w:rPr>
                <w:rFonts w:hint="eastAsia" w:ascii="Times New Roman" w:hAnsi="Times New Roman" w:eastAsia="宋体" w:cs="Times New Roman"/>
                <w:color w:val="auto"/>
                <w:szCs w:val="21"/>
                <w:lang w:val="en-US" w:eastAsia="zh-CN"/>
              </w:rPr>
              <w:t>24</w:t>
            </w:r>
            <w:r>
              <w:rPr>
                <w:rFonts w:hint="eastAsia" w:ascii="Times New Roman" w:hAnsi="Times New Roman" w:eastAsia="宋体" w:cs="Times New Roman"/>
                <w:color w:val="auto"/>
                <w:szCs w:val="21"/>
              </w:rPr>
              <w:t>日通过</w:t>
            </w:r>
            <w:r>
              <w:rPr>
                <w:rFonts w:hint="eastAsia" w:ascii="Times New Roman" w:hAnsi="Times New Roman" w:eastAsia="宋体" w:cs="Times New Roman"/>
                <w:color w:val="auto"/>
                <w:szCs w:val="21"/>
                <w:lang w:eastAsia="zh-CN"/>
              </w:rPr>
              <w:t>如皋市环保局审批（皋环发〔201</w:t>
            </w:r>
            <w:r>
              <w:rPr>
                <w:rFonts w:hint="eastAsia" w:ascii="Times New Roman" w:hAnsi="Times New Roman" w:eastAsia="宋体" w:cs="Times New Roman"/>
                <w:color w:val="auto"/>
                <w:szCs w:val="21"/>
                <w:lang w:val="en-US" w:eastAsia="zh-CN"/>
              </w:rPr>
              <w:t>0</w:t>
            </w:r>
            <w:r>
              <w:rPr>
                <w:rFonts w:hint="eastAsia" w:ascii="Times New Roman" w:hAnsi="Times New Roman" w:eastAsia="宋体" w:cs="Times New Roman"/>
                <w:color w:val="auto"/>
                <w:szCs w:val="21"/>
                <w:lang w:eastAsia="zh-CN"/>
              </w:rPr>
              <w:t>〕</w:t>
            </w:r>
            <w:r>
              <w:rPr>
                <w:rFonts w:hint="eastAsia" w:ascii="Times New Roman" w:hAnsi="Times New Roman" w:eastAsia="宋体" w:cs="Times New Roman"/>
                <w:color w:val="auto"/>
                <w:szCs w:val="21"/>
                <w:lang w:val="en-US" w:eastAsia="zh-CN"/>
              </w:rPr>
              <w:t>7</w:t>
            </w:r>
            <w:r>
              <w:rPr>
                <w:rFonts w:hint="eastAsia" w:ascii="Times New Roman" w:hAnsi="Times New Roman" w:eastAsia="宋体" w:cs="Times New Roman"/>
                <w:color w:val="auto"/>
                <w:szCs w:val="21"/>
                <w:lang w:eastAsia="zh-CN"/>
              </w:rPr>
              <w:t>号），</w:t>
            </w:r>
            <w:r>
              <w:rPr>
                <w:rFonts w:hint="eastAsia" w:ascii="Times New Roman" w:hAnsi="Times New Roman" w:eastAsia="宋体" w:cs="Times New Roman"/>
                <w:color w:val="auto"/>
                <w:szCs w:val="21"/>
              </w:rPr>
              <w:t>并于2017年由如皋市行政审批局完成验收</w:t>
            </w:r>
            <w:r>
              <w:rPr>
                <w:rFonts w:hint="eastAsia" w:ascii="Times New Roman" w:hAnsi="Times New Roman" w:eastAsia="宋体" w:cs="Times New Roman"/>
                <w:color w:val="auto"/>
                <w:szCs w:val="21"/>
                <w:lang w:eastAsia="zh-CN"/>
              </w:rPr>
              <w:t>（验收文号：皋行审环验（表）〔201</w:t>
            </w:r>
            <w:r>
              <w:rPr>
                <w:rFonts w:hint="eastAsia" w:ascii="Times New Roman" w:hAnsi="Times New Roman" w:eastAsia="宋体" w:cs="Times New Roman"/>
                <w:color w:val="auto"/>
                <w:szCs w:val="21"/>
                <w:lang w:val="en-US" w:eastAsia="zh-CN"/>
              </w:rPr>
              <w:t>7</w:t>
            </w:r>
            <w:r>
              <w:rPr>
                <w:rFonts w:hint="eastAsia" w:ascii="Times New Roman" w:hAnsi="Times New Roman" w:eastAsia="宋体" w:cs="Times New Roman"/>
                <w:color w:val="auto"/>
                <w:szCs w:val="21"/>
                <w:lang w:eastAsia="zh-CN"/>
              </w:rPr>
              <w:t>〕</w:t>
            </w:r>
            <w:r>
              <w:rPr>
                <w:rFonts w:hint="eastAsia" w:ascii="Times New Roman" w:hAnsi="Times New Roman" w:eastAsia="宋体" w:cs="Times New Roman"/>
                <w:color w:val="auto"/>
                <w:szCs w:val="21"/>
                <w:lang w:val="en-US" w:eastAsia="zh-CN"/>
              </w:rPr>
              <w:t>33</w:t>
            </w:r>
            <w:r>
              <w:rPr>
                <w:rFonts w:hint="eastAsia" w:ascii="Times New Roman" w:hAnsi="Times New Roman" w:eastAsia="宋体" w:cs="Times New Roman"/>
                <w:color w:val="auto"/>
                <w:szCs w:val="21"/>
                <w:lang w:eastAsia="zh-CN"/>
              </w:rPr>
              <w:t>号）。</w:t>
            </w:r>
            <w:r>
              <w:rPr>
                <w:rFonts w:hint="eastAsia" w:ascii="Times New Roman" w:hAnsi="Times New Roman" w:eastAsia="宋体" w:cs="Times New Roman"/>
                <w:color w:val="auto"/>
                <w:szCs w:val="21"/>
              </w:rPr>
              <w:t>2023年8月1日，如皋市宏茂重型锻压有限公司取得固定污染源排污登记回执（登记编号：913206820884333015001Z）</w:t>
            </w:r>
            <w:r>
              <w:rPr>
                <w:rFonts w:hint="eastAsia" w:ascii="Times New Roman" w:hAnsi="Times New Roman" w:eastAsia="宋体" w:cs="Times New Roman"/>
                <w:color w:val="auto"/>
                <w:szCs w:val="21"/>
                <w:lang w:eastAsia="zh-CN"/>
              </w:rPr>
              <w:t>。</w:t>
            </w:r>
            <w:r>
              <w:rPr>
                <w:rFonts w:hint="eastAsia" w:ascii="Times New Roman" w:hAnsi="Times New Roman" w:eastAsia="宋体" w:cs="Times New Roman"/>
                <w:color w:val="auto"/>
                <w:szCs w:val="21"/>
              </w:rPr>
              <w:t>项目运营期间未发生环境安全事故，</w:t>
            </w:r>
            <w:r>
              <w:rPr>
                <w:rFonts w:hint="eastAsia" w:ascii="Times New Roman" w:hAnsi="Times New Roman" w:eastAsia="宋体" w:cs="Times New Roman"/>
                <w:color w:val="auto"/>
                <w:szCs w:val="21"/>
                <w:lang w:eastAsia="zh-CN"/>
              </w:rPr>
              <w:t>运营期受到群众举报</w:t>
            </w:r>
            <w:r>
              <w:rPr>
                <w:rFonts w:hint="eastAsia" w:ascii="Times New Roman" w:hAnsi="Times New Roman" w:eastAsia="宋体" w:cs="Times New Roman"/>
                <w:color w:val="auto"/>
                <w:szCs w:val="21"/>
              </w:rPr>
              <w:t>经南通市如皋生态环境局全面调查核实，群众举报反映的问题经查证与实际情况不符</w:t>
            </w:r>
            <w:r>
              <w:rPr>
                <w:rFonts w:hint="eastAsia" w:ascii="Times New Roman" w:hAnsi="Times New Roman" w:eastAsia="宋体" w:cs="Times New Roman"/>
                <w:color w:val="auto"/>
                <w:szCs w:val="21"/>
                <w:lang w:val="en-US" w:eastAsia="zh-CN"/>
              </w:rPr>
              <w:t>。</w:t>
            </w:r>
          </w:p>
          <w:p>
            <w:pPr>
              <w:spacing w:line="500" w:lineRule="exact"/>
              <w:ind w:firstLine="420" w:firstLineChars="200"/>
              <w:rPr>
                <w:color w:val="auto"/>
                <w:szCs w:val="21"/>
                <w:shd w:val="clear" w:color="auto" w:fill="FFFFFF"/>
              </w:rPr>
            </w:pPr>
            <w:r>
              <w:rPr>
                <w:color w:val="auto"/>
                <w:szCs w:val="21"/>
                <w:shd w:val="clear" w:color="auto" w:fill="FFFFFF"/>
              </w:rPr>
              <w:t>现有环保手续一览表见表2-</w:t>
            </w:r>
            <w:r>
              <w:rPr>
                <w:rFonts w:hint="eastAsia"/>
                <w:color w:val="auto"/>
                <w:szCs w:val="21"/>
                <w:shd w:val="clear" w:color="auto" w:fill="FFFFFF"/>
                <w:lang w:val="en-US" w:eastAsia="zh-CN"/>
              </w:rPr>
              <w:t>18</w:t>
            </w:r>
            <w:r>
              <w:rPr>
                <w:color w:val="auto"/>
                <w:szCs w:val="21"/>
                <w:shd w:val="clear" w:color="auto" w:fill="FFFFFF"/>
              </w:rPr>
              <w:t>。</w:t>
            </w:r>
          </w:p>
          <w:p>
            <w:pPr>
              <w:adjustRightInd w:val="0"/>
              <w:snapToGrid w:val="0"/>
              <w:spacing w:line="500" w:lineRule="exact"/>
              <w:jc w:val="center"/>
              <w:rPr>
                <w:b/>
                <w:color w:val="auto"/>
                <w:szCs w:val="21"/>
              </w:rPr>
            </w:pPr>
            <w:r>
              <w:rPr>
                <w:b/>
                <w:color w:val="auto"/>
                <w:szCs w:val="21"/>
              </w:rPr>
              <w:t>表 2-</w:t>
            </w:r>
            <w:r>
              <w:rPr>
                <w:rFonts w:hint="eastAsia"/>
                <w:b/>
                <w:color w:val="auto"/>
                <w:szCs w:val="21"/>
                <w:lang w:val="en-US" w:eastAsia="zh-CN"/>
              </w:rPr>
              <w:t>18</w:t>
            </w:r>
            <w:r>
              <w:rPr>
                <w:b/>
                <w:color w:val="auto"/>
                <w:szCs w:val="21"/>
              </w:rPr>
              <w:t xml:space="preserve"> </w:t>
            </w:r>
            <w:r>
              <w:rPr>
                <w:rFonts w:hint="eastAsia"/>
                <w:b/>
                <w:color w:val="auto"/>
                <w:szCs w:val="21"/>
                <w:lang w:val="en-US" w:eastAsia="zh-CN"/>
              </w:rPr>
              <w:t>南通振华宏晟重型锻压有限公司</w:t>
            </w:r>
            <w:r>
              <w:rPr>
                <w:b/>
                <w:color w:val="auto"/>
                <w:szCs w:val="21"/>
              </w:rPr>
              <w:t>审批及验收情况</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41"/>
              <w:gridCol w:w="1008"/>
              <w:gridCol w:w="1081"/>
              <w:gridCol w:w="1370"/>
              <w:gridCol w:w="1564"/>
              <w:gridCol w:w="116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97" w:type="pct"/>
                  <w:tcBorders>
                    <w:top w:val="single" w:color="auto" w:sz="12" w:space="0"/>
                  </w:tcBorders>
                  <w:noWrap w:val="0"/>
                  <w:vAlign w:val="center"/>
                </w:tcPr>
                <w:p>
                  <w:pPr>
                    <w:jc w:val="center"/>
                    <w:rPr>
                      <w:color w:val="auto"/>
                      <w:kern w:val="0"/>
                      <w:sz w:val="18"/>
                      <w:szCs w:val="18"/>
                    </w:rPr>
                  </w:pPr>
                  <w:r>
                    <w:rPr>
                      <w:color w:val="auto"/>
                      <w:kern w:val="0"/>
                      <w:sz w:val="18"/>
                      <w:szCs w:val="18"/>
                    </w:rPr>
                    <w:t>项目名称</w:t>
                  </w:r>
                </w:p>
              </w:tc>
              <w:tc>
                <w:tcPr>
                  <w:tcW w:w="635" w:type="pct"/>
                  <w:tcBorders>
                    <w:top w:val="single" w:color="auto" w:sz="12" w:space="0"/>
                  </w:tcBorders>
                  <w:noWrap w:val="0"/>
                  <w:vAlign w:val="center"/>
                </w:tcPr>
                <w:p>
                  <w:pPr>
                    <w:jc w:val="center"/>
                    <w:rPr>
                      <w:color w:val="auto"/>
                      <w:kern w:val="0"/>
                      <w:sz w:val="18"/>
                      <w:szCs w:val="18"/>
                    </w:rPr>
                  </w:pPr>
                  <w:r>
                    <w:rPr>
                      <w:color w:val="auto"/>
                      <w:kern w:val="0"/>
                      <w:sz w:val="18"/>
                      <w:szCs w:val="18"/>
                    </w:rPr>
                    <w:t>文件</w:t>
                  </w:r>
                </w:p>
                <w:p>
                  <w:pPr>
                    <w:jc w:val="center"/>
                    <w:rPr>
                      <w:color w:val="auto"/>
                      <w:kern w:val="0"/>
                      <w:sz w:val="18"/>
                      <w:szCs w:val="18"/>
                    </w:rPr>
                  </w:pPr>
                  <w:r>
                    <w:rPr>
                      <w:color w:val="auto"/>
                      <w:kern w:val="0"/>
                      <w:sz w:val="18"/>
                      <w:szCs w:val="18"/>
                    </w:rPr>
                    <w:t>类别</w:t>
                  </w:r>
                </w:p>
              </w:tc>
              <w:tc>
                <w:tcPr>
                  <w:tcW w:w="681" w:type="pct"/>
                  <w:tcBorders>
                    <w:top w:val="single" w:color="auto" w:sz="12" w:space="0"/>
                  </w:tcBorders>
                  <w:noWrap w:val="0"/>
                  <w:vAlign w:val="center"/>
                </w:tcPr>
                <w:p>
                  <w:pPr>
                    <w:jc w:val="center"/>
                    <w:rPr>
                      <w:color w:val="auto"/>
                      <w:kern w:val="0"/>
                      <w:sz w:val="18"/>
                      <w:szCs w:val="18"/>
                    </w:rPr>
                  </w:pPr>
                  <w:r>
                    <w:rPr>
                      <w:color w:val="auto"/>
                      <w:kern w:val="0"/>
                      <w:sz w:val="18"/>
                      <w:szCs w:val="18"/>
                    </w:rPr>
                    <w:t>审批时间</w:t>
                  </w:r>
                </w:p>
              </w:tc>
              <w:tc>
                <w:tcPr>
                  <w:tcW w:w="863" w:type="pct"/>
                  <w:tcBorders>
                    <w:top w:val="single" w:color="auto" w:sz="12" w:space="0"/>
                  </w:tcBorders>
                  <w:noWrap w:val="0"/>
                  <w:vAlign w:val="center"/>
                </w:tcPr>
                <w:p>
                  <w:pPr>
                    <w:jc w:val="center"/>
                    <w:rPr>
                      <w:color w:val="auto"/>
                      <w:kern w:val="0"/>
                      <w:sz w:val="18"/>
                      <w:szCs w:val="18"/>
                    </w:rPr>
                  </w:pPr>
                  <w:r>
                    <w:rPr>
                      <w:color w:val="auto"/>
                      <w:kern w:val="0"/>
                      <w:sz w:val="18"/>
                      <w:szCs w:val="18"/>
                    </w:rPr>
                    <w:t>批文号</w:t>
                  </w:r>
                </w:p>
              </w:tc>
              <w:tc>
                <w:tcPr>
                  <w:tcW w:w="985" w:type="pct"/>
                  <w:tcBorders>
                    <w:top w:val="single" w:color="auto" w:sz="12" w:space="0"/>
                  </w:tcBorders>
                  <w:noWrap w:val="0"/>
                  <w:vAlign w:val="center"/>
                </w:tcPr>
                <w:p>
                  <w:pPr>
                    <w:jc w:val="center"/>
                    <w:rPr>
                      <w:color w:val="auto"/>
                      <w:kern w:val="0"/>
                      <w:sz w:val="18"/>
                      <w:szCs w:val="18"/>
                    </w:rPr>
                  </w:pPr>
                  <w:r>
                    <w:rPr>
                      <w:color w:val="auto"/>
                      <w:kern w:val="0"/>
                      <w:sz w:val="18"/>
                      <w:szCs w:val="18"/>
                    </w:rPr>
                    <w:t>环评批复量</w:t>
                  </w:r>
                </w:p>
              </w:tc>
              <w:tc>
                <w:tcPr>
                  <w:tcW w:w="736" w:type="pct"/>
                  <w:tcBorders>
                    <w:top w:val="single" w:color="auto" w:sz="12" w:space="0"/>
                  </w:tcBorders>
                  <w:noWrap w:val="0"/>
                  <w:vAlign w:val="center"/>
                </w:tcPr>
                <w:p>
                  <w:pPr>
                    <w:jc w:val="center"/>
                    <w:rPr>
                      <w:color w:val="auto"/>
                      <w:kern w:val="0"/>
                      <w:sz w:val="18"/>
                      <w:szCs w:val="18"/>
                    </w:rPr>
                  </w:pPr>
                  <w:r>
                    <w:rPr>
                      <w:color w:val="auto"/>
                      <w:kern w:val="0"/>
                      <w:sz w:val="18"/>
                      <w:szCs w:val="18"/>
                    </w:rPr>
                    <w:t>投产及验收</w:t>
                  </w:r>
                </w:p>
                <w:p>
                  <w:pPr>
                    <w:jc w:val="center"/>
                    <w:rPr>
                      <w:color w:val="auto"/>
                      <w:kern w:val="0"/>
                      <w:sz w:val="18"/>
                      <w:szCs w:val="18"/>
                    </w:rPr>
                  </w:pPr>
                  <w:r>
                    <w:rPr>
                      <w:color w:val="auto"/>
                      <w:kern w:val="0"/>
                      <w:sz w:val="18"/>
                      <w:szCs w:val="18"/>
                    </w:rPr>
                    <w:t>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97" w:type="pct"/>
                  <w:tcBorders>
                    <w:bottom w:val="single" w:color="auto" w:sz="12" w:space="0"/>
                  </w:tcBorders>
                  <w:noWrap w:val="0"/>
                  <w:vAlign w:val="center"/>
                </w:tcPr>
                <w:p>
                  <w:pPr>
                    <w:jc w:val="center"/>
                    <w:rPr>
                      <w:color w:val="auto"/>
                      <w:kern w:val="0"/>
                      <w:sz w:val="18"/>
                      <w:szCs w:val="18"/>
                    </w:rPr>
                  </w:pPr>
                  <w:r>
                    <w:rPr>
                      <w:rFonts w:hint="eastAsia"/>
                      <w:color w:val="auto"/>
                      <w:kern w:val="0"/>
                      <w:sz w:val="18"/>
                      <w:szCs w:val="18"/>
                      <w:lang w:val="en-US" w:eastAsia="zh-CN"/>
                    </w:rPr>
                    <w:t>新建5000T快锻机组生产线项目</w:t>
                  </w:r>
                </w:p>
              </w:tc>
              <w:tc>
                <w:tcPr>
                  <w:tcW w:w="635" w:type="pct"/>
                  <w:tcBorders>
                    <w:bottom w:val="single" w:color="auto" w:sz="12" w:space="0"/>
                  </w:tcBorders>
                  <w:noWrap w:val="0"/>
                  <w:vAlign w:val="center"/>
                </w:tcPr>
                <w:p>
                  <w:pPr>
                    <w:jc w:val="center"/>
                    <w:rPr>
                      <w:rFonts w:hint="eastAsia" w:eastAsia="宋体"/>
                      <w:color w:val="auto"/>
                      <w:kern w:val="0"/>
                      <w:sz w:val="18"/>
                      <w:szCs w:val="18"/>
                      <w:lang w:eastAsia="zh-CN"/>
                    </w:rPr>
                  </w:pPr>
                  <w:r>
                    <w:rPr>
                      <w:color w:val="auto"/>
                      <w:kern w:val="0"/>
                      <w:sz w:val="18"/>
                      <w:szCs w:val="18"/>
                    </w:rPr>
                    <w:t>环境影响报告</w:t>
                  </w:r>
                  <w:r>
                    <w:rPr>
                      <w:rFonts w:hint="eastAsia"/>
                      <w:color w:val="auto"/>
                      <w:kern w:val="0"/>
                      <w:sz w:val="18"/>
                      <w:szCs w:val="18"/>
                      <w:lang w:eastAsia="zh-CN"/>
                    </w:rPr>
                    <w:t>书</w:t>
                  </w:r>
                </w:p>
              </w:tc>
              <w:tc>
                <w:tcPr>
                  <w:tcW w:w="681" w:type="pct"/>
                  <w:tcBorders>
                    <w:bottom w:val="single" w:color="auto" w:sz="12" w:space="0"/>
                  </w:tcBorders>
                  <w:noWrap w:val="0"/>
                  <w:vAlign w:val="center"/>
                </w:tcPr>
                <w:p>
                  <w:pPr>
                    <w:jc w:val="center"/>
                    <w:rPr>
                      <w:color w:val="auto"/>
                      <w:kern w:val="0"/>
                      <w:sz w:val="18"/>
                      <w:szCs w:val="18"/>
                    </w:rPr>
                  </w:pPr>
                  <w:r>
                    <w:rPr>
                      <w:color w:val="auto"/>
                      <w:kern w:val="0"/>
                      <w:sz w:val="18"/>
                      <w:szCs w:val="18"/>
                    </w:rPr>
                    <w:t>201</w:t>
                  </w:r>
                  <w:r>
                    <w:rPr>
                      <w:rFonts w:hint="eastAsia"/>
                      <w:color w:val="auto"/>
                      <w:kern w:val="0"/>
                      <w:sz w:val="18"/>
                      <w:szCs w:val="18"/>
                      <w:lang w:val="en-US" w:eastAsia="zh-CN"/>
                    </w:rPr>
                    <w:t>0</w:t>
                  </w:r>
                  <w:r>
                    <w:rPr>
                      <w:color w:val="auto"/>
                      <w:kern w:val="0"/>
                      <w:sz w:val="18"/>
                      <w:szCs w:val="18"/>
                    </w:rPr>
                    <w:t>年</w:t>
                  </w:r>
                  <w:r>
                    <w:rPr>
                      <w:rFonts w:hint="eastAsia"/>
                      <w:color w:val="auto"/>
                      <w:kern w:val="0"/>
                      <w:sz w:val="18"/>
                      <w:szCs w:val="18"/>
                      <w:lang w:val="en-US" w:eastAsia="zh-CN"/>
                    </w:rPr>
                    <w:t>1</w:t>
                  </w:r>
                  <w:r>
                    <w:rPr>
                      <w:color w:val="auto"/>
                      <w:kern w:val="0"/>
                      <w:sz w:val="18"/>
                      <w:szCs w:val="18"/>
                    </w:rPr>
                    <w:t>月</w:t>
                  </w:r>
                  <w:r>
                    <w:rPr>
                      <w:rFonts w:hint="eastAsia"/>
                      <w:color w:val="auto"/>
                      <w:kern w:val="0"/>
                      <w:sz w:val="18"/>
                      <w:szCs w:val="18"/>
                      <w:lang w:val="en-US" w:eastAsia="zh-CN"/>
                    </w:rPr>
                    <w:t>24</w:t>
                  </w:r>
                  <w:r>
                    <w:rPr>
                      <w:color w:val="auto"/>
                      <w:kern w:val="0"/>
                      <w:sz w:val="18"/>
                      <w:szCs w:val="18"/>
                    </w:rPr>
                    <w:t>日</w:t>
                  </w:r>
                </w:p>
              </w:tc>
              <w:tc>
                <w:tcPr>
                  <w:tcW w:w="863" w:type="pct"/>
                  <w:tcBorders>
                    <w:bottom w:val="single" w:color="auto" w:sz="12" w:space="0"/>
                  </w:tcBorders>
                  <w:noWrap w:val="0"/>
                  <w:vAlign w:val="center"/>
                </w:tcPr>
                <w:p>
                  <w:pPr>
                    <w:jc w:val="center"/>
                    <w:rPr>
                      <w:color w:val="auto"/>
                      <w:kern w:val="0"/>
                      <w:sz w:val="18"/>
                      <w:szCs w:val="18"/>
                    </w:rPr>
                  </w:pPr>
                  <w:r>
                    <w:rPr>
                      <w:rFonts w:hint="eastAsia"/>
                      <w:color w:val="auto"/>
                      <w:kern w:val="0"/>
                      <w:sz w:val="18"/>
                      <w:szCs w:val="18"/>
                      <w:lang w:eastAsia="zh-CN"/>
                    </w:rPr>
                    <w:t>皋环发</w:t>
                  </w:r>
                  <w:r>
                    <w:rPr>
                      <w:color w:val="auto"/>
                      <w:kern w:val="0"/>
                      <w:sz w:val="18"/>
                      <w:szCs w:val="18"/>
                    </w:rPr>
                    <w:t>〔201</w:t>
                  </w:r>
                  <w:r>
                    <w:rPr>
                      <w:rFonts w:hint="eastAsia"/>
                      <w:color w:val="auto"/>
                      <w:kern w:val="0"/>
                      <w:sz w:val="18"/>
                      <w:szCs w:val="18"/>
                      <w:lang w:val="en-US" w:eastAsia="zh-CN"/>
                    </w:rPr>
                    <w:t>0</w:t>
                  </w:r>
                  <w:r>
                    <w:rPr>
                      <w:color w:val="auto"/>
                      <w:kern w:val="0"/>
                      <w:sz w:val="18"/>
                      <w:szCs w:val="18"/>
                    </w:rPr>
                    <w:t>〕</w:t>
                  </w:r>
                  <w:r>
                    <w:rPr>
                      <w:rFonts w:hint="eastAsia"/>
                      <w:color w:val="auto"/>
                      <w:kern w:val="0"/>
                      <w:sz w:val="18"/>
                      <w:szCs w:val="18"/>
                      <w:lang w:val="en-US" w:eastAsia="zh-CN"/>
                    </w:rPr>
                    <w:t>7</w:t>
                  </w:r>
                  <w:r>
                    <w:rPr>
                      <w:color w:val="auto"/>
                      <w:kern w:val="0"/>
                      <w:sz w:val="18"/>
                      <w:szCs w:val="18"/>
                    </w:rPr>
                    <w:t>号</w:t>
                  </w:r>
                </w:p>
              </w:tc>
              <w:tc>
                <w:tcPr>
                  <w:tcW w:w="985" w:type="pct"/>
                  <w:tcBorders>
                    <w:bottom w:val="single" w:color="auto" w:sz="12" w:space="0"/>
                  </w:tcBorders>
                  <w:noWrap w:val="0"/>
                  <w:vAlign w:val="center"/>
                </w:tcPr>
                <w:p>
                  <w:pPr>
                    <w:jc w:val="center"/>
                    <w:rPr>
                      <w:rFonts w:hint="default" w:eastAsia="宋体"/>
                      <w:color w:val="auto"/>
                      <w:kern w:val="0"/>
                      <w:sz w:val="18"/>
                      <w:szCs w:val="18"/>
                      <w:lang w:val="en-US" w:eastAsia="zh-CN"/>
                    </w:rPr>
                  </w:pPr>
                  <w:r>
                    <w:rPr>
                      <w:rFonts w:hint="eastAsia"/>
                      <w:color w:val="auto"/>
                      <w:kern w:val="0"/>
                      <w:sz w:val="18"/>
                      <w:szCs w:val="18"/>
                      <w:lang w:eastAsia="zh-CN"/>
                    </w:rPr>
                    <w:t>轴类锻件</w:t>
                  </w:r>
                  <w:r>
                    <w:rPr>
                      <w:rFonts w:hint="eastAsia"/>
                      <w:color w:val="auto"/>
                      <w:kern w:val="0"/>
                      <w:sz w:val="18"/>
                      <w:szCs w:val="18"/>
                      <w:lang w:val="en-US" w:eastAsia="zh-CN"/>
                    </w:rPr>
                    <w:t>40000吨、饼类、盘类锻件8000吨、模块类锻件15000吨、环形锻件9000吨</w:t>
                  </w:r>
                </w:p>
              </w:tc>
              <w:tc>
                <w:tcPr>
                  <w:tcW w:w="736" w:type="pct"/>
                  <w:tcBorders>
                    <w:bottom w:val="single" w:color="auto" w:sz="12" w:space="0"/>
                  </w:tcBorders>
                  <w:noWrap w:val="0"/>
                  <w:vAlign w:val="center"/>
                </w:tcPr>
                <w:p>
                  <w:pPr>
                    <w:jc w:val="center"/>
                    <w:rPr>
                      <w:color w:val="auto"/>
                      <w:kern w:val="0"/>
                      <w:sz w:val="18"/>
                      <w:szCs w:val="18"/>
                    </w:rPr>
                  </w:pPr>
                  <w:r>
                    <w:rPr>
                      <w:rFonts w:hint="eastAsia"/>
                      <w:color w:val="auto"/>
                      <w:kern w:val="0"/>
                      <w:sz w:val="18"/>
                      <w:szCs w:val="18"/>
                      <w:lang w:eastAsia="zh-CN"/>
                    </w:rPr>
                    <w:t>皋行审环验（表）</w:t>
                  </w:r>
                  <w:r>
                    <w:rPr>
                      <w:color w:val="auto"/>
                      <w:kern w:val="0"/>
                      <w:sz w:val="18"/>
                      <w:szCs w:val="18"/>
                    </w:rPr>
                    <w:t>〔201</w:t>
                  </w:r>
                  <w:r>
                    <w:rPr>
                      <w:rFonts w:hint="eastAsia"/>
                      <w:color w:val="auto"/>
                      <w:kern w:val="0"/>
                      <w:sz w:val="18"/>
                      <w:szCs w:val="18"/>
                      <w:lang w:val="en-US" w:eastAsia="zh-CN"/>
                    </w:rPr>
                    <w:t>7</w:t>
                  </w:r>
                  <w:r>
                    <w:rPr>
                      <w:color w:val="auto"/>
                      <w:kern w:val="0"/>
                      <w:sz w:val="18"/>
                      <w:szCs w:val="18"/>
                    </w:rPr>
                    <w:t>〕</w:t>
                  </w:r>
                  <w:r>
                    <w:rPr>
                      <w:rFonts w:hint="eastAsia"/>
                      <w:color w:val="auto"/>
                      <w:kern w:val="0"/>
                      <w:sz w:val="18"/>
                      <w:szCs w:val="18"/>
                      <w:lang w:val="en-US" w:eastAsia="zh-CN"/>
                    </w:rPr>
                    <w:t>33</w:t>
                  </w:r>
                  <w:r>
                    <w:rPr>
                      <w:color w:val="auto"/>
                      <w:kern w:val="0"/>
                      <w:sz w:val="18"/>
                      <w:szCs w:val="18"/>
                    </w:rPr>
                    <w:t>号</w:t>
                  </w:r>
                </w:p>
              </w:tc>
            </w:tr>
          </w:tbl>
          <w:p>
            <w:pPr>
              <w:pStyle w:val="7"/>
              <w:keepNext w:val="0"/>
              <w:keepLines w:val="0"/>
              <w:pageBreakBefore w:val="0"/>
              <w:widowControl w:val="0"/>
              <w:kinsoku/>
              <w:wordWrap/>
              <w:overflowPunct/>
              <w:topLinePunct w:val="0"/>
              <w:autoSpaceDE/>
              <w:autoSpaceDN/>
              <w:bidi w:val="0"/>
              <w:adjustRightInd/>
              <w:snapToGrid/>
              <w:spacing w:after="0" w:line="500" w:lineRule="exact"/>
              <w:jc w:val="center"/>
              <w:textAlignment w:val="auto"/>
              <w:rPr>
                <w:rFonts w:hint="eastAsia" w:ascii="Times New Roman" w:hAnsi="Times New Roman" w:eastAsia="宋体" w:cs="Times New Roman"/>
                <w:b/>
                <w:color w:val="auto"/>
                <w:kern w:val="2"/>
                <w:sz w:val="21"/>
                <w:szCs w:val="21"/>
                <w:lang w:val="en-US" w:eastAsia="zh-CN" w:bidi="ar-SA"/>
              </w:rPr>
            </w:pPr>
            <w:r>
              <w:rPr>
                <w:rFonts w:ascii="Times New Roman" w:hAnsi="Times New Roman" w:eastAsia="宋体" w:cs="Times New Roman"/>
                <w:b/>
                <w:color w:val="auto"/>
                <w:kern w:val="2"/>
                <w:sz w:val="21"/>
                <w:szCs w:val="21"/>
                <w:lang w:val="en-US" w:eastAsia="zh-CN" w:bidi="ar-SA"/>
              </w:rPr>
              <w:t>表 2-</w:t>
            </w:r>
            <w:r>
              <w:rPr>
                <w:rFonts w:hint="eastAsia" w:ascii="Times New Roman" w:hAnsi="Times New Roman" w:cs="Times New Roman"/>
                <w:b/>
                <w:color w:val="auto"/>
                <w:kern w:val="2"/>
                <w:sz w:val="21"/>
                <w:szCs w:val="21"/>
                <w:lang w:val="en-US" w:eastAsia="zh-CN" w:bidi="ar-SA"/>
              </w:rPr>
              <w:t>19</w:t>
            </w:r>
            <w:r>
              <w:rPr>
                <w:rFonts w:ascii="Times New Roman" w:hAnsi="Times New Roman" w:eastAsia="宋体" w:cs="Times New Roman"/>
                <w:b/>
                <w:color w:val="auto"/>
                <w:kern w:val="2"/>
                <w:sz w:val="21"/>
                <w:szCs w:val="21"/>
                <w:lang w:val="en-US" w:eastAsia="zh-CN" w:bidi="ar-SA"/>
              </w:rPr>
              <w:t xml:space="preserve"> </w:t>
            </w:r>
            <w:r>
              <w:rPr>
                <w:rFonts w:hint="eastAsia" w:ascii="Times New Roman" w:hAnsi="Times New Roman" w:eastAsia="宋体" w:cs="Times New Roman"/>
                <w:b/>
                <w:color w:val="auto"/>
                <w:kern w:val="2"/>
                <w:sz w:val="21"/>
                <w:szCs w:val="21"/>
                <w:lang w:val="en-US" w:eastAsia="zh-CN" w:bidi="ar-SA"/>
              </w:rPr>
              <w:t>现有项目批建验运情况汇总表</w:t>
            </w:r>
          </w:p>
          <w:tbl>
            <w:tblPr>
              <w:tblStyle w:val="22"/>
              <w:tblW w:w="789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96"/>
              <w:gridCol w:w="702"/>
              <w:gridCol w:w="704"/>
              <w:gridCol w:w="1335"/>
              <w:gridCol w:w="1668"/>
              <w:gridCol w:w="1352"/>
              <w:gridCol w:w="9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3937" w:type="dxa"/>
                  <w:gridSpan w:val="4"/>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afterLines="0"/>
                    <w:jc w:val="center"/>
                    <w:textAlignment w:val="auto"/>
                    <w:rPr>
                      <w:rFonts w:hint="default" w:ascii="Times New Roman" w:hAnsi="Times New Roman" w:cs="Times New Roman"/>
                      <w:b/>
                      <w:bCs/>
                      <w:color w:val="auto"/>
                      <w:sz w:val="18"/>
                      <w:szCs w:val="18"/>
                      <w:vertAlign w:val="baseline"/>
                    </w:rPr>
                  </w:pPr>
                  <w:r>
                    <w:rPr>
                      <w:rFonts w:hint="default" w:ascii="Times New Roman" w:hAnsi="Times New Roman" w:cs="Times New Roman"/>
                      <w:b/>
                      <w:bCs/>
                      <w:color w:val="auto"/>
                      <w:sz w:val="18"/>
                      <w:szCs w:val="18"/>
                      <w:vertAlign w:val="baseline"/>
                      <w:lang w:eastAsia="zh-CN"/>
                    </w:rPr>
                    <w:t>环境影响批复情况</w:t>
                  </w:r>
                </w:p>
              </w:tc>
              <w:tc>
                <w:tcPr>
                  <w:tcW w:w="1668" w:type="dxa"/>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afterLines="0"/>
                    <w:jc w:val="center"/>
                    <w:textAlignment w:val="auto"/>
                    <w:rPr>
                      <w:rFonts w:hint="default" w:ascii="Times New Roman" w:hAnsi="Times New Roman" w:eastAsia="宋体" w:cs="Times New Roman"/>
                      <w:b/>
                      <w:bCs/>
                      <w:color w:val="auto"/>
                      <w:sz w:val="18"/>
                      <w:szCs w:val="18"/>
                      <w:vertAlign w:val="baseline"/>
                      <w:lang w:eastAsia="zh-CN"/>
                    </w:rPr>
                  </w:pPr>
                  <w:r>
                    <w:rPr>
                      <w:rFonts w:hint="default" w:ascii="Times New Roman" w:hAnsi="Times New Roman" w:cs="Times New Roman"/>
                      <w:b/>
                      <w:bCs/>
                      <w:color w:val="auto"/>
                      <w:sz w:val="18"/>
                      <w:szCs w:val="18"/>
                      <w:vertAlign w:val="baseline"/>
                      <w:lang w:eastAsia="zh-CN"/>
                    </w:rPr>
                    <w:t>验收情况</w:t>
                  </w:r>
                </w:p>
              </w:tc>
              <w:tc>
                <w:tcPr>
                  <w:tcW w:w="1352" w:type="dxa"/>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afterLines="0"/>
                    <w:jc w:val="center"/>
                    <w:textAlignment w:val="auto"/>
                    <w:rPr>
                      <w:rFonts w:hint="default" w:ascii="Times New Roman" w:hAnsi="Times New Roman" w:eastAsia="宋体" w:cs="Times New Roman"/>
                      <w:b/>
                      <w:bCs/>
                      <w:color w:val="auto"/>
                      <w:sz w:val="18"/>
                      <w:szCs w:val="18"/>
                      <w:vertAlign w:val="baseline"/>
                      <w:lang w:eastAsia="zh-CN"/>
                    </w:rPr>
                  </w:pPr>
                  <w:r>
                    <w:rPr>
                      <w:rFonts w:hint="default" w:ascii="Times New Roman" w:hAnsi="Times New Roman" w:cs="Times New Roman"/>
                      <w:b/>
                      <w:bCs/>
                      <w:color w:val="auto"/>
                      <w:sz w:val="18"/>
                      <w:szCs w:val="18"/>
                      <w:vertAlign w:val="baseline"/>
                      <w:lang w:eastAsia="zh-CN"/>
                    </w:rPr>
                    <w:t>实际建设情况</w:t>
                  </w:r>
                </w:p>
              </w:tc>
              <w:tc>
                <w:tcPr>
                  <w:tcW w:w="941" w:type="dxa"/>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afterLines="0"/>
                    <w:jc w:val="center"/>
                    <w:textAlignment w:val="auto"/>
                    <w:rPr>
                      <w:rFonts w:hint="default" w:ascii="Times New Roman" w:hAnsi="Times New Roman" w:eastAsia="宋体" w:cs="Times New Roman"/>
                      <w:b/>
                      <w:bCs/>
                      <w:color w:val="auto"/>
                      <w:sz w:val="18"/>
                      <w:szCs w:val="18"/>
                      <w:vertAlign w:val="baseline"/>
                      <w:lang w:eastAsia="zh-CN"/>
                    </w:rPr>
                  </w:pPr>
                  <w:r>
                    <w:rPr>
                      <w:rFonts w:hint="default" w:ascii="Times New Roman" w:hAnsi="Times New Roman" w:cs="Times New Roman"/>
                      <w:b/>
                      <w:bCs/>
                      <w:color w:val="auto"/>
                      <w:sz w:val="18"/>
                      <w:szCs w:val="18"/>
                      <w:vertAlign w:val="baseline"/>
                      <w:lang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60" w:hRule="atLeast"/>
                <w:jc w:val="center"/>
              </w:trPr>
              <w:tc>
                <w:tcPr>
                  <w:tcW w:w="1196" w:type="dxa"/>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afterLines="0"/>
                    <w:jc w:val="center"/>
                    <w:textAlignment w:val="auto"/>
                    <w:rPr>
                      <w:rFonts w:hint="default" w:ascii="Times New Roman" w:hAnsi="Times New Roman" w:eastAsia="宋体" w:cs="Times New Roman"/>
                      <w:color w:val="auto"/>
                      <w:sz w:val="18"/>
                      <w:szCs w:val="18"/>
                      <w:vertAlign w:val="baseline"/>
                      <w:lang w:eastAsia="zh-CN"/>
                    </w:rPr>
                  </w:pPr>
                  <w:r>
                    <w:rPr>
                      <w:rFonts w:hint="default" w:ascii="Times New Roman" w:hAnsi="Times New Roman" w:cs="Times New Roman"/>
                      <w:color w:val="auto"/>
                      <w:sz w:val="18"/>
                      <w:szCs w:val="18"/>
                      <w:vertAlign w:val="baseline"/>
                      <w:lang w:eastAsia="zh-CN"/>
                    </w:rPr>
                    <w:t>主体工程</w:t>
                  </w:r>
                </w:p>
              </w:tc>
              <w:tc>
                <w:tcPr>
                  <w:tcW w:w="2741" w:type="dxa"/>
                  <w:gridSpan w:val="3"/>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afterLines="0"/>
                    <w:jc w:val="center"/>
                    <w:textAlignment w:val="auto"/>
                    <w:rPr>
                      <w:rFonts w:hint="default" w:ascii="Times New Roman" w:hAnsi="Times New Roman" w:cs="Times New Roman"/>
                      <w:color w:val="auto"/>
                      <w:sz w:val="18"/>
                      <w:szCs w:val="18"/>
                      <w:vertAlign w:val="baseline"/>
                    </w:rPr>
                  </w:pPr>
                  <w:r>
                    <w:rPr>
                      <w:rFonts w:hint="default" w:ascii="Times New Roman" w:hAnsi="Times New Roman" w:cs="Times New Roman"/>
                      <w:color w:val="auto"/>
                      <w:kern w:val="0"/>
                      <w:sz w:val="18"/>
                      <w:szCs w:val="18"/>
                      <w:lang w:eastAsia="zh-CN"/>
                    </w:rPr>
                    <w:t>轴类锻件生产线</w:t>
                  </w:r>
                  <w:r>
                    <w:rPr>
                      <w:rFonts w:hint="default" w:ascii="Times New Roman" w:hAnsi="Times New Roman" w:cs="Times New Roman"/>
                      <w:color w:val="auto"/>
                      <w:kern w:val="0"/>
                      <w:sz w:val="18"/>
                      <w:szCs w:val="18"/>
                      <w:lang w:val="en-US" w:eastAsia="zh-CN"/>
                    </w:rPr>
                    <w:t>1条</w:t>
                  </w:r>
                  <w:r>
                    <w:rPr>
                      <w:rFonts w:hint="default" w:ascii="Times New Roman" w:hAnsi="Times New Roman" w:eastAsia="宋体" w:cs="Times New Roman"/>
                      <w:color w:val="auto"/>
                      <w:kern w:val="0"/>
                      <w:sz w:val="18"/>
                      <w:szCs w:val="18"/>
                      <w:lang w:val="en-US" w:eastAsia="zh-CN"/>
                    </w:rPr>
                    <w:t>40000吨/年、</w:t>
                  </w:r>
                  <w:r>
                    <w:rPr>
                      <w:rFonts w:hint="default" w:ascii="Times New Roman" w:hAnsi="Times New Roman" w:cs="Times New Roman"/>
                      <w:color w:val="auto"/>
                      <w:kern w:val="0"/>
                      <w:sz w:val="18"/>
                      <w:szCs w:val="18"/>
                      <w:lang w:val="en-US" w:eastAsia="zh-CN"/>
                    </w:rPr>
                    <w:t>饼类、盘类锻件</w:t>
                  </w:r>
                  <w:r>
                    <w:rPr>
                      <w:rFonts w:hint="default" w:ascii="Times New Roman" w:hAnsi="Times New Roman" w:cs="Times New Roman"/>
                      <w:color w:val="auto"/>
                      <w:kern w:val="0"/>
                      <w:sz w:val="18"/>
                      <w:szCs w:val="18"/>
                      <w:lang w:eastAsia="zh-CN"/>
                    </w:rPr>
                    <w:t>生产线</w:t>
                  </w:r>
                  <w:r>
                    <w:rPr>
                      <w:rFonts w:hint="default" w:ascii="Times New Roman" w:hAnsi="Times New Roman" w:cs="Times New Roman"/>
                      <w:color w:val="auto"/>
                      <w:kern w:val="0"/>
                      <w:sz w:val="18"/>
                      <w:szCs w:val="18"/>
                      <w:lang w:val="en-US" w:eastAsia="zh-CN"/>
                    </w:rPr>
                    <w:t>1条</w:t>
                  </w:r>
                  <w:r>
                    <w:rPr>
                      <w:rFonts w:hint="default" w:ascii="Times New Roman" w:hAnsi="Times New Roman" w:eastAsia="宋体" w:cs="Times New Roman"/>
                      <w:color w:val="auto"/>
                      <w:kern w:val="0"/>
                      <w:sz w:val="18"/>
                      <w:szCs w:val="18"/>
                      <w:lang w:val="en-US" w:eastAsia="zh-CN"/>
                    </w:rPr>
                    <w:t>8000吨/年、</w:t>
                  </w:r>
                  <w:r>
                    <w:rPr>
                      <w:rFonts w:hint="default" w:ascii="Times New Roman" w:hAnsi="Times New Roman" w:cs="Times New Roman"/>
                      <w:color w:val="auto"/>
                      <w:kern w:val="0"/>
                      <w:sz w:val="18"/>
                      <w:szCs w:val="18"/>
                      <w:lang w:val="en-US" w:eastAsia="zh-CN"/>
                    </w:rPr>
                    <w:t>模块类锻件</w:t>
                  </w:r>
                  <w:r>
                    <w:rPr>
                      <w:rFonts w:hint="default" w:ascii="Times New Roman" w:hAnsi="Times New Roman" w:cs="Times New Roman"/>
                      <w:color w:val="auto"/>
                      <w:kern w:val="0"/>
                      <w:sz w:val="18"/>
                      <w:szCs w:val="18"/>
                      <w:lang w:eastAsia="zh-CN"/>
                    </w:rPr>
                    <w:t>生产线</w:t>
                  </w:r>
                  <w:r>
                    <w:rPr>
                      <w:rFonts w:hint="default" w:ascii="Times New Roman" w:hAnsi="Times New Roman" w:cs="Times New Roman"/>
                      <w:color w:val="auto"/>
                      <w:kern w:val="0"/>
                      <w:sz w:val="18"/>
                      <w:szCs w:val="18"/>
                      <w:lang w:val="en-US" w:eastAsia="zh-CN"/>
                    </w:rPr>
                    <w:t>1条</w:t>
                  </w:r>
                  <w:r>
                    <w:rPr>
                      <w:rFonts w:hint="default" w:ascii="Times New Roman" w:hAnsi="Times New Roman" w:eastAsia="宋体" w:cs="Times New Roman"/>
                      <w:color w:val="auto"/>
                      <w:kern w:val="0"/>
                      <w:sz w:val="18"/>
                      <w:szCs w:val="18"/>
                      <w:lang w:val="en-US" w:eastAsia="zh-CN"/>
                    </w:rPr>
                    <w:t>15000吨/年、</w:t>
                  </w:r>
                  <w:r>
                    <w:rPr>
                      <w:rFonts w:hint="default" w:ascii="Times New Roman" w:hAnsi="Times New Roman" w:cs="Times New Roman"/>
                      <w:color w:val="auto"/>
                      <w:kern w:val="0"/>
                      <w:sz w:val="18"/>
                      <w:szCs w:val="18"/>
                      <w:lang w:val="en-US" w:eastAsia="zh-CN"/>
                    </w:rPr>
                    <w:t>环形锻件</w:t>
                  </w:r>
                  <w:r>
                    <w:rPr>
                      <w:rFonts w:hint="default" w:ascii="Times New Roman" w:hAnsi="Times New Roman" w:cs="Times New Roman"/>
                      <w:color w:val="auto"/>
                      <w:kern w:val="0"/>
                      <w:sz w:val="18"/>
                      <w:szCs w:val="18"/>
                      <w:lang w:eastAsia="zh-CN"/>
                    </w:rPr>
                    <w:t>生产线</w:t>
                  </w:r>
                  <w:r>
                    <w:rPr>
                      <w:rFonts w:hint="default" w:ascii="Times New Roman" w:hAnsi="Times New Roman" w:cs="Times New Roman"/>
                      <w:color w:val="auto"/>
                      <w:kern w:val="0"/>
                      <w:sz w:val="18"/>
                      <w:szCs w:val="18"/>
                      <w:lang w:val="en-US" w:eastAsia="zh-CN"/>
                    </w:rPr>
                    <w:t>1条</w:t>
                  </w:r>
                  <w:r>
                    <w:rPr>
                      <w:rFonts w:hint="default" w:ascii="Times New Roman" w:hAnsi="Times New Roman" w:eastAsia="宋体" w:cs="Times New Roman"/>
                      <w:color w:val="auto"/>
                      <w:kern w:val="0"/>
                      <w:sz w:val="18"/>
                      <w:szCs w:val="18"/>
                      <w:lang w:val="en-US" w:eastAsia="zh-CN"/>
                    </w:rPr>
                    <w:t>9000吨/年</w:t>
                  </w:r>
                </w:p>
              </w:tc>
              <w:tc>
                <w:tcPr>
                  <w:tcW w:w="1668" w:type="dxa"/>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afterLines="0"/>
                    <w:jc w:val="center"/>
                    <w:textAlignment w:val="auto"/>
                    <w:rPr>
                      <w:rFonts w:hint="default" w:ascii="Times New Roman" w:hAnsi="Times New Roman" w:eastAsia="宋体" w:cs="Times New Roman"/>
                      <w:color w:val="auto"/>
                      <w:sz w:val="18"/>
                      <w:szCs w:val="18"/>
                      <w:vertAlign w:val="baseline"/>
                      <w:lang w:eastAsia="zh-CN"/>
                    </w:rPr>
                  </w:pPr>
                  <w:r>
                    <w:rPr>
                      <w:rFonts w:hint="default" w:ascii="Times New Roman" w:hAnsi="Times New Roman" w:cs="Times New Roman"/>
                      <w:color w:val="auto"/>
                      <w:sz w:val="18"/>
                      <w:szCs w:val="18"/>
                      <w:vertAlign w:val="baseline"/>
                      <w:lang w:eastAsia="zh-CN"/>
                    </w:rPr>
                    <w:t>与环评一致</w:t>
                  </w:r>
                </w:p>
              </w:tc>
              <w:tc>
                <w:tcPr>
                  <w:tcW w:w="1352" w:type="dxa"/>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afterLines="0"/>
                    <w:jc w:val="center"/>
                    <w:textAlignment w:val="auto"/>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lang w:eastAsia="zh-CN"/>
                    </w:rPr>
                    <w:t>与环评一致</w:t>
                  </w:r>
                </w:p>
              </w:tc>
              <w:tc>
                <w:tcPr>
                  <w:tcW w:w="941" w:type="dxa"/>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afterLines="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cs="Times New Roman"/>
                      <w:color w:val="auto"/>
                      <w:sz w:val="18"/>
                      <w:szCs w:val="18"/>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1196" w:type="dxa"/>
                  <w:vMerge w:val="restart"/>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afterLines="0"/>
                    <w:jc w:val="center"/>
                    <w:textAlignment w:val="auto"/>
                    <w:rPr>
                      <w:rFonts w:hint="default" w:ascii="Times New Roman" w:hAnsi="Times New Roman" w:eastAsia="宋体" w:cs="Times New Roman"/>
                      <w:color w:val="auto"/>
                      <w:sz w:val="18"/>
                      <w:szCs w:val="18"/>
                      <w:vertAlign w:val="baseline"/>
                      <w:lang w:eastAsia="zh-CN"/>
                    </w:rPr>
                  </w:pPr>
                  <w:r>
                    <w:rPr>
                      <w:rFonts w:hint="default" w:ascii="Times New Roman" w:hAnsi="Times New Roman" w:cs="Times New Roman"/>
                      <w:color w:val="auto"/>
                      <w:sz w:val="18"/>
                      <w:szCs w:val="18"/>
                      <w:vertAlign w:val="baseline"/>
                      <w:lang w:eastAsia="zh-CN"/>
                    </w:rPr>
                    <w:t>贮运工程</w:t>
                  </w:r>
                </w:p>
              </w:tc>
              <w:tc>
                <w:tcPr>
                  <w:tcW w:w="1406" w:type="dxa"/>
                  <w:gridSpan w:val="2"/>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eastAsia="zh-CN"/>
                    </w:rPr>
                    <w:t>原料、成品仓库</w:t>
                  </w:r>
                </w:p>
              </w:tc>
              <w:tc>
                <w:tcPr>
                  <w:tcW w:w="1335" w:type="dxa"/>
                  <w:tcBorders>
                    <w:tl2br w:val="nil"/>
                    <w:tr2bl w:val="nil"/>
                  </w:tcBorders>
                  <w:shd w:val="clear" w:color="auto" w:fill="auto"/>
                  <w:vAlign w:val="center"/>
                </w:tcPr>
                <w:p>
                  <w:pPr>
                    <w:pStyle w:val="7"/>
                    <w:keepNext w:val="0"/>
                    <w:keepLines w:val="0"/>
                    <w:pageBreakBefore w:val="0"/>
                    <w:kinsoku/>
                    <w:wordWrap/>
                    <w:overflowPunct/>
                    <w:topLinePunct w:val="0"/>
                    <w:autoSpaceDE/>
                    <w:autoSpaceDN/>
                    <w:bidi w:val="0"/>
                    <w:adjustRightInd/>
                    <w:snapToGrid/>
                    <w:spacing w:after="0" w:afterLines="0"/>
                    <w:jc w:val="center"/>
                    <w:textAlignment w:val="auto"/>
                    <w:rPr>
                      <w:rFonts w:hint="default" w:ascii="Times New Roman" w:hAnsi="Times New Roman" w:cs="Times New Roman"/>
                      <w:color w:val="auto"/>
                      <w:sz w:val="18"/>
                      <w:szCs w:val="18"/>
                      <w:vertAlign w:val="baseline"/>
                    </w:rPr>
                  </w:pPr>
                  <w:r>
                    <w:rPr>
                      <w:rFonts w:hint="default" w:ascii="Times New Roman" w:hAnsi="Times New Roman" w:eastAsia="宋体" w:cs="Times New Roman"/>
                      <w:color w:val="auto"/>
                      <w:sz w:val="18"/>
                      <w:szCs w:val="18"/>
                      <w:lang w:val="en-US" w:eastAsia="zh-CN"/>
                    </w:rPr>
                    <w:t>1000m</w:t>
                  </w:r>
                  <w:r>
                    <w:rPr>
                      <w:rFonts w:hint="default" w:ascii="Times New Roman" w:hAnsi="Times New Roman" w:eastAsia="宋体" w:cs="Times New Roman"/>
                      <w:color w:val="auto"/>
                      <w:sz w:val="18"/>
                      <w:szCs w:val="18"/>
                      <w:vertAlign w:val="superscript"/>
                      <w:lang w:val="en-US" w:eastAsia="zh-CN"/>
                    </w:rPr>
                    <w:t>2</w:t>
                  </w:r>
                </w:p>
              </w:tc>
              <w:tc>
                <w:tcPr>
                  <w:tcW w:w="1668" w:type="dxa"/>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afterLines="0"/>
                    <w:jc w:val="center"/>
                    <w:textAlignment w:val="auto"/>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lang w:eastAsia="zh-CN"/>
                    </w:rPr>
                    <w:t>与环评一致</w:t>
                  </w:r>
                </w:p>
              </w:tc>
              <w:tc>
                <w:tcPr>
                  <w:tcW w:w="1352" w:type="dxa"/>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afterLines="0"/>
                    <w:jc w:val="center"/>
                    <w:textAlignment w:val="auto"/>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lang w:eastAsia="zh-CN"/>
                    </w:rPr>
                    <w:t>与环评一致</w:t>
                  </w:r>
                </w:p>
              </w:tc>
              <w:tc>
                <w:tcPr>
                  <w:tcW w:w="941" w:type="dxa"/>
                  <w:tcBorders>
                    <w:tl2br w:val="nil"/>
                    <w:tr2bl w:val="nil"/>
                  </w:tcBorders>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196" w:type="dxa"/>
                  <w:vMerge w:val="continue"/>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afterLines="0"/>
                    <w:jc w:val="center"/>
                    <w:textAlignment w:val="auto"/>
                    <w:rPr>
                      <w:rFonts w:hint="default" w:ascii="Times New Roman" w:hAnsi="Times New Roman" w:cs="Times New Roman"/>
                      <w:color w:val="auto"/>
                      <w:sz w:val="18"/>
                      <w:szCs w:val="18"/>
                      <w:vertAlign w:val="baseline"/>
                      <w:lang w:eastAsia="zh-CN"/>
                    </w:rPr>
                  </w:pPr>
                </w:p>
              </w:tc>
              <w:tc>
                <w:tcPr>
                  <w:tcW w:w="1406" w:type="dxa"/>
                  <w:gridSpan w:val="2"/>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氧气</w:t>
                  </w:r>
                </w:p>
              </w:tc>
              <w:tc>
                <w:tcPr>
                  <w:tcW w:w="133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cs="Times New Roman"/>
                      <w:color w:val="auto"/>
                      <w:sz w:val="18"/>
                      <w:szCs w:val="18"/>
                      <w:vertAlign w:val="baseline"/>
                    </w:rPr>
                  </w:pPr>
                  <w:r>
                    <w:rPr>
                      <w:rFonts w:hint="default" w:ascii="Times New Roman" w:hAnsi="Times New Roman" w:cs="Times New Roman"/>
                      <w:color w:val="auto"/>
                      <w:kern w:val="2"/>
                      <w:sz w:val="18"/>
                      <w:szCs w:val="18"/>
                      <w:lang w:val="en-US" w:eastAsia="zh-CN" w:bidi="ar-SA"/>
                    </w:rPr>
                    <w:t>24m</w:t>
                  </w:r>
                  <w:r>
                    <w:rPr>
                      <w:rFonts w:hint="default" w:ascii="Times New Roman" w:hAnsi="Times New Roman" w:cs="Times New Roman"/>
                      <w:color w:val="auto"/>
                      <w:kern w:val="2"/>
                      <w:sz w:val="18"/>
                      <w:szCs w:val="18"/>
                      <w:vertAlign w:val="superscript"/>
                      <w:lang w:val="en-US" w:eastAsia="zh-CN" w:bidi="ar-SA"/>
                    </w:rPr>
                    <w:t>3</w:t>
                  </w:r>
                  <w:r>
                    <w:rPr>
                      <w:rFonts w:hint="default" w:ascii="Times New Roman" w:hAnsi="Times New Roman" w:cs="Times New Roman"/>
                      <w:color w:val="auto"/>
                      <w:kern w:val="2"/>
                      <w:sz w:val="18"/>
                      <w:szCs w:val="18"/>
                      <w:lang w:val="en-US" w:eastAsia="zh-CN" w:bidi="ar-SA"/>
                    </w:rPr>
                    <w:t>/a</w:t>
                  </w:r>
                </w:p>
              </w:tc>
              <w:tc>
                <w:tcPr>
                  <w:tcW w:w="1668" w:type="dxa"/>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afterLines="0"/>
                    <w:jc w:val="center"/>
                    <w:textAlignment w:val="auto"/>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lang w:eastAsia="zh-CN"/>
                    </w:rPr>
                    <w:t>与环评一致</w:t>
                  </w:r>
                </w:p>
              </w:tc>
              <w:tc>
                <w:tcPr>
                  <w:tcW w:w="1352" w:type="dxa"/>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afterLines="0"/>
                    <w:jc w:val="center"/>
                    <w:textAlignment w:val="auto"/>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lang w:eastAsia="zh-CN"/>
                    </w:rPr>
                    <w:t>与环评一致</w:t>
                  </w:r>
                </w:p>
              </w:tc>
              <w:tc>
                <w:tcPr>
                  <w:tcW w:w="941" w:type="dxa"/>
                  <w:tcBorders>
                    <w:tl2br w:val="nil"/>
                    <w:tr2bl w:val="nil"/>
                  </w:tcBorders>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196" w:type="dxa"/>
                  <w:vMerge w:val="continue"/>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afterLines="0"/>
                    <w:jc w:val="center"/>
                    <w:textAlignment w:val="auto"/>
                    <w:rPr>
                      <w:rFonts w:hint="default" w:ascii="Times New Roman" w:hAnsi="Times New Roman" w:cs="Times New Roman"/>
                      <w:color w:val="auto"/>
                      <w:sz w:val="18"/>
                      <w:szCs w:val="18"/>
                      <w:vertAlign w:val="baseline"/>
                      <w:lang w:eastAsia="zh-CN"/>
                    </w:rPr>
                  </w:pPr>
                </w:p>
              </w:tc>
              <w:tc>
                <w:tcPr>
                  <w:tcW w:w="1406" w:type="dxa"/>
                  <w:gridSpan w:val="2"/>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液化石油气</w:t>
                  </w:r>
                </w:p>
              </w:tc>
              <w:tc>
                <w:tcPr>
                  <w:tcW w:w="133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cs="Times New Roman"/>
                      <w:color w:val="auto"/>
                      <w:sz w:val="18"/>
                      <w:szCs w:val="18"/>
                      <w:vertAlign w:val="baseline"/>
                    </w:rPr>
                  </w:pPr>
                  <w:r>
                    <w:rPr>
                      <w:rFonts w:hint="default" w:ascii="Times New Roman" w:hAnsi="Times New Roman" w:cs="Times New Roman"/>
                      <w:color w:val="auto"/>
                      <w:kern w:val="2"/>
                      <w:sz w:val="18"/>
                      <w:szCs w:val="18"/>
                      <w:lang w:val="en-US" w:eastAsia="zh-CN" w:bidi="ar-SA"/>
                    </w:rPr>
                    <w:t>3m</w:t>
                  </w:r>
                  <w:r>
                    <w:rPr>
                      <w:rFonts w:hint="default" w:ascii="Times New Roman" w:hAnsi="Times New Roman" w:cs="Times New Roman"/>
                      <w:color w:val="auto"/>
                      <w:kern w:val="2"/>
                      <w:sz w:val="18"/>
                      <w:szCs w:val="18"/>
                      <w:vertAlign w:val="superscript"/>
                      <w:lang w:val="en-US" w:eastAsia="zh-CN" w:bidi="ar-SA"/>
                    </w:rPr>
                    <w:t>3</w:t>
                  </w:r>
                  <w:r>
                    <w:rPr>
                      <w:rFonts w:hint="default" w:ascii="Times New Roman" w:hAnsi="Times New Roman" w:cs="Times New Roman"/>
                      <w:color w:val="auto"/>
                      <w:kern w:val="2"/>
                      <w:sz w:val="18"/>
                      <w:szCs w:val="18"/>
                      <w:lang w:val="en-US" w:eastAsia="zh-CN" w:bidi="ar-SA"/>
                    </w:rPr>
                    <w:t>/a</w:t>
                  </w:r>
                </w:p>
              </w:tc>
              <w:tc>
                <w:tcPr>
                  <w:tcW w:w="1668" w:type="dxa"/>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afterLines="0"/>
                    <w:jc w:val="center"/>
                    <w:textAlignment w:val="auto"/>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lang w:eastAsia="zh-CN"/>
                    </w:rPr>
                    <w:t>与环评一致</w:t>
                  </w:r>
                </w:p>
              </w:tc>
              <w:tc>
                <w:tcPr>
                  <w:tcW w:w="1352" w:type="dxa"/>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afterLines="0"/>
                    <w:jc w:val="center"/>
                    <w:textAlignment w:val="auto"/>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lang w:eastAsia="zh-CN"/>
                    </w:rPr>
                    <w:t>与环评一致</w:t>
                  </w:r>
                </w:p>
              </w:tc>
              <w:tc>
                <w:tcPr>
                  <w:tcW w:w="941" w:type="dxa"/>
                  <w:tcBorders>
                    <w:tl2br w:val="nil"/>
                    <w:tr2bl w:val="nil"/>
                  </w:tcBorders>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196" w:type="dxa"/>
                  <w:vMerge w:val="restart"/>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afterLines="0"/>
                    <w:jc w:val="center"/>
                    <w:textAlignment w:val="auto"/>
                    <w:rPr>
                      <w:rFonts w:hint="default" w:ascii="Times New Roman" w:hAnsi="Times New Roman" w:cs="Times New Roman"/>
                      <w:color w:val="auto"/>
                      <w:sz w:val="18"/>
                      <w:szCs w:val="18"/>
                      <w:vertAlign w:val="baseline"/>
                      <w:lang w:eastAsia="zh-CN"/>
                    </w:rPr>
                  </w:pPr>
                  <w:r>
                    <w:rPr>
                      <w:rFonts w:hint="default" w:ascii="Times New Roman" w:hAnsi="Times New Roman" w:cs="Times New Roman"/>
                      <w:color w:val="auto"/>
                      <w:sz w:val="18"/>
                      <w:szCs w:val="18"/>
                      <w:vertAlign w:val="baseline"/>
                      <w:lang w:eastAsia="zh-CN"/>
                    </w:rPr>
                    <w:t>公用工程</w:t>
                  </w:r>
                </w:p>
              </w:tc>
              <w:tc>
                <w:tcPr>
                  <w:tcW w:w="1406" w:type="dxa"/>
                  <w:gridSpan w:val="2"/>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eastAsia="zh-CN"/>
                    </w:rPr>
                    <w:t>给水</w:t>
                  </w:r>
                </w:p>
              </w:tc>
              <w:tc>
                <w:tcPr>
                  <w:tcW w:w="1335" w:type="dxa"/>
                  <w:tcBorders>
                    <w:tl2br w:val="nil"/>
                    <w:tr2bl w:val="nil"/>
                  </w:tcBorders>
                  <w:shd w:val="clear" w:color="auto" w:fill="auto"/>
                  <w:vAlign w:val="center"/>
                </w:tcPr>
                <w:p>
                  <w:pPr>
                    <w:pStyle w:val="7"/>
                    <w:keepNext w:val="0"/>
                    <w:keepLines w:val="0"/>
                    <w:pageBreakBefore w:val="0"/>
                    <w:kinsoku/>
                    <w:wordWrap/>
                    <w:overflowPunct/>
                    <w:topLinePunct w:val="0"/>
                    <w:autoSpaceDE/>
                    <w:autoSpaceDN/>
                    <w:bidi w:val="0"/>
                    <w:adjustRightInd/>
                    <w:snapToGrid/>
                    <w:spacing w:after="0" w:afterLines="0"/>
                    <w:jc w:val="center"/>
                    <w:textAlignment w:val="auto"/>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lang w:val="en-US" w:eastAsia="zh-CN"/>
                    </w:rPr>
                    <w:t>18172</w:t>
                  </w:r>
                  <w:r>
                    <w:rPr>
                      <w:rFonts w:hint="default" w:ascii="Times New Roman" w:hAnsi="Times New Roman" w:eastAsia="宋体" w:cs="Times New Roman"/>
                      <w:color w:val="auto"/>
                      <w:sz w:val="18"/>
                      <w:szCs w:val="18"/>
                    </w:rPr>
                    <w:t>t/a</w:t>
                  </w:r>
                </w:p>
              </w:tc>
              <w:tc>
                <w:tcPr>
                  <w:tcW w:w="1668" w:type="dxa"/>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afterLines="0"/>
                    <w:jc w:val="center"/>
                    <w:textAlignment w:val="auto"/>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lang w:eastAsia="zh-CN"/>
                    </w:rPr>
                    <w:t>与环评一致</w:t>
                  </w:r>
                </w:p>
              </w:tc>
              <w:tc>
                <w:tcPr>
                  <w:tcW w:w="1352" w:type="dxa"/>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afterLines="0"/>
                    <w:jc w:val="center"/>
                    <w:textAlignment w:val="auto"/>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lang w:eastAsia="zh-CN"/>
                    </w:rPr>
                    <w:t>与环评一致</w:t>
                  </w:r>
                </w:p>
              </w:tc>
              <w:tc>
                <w:tcPr>
                  <w:tcW w:w="941" w:type="dxa"/>
                  <w:tcBorders>
                    <w:tl2br w:val="nil"/>
                    <w:tr2bl w:val="nil"/>
                  </w:tcBorders>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196" w:type="dxa"/>
                  <w:vMerge w:val="continue"/>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afterLines="0"/>
                    <w:jc w:val="center"/>
                    <w:textAlignment w:val="auto"/>
                    <w:rPr>
                      <w:rFonts w:hint="default" w:ascii="Times New Roman" w:hAnsi="Times New Roman" w:cs="Times New Roman"/>
                      <w:color w:val="auto"/>
                      <w:sz w:val="18"/>
                      <w:szCs w:val="18"/>
                      <w:vertAlign w:val="baseline"/>
                      <w:lang w:eastAsia="zh-CN"/>
                    </w:rPr>
                  </w:pPr>
                </w:p>
              </w:tc>
              <w:tc>
                <w:tcPr>
                  <w:tcW w:w="1406" w:type="dxa"/>
                  <w:gridSpan w:val="2"/>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eastAsia="zh-CN"/>
                    </w:rPr>
                    <w:t>排水</w:t>
                  </w:r>
                </w:p>
              </w:tc>
              <w:tc>
                <w:tcPr>
                  <w:tcW w:w="1335" w:type="dxa"/>
                  <w:tcBorders>
                    <w:tl2br w:val="nil"/>
                    <w:tr2bl w:val="nil"/>
                  </w:tcBorders>
                  <w:shd w:val="clear" w:color="auto" w:fill="auto"/>
                  <w:vAlign w:val="center"/>
                </w:tcPr>
                <w:p>
                  <w:pPr>
                    <w:pStyle w:val="7"/>
                    <w:keepNext w:val="0"/>
                    <w:keepLines w:val="0"/>
                    <w:pageBreakBefore w:val="0"/>
                    <w:kinsoku/>
                    <w:wordWrap/>
                    <w:overflowPunct/>
                    <w:topLinePunct w:val="0"/>
                    <w:autoSpaceDE/>
                    <w:autoSpaceDN/>
                    <w:bidi w:val="0"/>
                    <w:adjustRightInd/>
                    <w:snapToGrid/>
                    <w:spacing w:after="0" w:afterLines="0"/>
                    <w:jc w:val="center"/>
                    <w:textAlignment w:val="auto"/>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lang w:val="en-US" w:eastAsia="zh-CN"/>
                    </w:rPr>
                    <w:t>3684</w:t>
                  </w:r>
                  <w:r>
                    <w:rPr>
                      <w:rFonts w:hint="default" w:ascii="Times New Roman" w:hAnsi="Times New Roman" w:eastAsia="宋体" w:cs="Times New Roman"/>
                      <w:color w:val="auto"/>
                      <w:sz w:val="18"/>
                      <w:szCs w:val="18"/>
                    </w:rPr>
                    <w:t>t/a</w:t>
                  </w:r>
                </w:p>
              </w:tc>
              <w:tc>
                <w:tcPr>
                  <w:tcW w:w="1668" w:type="dxa"/>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afterLines="0"/>
                    <w:jc w:val="center"/>
                    <w:textAlignment w:val="auto"/>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lang w:eastAsia="zh-CN"/>
                    </w:rPr>
                    <w:t>与环评一致</w:t>
                  </w:r>
                </w:p>
              </w:tc>
              <w:tc>
                <w:tcPr>
                  <w:tcW w:w="1352" w:type="dxa"/>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afterLines="0"/>
                    <w:jc w:val="center"/>
                    <w:textAlignment w:val="auto"/>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lang w:eastAsia="zh-CN"/>
                    </w:rPr>
                    <w:t>与环评一致</w:t>
                  </w:r>
                </w:p>
              </w:tc>
              <w:tc>
                <w:tcPr>
                  <w:tcW w:w="941" w:type="dxa"/>
                  <w:tcBorders>
                    <w:tl2br w:val="nil"/>
                    <w:tr2bl w:val="nil"/>
                  </w:tcBorders>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196" w:type="dxa"/>
                  <w:vMerge w:val="continue"/>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afterLines="0"/>
                    <w:jc w:val="center"/>
                    <w:textAlignment w:val="auto"/>
                    <w:rPr>
                      <w:rFonts w:hint="default" w:ascii="Times New Roman" w:hAnsi="Times New Roman" w:cs="Times New Roman"/>
                      <w:color w:val="auto"/>
                      <w:sz w:val="18"/>
                      <w:szCs w:val="18"/>
                      <w:vertAlign w:val="baseline"/>
                      <w:lang w:eastAsia="zh-CN"/>
                    </w:rPr>
                  </w:pPr>
                </w:p>
              </w:tc>
              <w:tc>
                <w:tcPr>
                  <w:tcW w:w="1406" w:type="dxa"/>
                  <w:gridSpan w:val="2"/>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供电</w:t>
                  </w:r>
                </w:p>
              </w:tc>
              <w:tc>
                <w:tcPr>
                  <w:tcW w:w="1335" w:type="dxa"/>
                  <w:tcBorders>
                    <w:tl2br w:val="nil"/>
                    <w:tr2bl w:val="nil"/>
                  </w:tcBorders>
                  <w:shd w:val="clear" w:color="auto" w:fill="auto"/>
                  <w:vAlign w:val="center"/>
                </w:tcPr>
                <w:p>
                  <w:pPr>
                    <w:pStyle w:val="7"/>
                    <w:keepNext w:val="0"/>
                    <w:keepLines w:val="0"/>
                    <w:pageBreakBefore w:val="0"/>
                    <w:kinsoku/>
                    <w:wordWrap/>
                    <w:overflowPunct/>
                    <w:topLinePunct w:val="0"/>
                    <w:autoSpaceDE/>
                    <w:autoSpaceDN/>
                    <w:bidi w:val="0"/>
                    <w:adjustRightInd/>
                    <w:snapToGrid/>
                    <w:spacing w:after="0" w:afterLines="0"/>
                    <w:jc w:val="center"/>
                    <w:textAlignment w:val="auto"/>
                    <w:rPr>
                      <w:rFonts w:hint="default" w:ascii="Times New Roman" w:hAnsi="Times New Roman" w:cs="Times New Roman"/>
                      <w:color w:val="auto"/>
                      <w:sz w:val="18"/>
                      <w:szCs w:val="18"/>
                      <w:vertAlign w:val="baseline"/>
                    </w:rPr>
                  </w:pPr>
                  <w:r>
                    <w:rPr>
                      <w:rFonts w:hint="default" w:ascii="Times New Roman" w:hAnsi="Times New Roman" w:eastAsia="宋体" w:cs="Times New Roman"/>
                      <w:color w:val="auto"/>
                      <w:sz w:val="18"/>
                      <w:szCs w:val="18"/>
                      <w:lang w:val="en-US" w:eastAsia="zh-CN"/>
                    </w:rPr>
                    <w:t>9405</w:t>
                  </w:r>
                  <w:r>
                    <w:rPr>
                      <w:rFonts w:hint="default" w:ascii="Times New Roman" w:hAnsi="Times New Roman" w:eastAsia="宋体" w:cs="Times New Roman"/>
                      <w:color w:val="auto"/>
                      <w:sz w:val="18"/>
                      <w:szCs w:val="18"/>
                    </w:rPr>
                    <w:t>万kwh/a</w:t>
                  </w:r>
                </w:p>
              </w:tc>
              <w:tc>
                <w:tcPr>
                  <w:tcW w:w="1668" w:type="dxa"/>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afterLines="0"/>
                    <w:jc w:val="center"/>
                    <w:textAlignment w:val="auto"/>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lang w:eastAsia="zh-CN"/>
                    </w:rPr>
                    <w:t>与环评一致</w:t>
                  </w:r>
                </w:p>
              </w:tc>
              <w:tc>
                <w:tcPr>
                  <w:tcW w:w="1352" w:type="dxa"/>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afterLines="0"/>
                    <w:jc w:val="center"/>
                    <w:textAlignment w:val="auto"/>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lang w:eastAsia="zh-CN"/>
                    </w:rPr>
                    <w:t>与环评一致</w:t>
                  </w:r>
                </w:p>
              </w:tc>
              <w:tc>
                <w:tcPr>
                  <w:tcW w:w="941" w:type="dxa"/>
                  <w:tcBorders>
                    <w:tl2br w:val="nil"/>
                    <w:tr2bl w:val="nil"/>
                  </w:tcBorders>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196" w:type="dxa"/>
                  <w:vMerge w:val="continue"/>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afterLines="0"/>
                    <w:jc w:val="center"/>
                    <w:textAlignment w:val="auto"/>
                    <w:rPr>
                      <w:rFonts w:hint="default" w:ascii="Times New Roman" w:hAnsi="Times New Roman" w:cs="Times New Roman"/>
                      <w:color w:val="auto"/>
                      <w:sz w:val="18"/>
                      <w:szCs w:val="18"/>
                      <w:vertAlign w:val="baseline"/>
                      <w:lang w:eastAsia="zh-CN"/>
                    </w:rPr>
                  </w:pPr>
                </w:p>
              </w:tc>
              <w:tc>
                <w:tcPr>
                  <w:tcW w:w="1406" w:type="dxa"/>
                  <w:gridSpan w:val="2"/>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供</w:t>
                  </w:r>
                  <w:r>
                    <w:rPr>
                      <w:rFonts w:hint="default" w:ascii="Times New Roman" w:hAnsi="Times New Roman" w:cs="Times New Roman"/>
                      <w:color w:val="auto"/>
                      <w:sz w:val="18"/>
                      <w:szCs w:val="18"/>
                      <w:lang w:eastAsia="zh-CN"/>
                    </w:rPr>
                    <w:t>气</w:t>
                  </w:r>
                </w:p>
              </w:tc>
              <w:tc>
                <w:tcPr>
                  <w:tcW w:w="1335" w:type="dxa"/>
                  <w:tcBorders>
                    <w:tl2br w:val="nil"/>
                    <w:tr2bl w:val="nil"/>
                  </w:tcBorders>
                  <w:shd w:val="clear" w:color="auto" w:fill="auto"/>
                  <w:vAlign w:val="center"/>
                </w:tcPr>
                <w:p>
                  <w:pPr>
                    <w:pStyle w:val="7"/>
                    <w:keepNext w:val="0"/>
                    <w:keepLines w:val="0"/>
                    <w:pageBreakBefore w:val="0"/>
                    <w:kinsoku/>
                    <w:wordWrap/>
                    <w:overflowPunct/>
                    <w:topLinePunct w:val="0"/>
                    <w:autoSpaceDE/>
                    <w:autoSpaceDN/>
                    <w:bidi w:val="0"/>
                    <w:adjustRightInd/>
                    <w:snapToGrid/>
                    <w:spacing w:after="0" w:afterLines="0"/>
                    <w:jc w:val="center"/>
                    <w:textAlignment w:val="auto"/>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lang w:val="en-US" w:eastAsia="zh-CN"/>
                    </w:rPr>
                    <w:t>3960</w:t>
                  </w:r>
                  <w:r>
                    <w:rPr>
                      <w:rFonts w:hint="default" w:ascii="Times New Roman" w:hAnsi="Times New Roman" w:eastAsia="宋体" w:cs="Times New Roman"/>
                      <w:color w:val="auto"/>
                      <w:sz w:val="18"/>
                      <w:szCs w:val="18"/>
                    </w:rPr>
                    <w:t>万</w:t>
                  </w:r>
                  <w:r>
                    <w:rPr>
                      <w:rFonts w:hint="default" w:ascii="Times New Roman" w:hAnsi="Times New Roman" w:eastAsia="宋体" w:cs="Times New Roman"/>
                      <w:color w:val="auto"/>
                      <w:sz w:val="18"/>
                      <w:szCs w:val="18"/>
                      <w:highlight w:val="none"/>
                      <w:lang w:val="en-US" w:eastAsia="zh-CN"/>
                    </w:rPr>
                    <w:t>m</w:t>
                  </w:r>
                  <w:r>
                    <w:rPr>
                      <w:rFonts w:hint="default" w:ascii="Times New Roman" w:hAnsi="Times New Roman" w:eastAsia="宋体" w:cs="Times New Roman"/>
                      <w:color w:val="auto"/>
                      <w:sz w:val="18"/>
                      <w:szCs w:val="18"/>
                      <w:highlight w:val="none"/>
                      <w:vertAlign w:val="superscript"/>
                      <w:lang w:val="en-US" w:eastAsia="zh-CN"/>
                    </w:rPr>
                    <w:t>3</w:t>
                  </w:r>
                  <w:r>
                    <w:rPr>
                      <w:rFonts w:hint="default" w:ascii="Times New Roman" w:hAnsi="Times New Roman" w:eastAsia="宋体" w:cs="Times New Roman"/>
                      <w:color w:val="auto"/>
                      <w:sz w:val="18"/>
                      <w:szCs w:val="18"/>
                      <w:highlight w:val="none"/>
                      <w:lang w:val="en-US" w:eastAsia="zh-CN"/>
                    </w:rPr>
                    <w:t>/a</w:t>
                  </w:r>
                </w:p>
              </w:tc>
              <w:tc>
                <w:tcPr>
                  <w:tcW w:w="1668" w:type="dxa"/>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afterLines="0"/>
                    <w:jc w:val="center"/>
                    <w:textAlignment w:val="auto"/>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lang w:eastAsia="zh-CN"/>
                    </w:rPr>
                    <w:t>与环评一致</w:t>
                  </w:r>
                </w:p>
              </w:tc>
              <w:tc>
                <w:tcPr>
                  <w:tcW w:w="1352" w:type="dxa"/>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afterLines="0"/>
                    <w:jc w:val="center"/>
                    <w:textAlignment w:val="auto"/>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lang w:eastAsia="zh-CN"/>
                    </w:rPr>
                    <w:t>与环评一致</w:t>
                  </w:r>
                </w:p>
              </w:tc>
              <w:tc>
                <w:tcPr>
                  <w:tcW w:w="941" w:type="dxa"/>
                  <w:tcBorders>
                    <w:tl2br w:val="nil"/>
                    <w:tr2bl w:val="nil"/>
                  </w:tcBorders>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1196" w:type="dxa"/>
                  <w:vMerge w:val="continue"/>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afterLines="0"/>
                    <w:jc w:val="center"/>
                    <w:textAlignment w:val="auto"/>
                    <w:rPr>
                      <w:rFonts w:hint="default" w:ascii="Times New Roman" w:hAnsi="Times New Roman" w:cs="Times New Roman"/>
                      <w:color w:val="auto"/>
                      <w:sz w:val="18"/>
                      <w:szCs w:val="18"/>
                      <w:vertAlign w:val="baseline"/>
                      <w:lang w:eastAsia="zh-CN"/>
                    </w:rPr>
                  </w:pPr>
                </w:p>
              </w:tc>
              <w:tc>
                <w:tcPr>
                  <w:tcW w:w="1406" w:type="dxa"/>
                  <w:gridSpan w:val="2"/>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空压系统</w:t>
                  </w:r>
                </w:p>
              </w:tc>
              <w:tc>
                <w:tcPr>
                  <w:tcW w:w="1335" w:type="dxa"/>
                  <w:tcBorders>
                    <w:tl2br w:val="nil"/>
                    <w:tr2bl w:val="nil"/>
                  </w:tcBorders>
                  <w:shd w:val="clear" w:color="auto" w:fill="auto"/>
                  <w:vAlign w:val="center"/>
                </w:tcPr>
                <w:p>
                  <w:pPr>
                    <w:pStyle w:val="7"/>
                    <w:keepNext w:val="0"/>
                    <w:keepLines w:val="0"/>
                    <w:pageBreakBefore w:val="0"/>
                    <w:kinsoku/>
                    <w:wordWrap/>
                    <w:overflowPunct/>
                    <w:topLinePunct w:val="0"/>
                    <w:autoSpaceDE/>
                    <w:autoSpaceDN/>
                    <w:bidi w:val="0"/>
                    <w:adjustRightInd/>
                    <w:snapToGrid/>
                    <w:spacing w:after="0" w:afterLines="0"/>
                    <w:jc w:val="center"/>
                    <w:textAlignment w:val="auto"/>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lang w:val="en-US" w:eastAsia="zh-CN"/>
                    </w:rPr>
                    <w:t>2套台空压机组，供气能力</w:t>
                  </w:r>
                  <w:r>
                    <w:rPr>
                      <w:rFonts w:hint="default" w:ascii="Times New Roman" w:hAnsi="Times New Roman" w:cs="Times New Roman"/>
                      <w:color w:val="auto"/>
                      <w:sz w:val="18"/>
                      <w:szCs w:val="18"/>
                      <w:highlight w:val="none"/>
                      <w:lang w:val="en-US" w:eastAsia="zh-CN"/>
                    </w:rPr>
                    <w:t>12.6N</w:t>
                  </w:r>
                  <w:r>
                    <w:rPr>
                      <w:rFonts w:hint="default" w:ascii="Times New Roman" w:hAnsi="Times New Roman" w:eastAsia="宋体" w:cs="Times New Roman"/>
                      <w:color w:val="auto"/>
                      <w:sz w:val="18"/>
                      <w:szCs w:val="18"/>
                      <w:highlight w:val="none"/>
                      <w:lang w:val="en-US" w:eastAsia="zh-CN"/>
                    </w:rPr>
                    <w:t>m</w:t>
                  </w:r>
                  <w:r>
                    <w:rPr>
                      <w:rFonts w:hint="default" w:ascii="Times New Roman" w:hAnsi="Times New Roman" w:eastAsia="宋体" w:cs="Times New Roman"/>
                      <w:color w:val="auto"/>
                      <w:sz w:val="18"/>
                      <w:szCs w:val="18"/>
                      <w:highlight w:val="none"/>
                      <w:vertAlign w:val="superscript"/>
                      <w:lang w:val="en-US" w:eastAsia="zh-CN"/>
                    </w:rPr>
                    <w:t>3</w:t>
                  </w:r>
                  <w:r>
                    <w:rPr>
                      <w:rFonts w:hint="default" w:ascii="Times New Roman" w:hAnsi="Times New Roman" w:eastAsia="宋体" w:cs="Times New Roman"/>
                      <w:color w:val="auto"/>
                      <w:sz w:val="18"/>
                      <w:szCs w:val="18"/>
                      <w:highlight w:val="none"/>
                      <w:lang w:val="en-US" w:eastAsia="zh-CN"/>
                    </w:rPr>
                    <w:t>/min</w:t>
                  </w:r>
                </w:p>
              </w:tc>
              <w:tc>
                <w:tcPr>
                  <w:tcW w:w="1668" w:type="dxa"/>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afterLines="0"/>
                    <w:jc w:val="center"/>
                    <w:textAlignment w:val="auto"/>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lang w:eastAsia="zh-CN"/>
                    </w:rPr>
                    <w:t>与环评一致</w:t>
                  </w:r>
                </w:p>
              </w:tc>
              <w:tc>
                <w:tcPr>
                  <w:tcW w:w="1352" w:type="dxa"/>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afterLines="0"/>
                    <w:jc w:val="center"/>
                    <w:textAlignment w:val="auto"/>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lang w:eastAsia="zh-CN"/>
                    </w:rPr>
                    <w:t>与环评一致</w:t>
                  </w:r>
                </w:p>
              </w:tc>
              <w:tc>
                <w:tcPr>
                  <w:tcW w:w="941" w:type="dxa"/>
                  <w:tcBorders>
                    <w:tl2br w:val="nil"/>
                    <w:tr2bl w:val="nil"/>
                  </w:tcBorders>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1196" w:type="dxa"/>
                  <w:vMerge w:val="continue"/>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afterLines="0"/>
                    <w:jc w:val="center"/>
                    <w:textAlignment w:val="auto"/>
                    <w:rPr>
                      <w:rFonts w:hint="default" w:ascii="Times New Roman" w:hAnsi="Times New Roman" w:cs="Times New Roman"/>
                      <w:color w:val="auto"/>
                      <w:sz w:val="18"/>
                      <w:szCs w:val="18"/>
                      <w:vertAlign w:val="baseline"/>
                      <w:lang w:eastAsia="zh-CN"/>
                    </w:rPr>
                  </w:pPr>
                </w:p>
              </w:tc>
              <w:tc>
                <w:tcPr>
                  <w:tcW w:w="1406" w:type="dxa"/>
                  <w:gridSpan w:val="2"/>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冷却系统</w:t>
                  </w:r>
                </w:p>
              </w:tc>
              <w:tc>
                <w:tcPr>
                  <w:tcW w:w="1335" w:type="dxa"/>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afterLines="0"/>
                    <w:jc w:val="center"/>
                    <w:textAlignment w:val="auto"/>
                    <w:rPr>
                      <w:rFonts w:hint="default" w:ascii="Times New Roman" w:hAnsi="Times New Roman" w:cs="Times New Roman"/>
                      <w:color w:val="auto"/>
                      <w:sz w:val="18"/>
                      <w:szCs w:val="18"/>
                      <w:vertAlign w:val="baseline"/>
                    </w:rPr>
                  </w:pPr>
                  <w:r>
                    <w:rPr>
                      <w:rFonts w:hint="default" w:ascii="Times New Roman" w:hAnsi="Times New Roman" w:eastAsia="宋体" w:cs="Times New Roman"/>
                      <w:color w:val="auto"/>
                      <w:sz w:val="18"/>
                      <w:szCs w:val="18"/>
                      <w:lang w:val="en-US" w:eastAsia="zh-CN"/>
                    </w:rPr>
                    <w:t>3台冷却塔，每台</w:t>
                  </w:r>
                  <w:r>
                    <w:rPr>
                      <w:rFonts w:hint="default" w:ascii="Times New Roman" w:hAnsi="Times New Roman" w:cs="Times New Roman"/>
                      <w:color w:val="auto"/>
                      <w:spacing w:val="-6"/>
                      <w:sz w:val="18"/>
                      <w:szCs w:val="18"/>
                      <w:lang w:val="en-US" w:eastAsia="zh-CN"/>
                    </w:rPr>
                    <w:t>200m</w:t>
                  </w:r>
                  <w:r>
                    <w:rPr>
                      <w:rFonts w:hint="default" w:ascii="Times New Roman" w:hAnsi="Times New Roman" w:cs="Times New Roman"/>
                      <w:color w:val="auto"/>
                      <w:spacing w:val="-6"/>
                      <w:sz w:val="18"/>
                      <w:szCs w:val="18"/>
                      <w:vertAlign w:val="superscript"/>
                      <w:lang w:val="en-US" w:eastAsia="zh-CN"/>
                    </w:rPr>
                    <w:t>3</w:t>
                  </w:r>
                  <w:r>
                    <w:rPr>
                      <w:rFonts w:hint="default" w:ascii="Times New Roman" w:hAnsi="Times New Roman" w:cs="Times New Roman"/>
                      <w:color w:val="auto"/>
                      <w:sz w:val="18"/>
                      <w:szCs w:val="18"/>
                      <w:lang w:val="en-US" w:eastAsia="zh-CN"/>
                    </w:rPr>
                    <w:t>/h</w:t>
                  </w:r>
                </w:p>
              </w:tc>
              <w:tc>
                <w:tcPr>
                  <w:tcW w:w="1668" w:type="dxa"/>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afterLines="0"/>
                    <w:jc w:val="center"/>
                    <w:textAlignment w:val="auto"/>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lang w:eastAsia="zh-CN"/>
                    </w:rPr>
                    <w:t>与环评一致</w:t>
                  </w:r>
                </w:p>
              </w:tc>
              <w:tc>
                <w:tcPr>
                  <w:tcW w:w="1352" w:type="dxa"/>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afterLines="0"/>
                    <w:jc w:val="center"/>
                    <w:textAlignment w:val="auto"/>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lang w:eastAsia="zh-CN"/>
                    </w:rPr>
                    <w:t>与环评一致</w:t>
                  </w:r>
                </w:p>
              </w:tc>
              <w:tc>
                <w:tcPr>
                  <w:tcW w:w="941" w:type="dxa"/>
                  <w:tcBorders>
                    <w:tl2br w:val="nil"/>
                    <w:tr2bl w:val="nil"/>
                  </w:tcBorders>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196" w:type="dxa"/>
                  <w:vMerge w:val="restart"/>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afterLines="0"/>
                    <w:jc w:val="center"/>
                    <w:textAlignment w:val="auto"/>
                    <w:rPr>
                      <w:rFonts w:hint="default" w:ascii="Times New Roman" w:hAnsi="Times New Roman" w:cs="Times New Roman"/>
                      <w:color w:val="auto"/>
                      <w:sz w:val="18"/>
                      <w:szCs w:val="18"/>
                      <w:vertAlign w:val="baseline"/>
                      <w:lang w:eastAsia="zh-CN"/>
                    </w:rPr>
                  </w:pPr>
                  <w:r>
                    <w:rPr>
                      <w:rFonts w:hint="default" w:ascii="Times New Roman" w:hAnsi="Times New Roman" w:cs="Times New Roman"/>
                      <w:color w:val="auto"/>
                      <w:sz w:val="18"/>
                      <w:szCs w:val="18"/>
                      <w:vertAlign w:val="baseline"/>
                      <w:lang w:eastAsia="zh-CN"/>
                    </w:rPr>
                    <w:t>环保工程</w:t>
                  </w:r>
                </w:p>
              </w:tc>
              <w:tc>
                <w:tcPr>
                  <w:tcW w:w="1406" w:type="dxa"/>
                  <w:gridSpan w:val="2"/>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废气</w:t>
                  </w:r>
                </w:p>
              </w:tc>
              <w:tc>
                <w:tcPr>
                  <w:tcW w:w="1335" w:type="dxa"/>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afterLines="0"/>
                    <w:jc w:val="center"/>
                    <w:textAlignment w:val="auto"/>
                    <w:rPr>
                      <w:rFonts w:hint="default" w:ascii="Times New Roman" w:hAnsi="Times New Roman" w:eastAsia="宋体" w:cs="Times New Roman"/>
                      <w:color w:val="auto"/>
                      <w:sz w:val="18"/>
                      <w:szCs w:val="18"/>
                      <w:vertAlign w:val="baseline"/>
                      <w:lang w:eastAsia="zh-CN"/>
                    </w:rPr>
                  </w:pPr>
                  <w:r>
                    <w:rPr>
                      <w:rFonts w:hint="default" w:ascii="Times New Roman" w:hAnsi="Times New Roman" w:cs="Times New Roman"/>
                      <w:color w:val="auto"/>
                      <w:sz w:val="18"/>
                      <w:szCs w:val="18"/>
                      <w:vertAlign w:val="baseline"/>
                      <w:lang w:eastAsia="zh-CN"/>
                    </w:rPr>
                    <w:t>直排</w:t>
                  </w:r>
                </w:p>
              </w:tc>
              <w:tc>
                <w:tcPr>
                  <w:tcW w:w="1668" w:type="dxa"/>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afterLines="0"/>
                    <w:jc w:val="center"/>
                    <w:textAlignment w:val="auto"/>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lang w:eastAsia="zh-CN"/>
                    </w:rPr>
                    <w:t>与环评一致</w:t>
                  </w:r>
                </w:p>
              </w:tc>
              <w:tc>
                <w:tcPr>
                  <w:tcW w:w="1352" w:type="dxa"/>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afterLines="0"/>
                    <w:jc w:val="center"/>
                    <w:textAlignment w:val="auto"/>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lang w:eastAsia="zh-CN"/>
                    </w:rPr>
                    <w:t>与环评一致</w:t>
                  </w:r>
                </w:p>
              </w:tc>
              <w:tc>
                <w:tcPr>
                  <w:tcW w:w="941" w:type="dxa"/>
                  <w:tcBorders>
                    <w:tl2br w:val="nil"/>
                    <w:tr2bl w:val="nil"/>
                  </w:tcBorders>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1196" w:type="dxa"/>
                  <w:vMerge w:val="continue"/>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afterLines="0"/>
                    <w:jc w:val="center"/>
                    <w:textAlignment w:val="auto"/>
                    <w:rPr>
                      <w:rFonts w:hint="default" w:ascii="Times New Roman" w:hAnsi="Times New Roman" w:cs="Times New Roman"/>
                      <w:color w:val="auto"/>
                      <w:sz w:val="18"/>
                      <w:szCs w:val="18"/>
                      <w:vertAlign w:val="baseline"/>
                      <w:lang w:eastAsia="zh-CN"/>
                    </w:rPr>
                  </w:pPr>
                </w:p>
              </w:tc>
              <w:tc>
                <w:tcPr>
                  <w:tcW w:w="702"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废水</w:t>
                  </w:r>
                </w:p>
              </w:tc>
              <w:tc>
                <w:tcPr>
                  <w:tcW w:w="70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化粪池</w:t>
                  </w:r>
                </w:p>
              </w:tc>
              <w:tc>
                <w:tcPr>
                  <w:tcW w:w="1335" w:type="dxa"/>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afterLines="0"/>
                    <w:jc w:val="center"/>
                    <w:textAlignment w:val="auto"/>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lang w:val="en-US" w:eastAsia="zh-CN"/>
                    </w:rPr>
                    <w:t>/</w:t>
                  </w:r>
                </w:p>
              </w:tc>
              <w:tc>
                <w:tcPr>
                  <w:tcW w:w="1668" w:type="dxa"/>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afterLines="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lang w:val="en-US" w:eastAsia="zh-CN"/>
                    </w:rPr>
                    <w:t>化粪池</w:t>
                  </w:r>
                  <w:r>
                    <w:rPr>
                      <w:rFonts w:hint="default" w:ascii="Times New Roman" w:hAnsi="Times New Roman" w:cs="Times New Roman"/>
                      <w:color w:val="auto"/>
                      <w:sz w:val="18"/>
                      <w:szCs w:val="18"/>
                      <w:vertAlign w:val="baseline"/>
                      <w:lang w:val="en-US" w:eastAsia="zh-CN"/>
                    </w:rPr>
                    <w:t>依托</w:t>
                  </w:r>
                  <w:r>
                    <w:rPr>
                      <w:rFonts w:hint="default" w:ascii="Times New Roman" w:hAnsi="Times New Roman" w:eastAsia="宋体" w:cs="Times New Roman"/>
                      <w:bCs/>
                      <w:color w:val="auto"/>
                      <w:sz w:val="18"/>
                      <w:szCs w:val="18"/>
                      <w:highlight w:val="none"/>
                      <w:lang w:val="en-US" w:eastAsia="zh-CN"/>
                    </w:rPr>
                    <w:t>宏茂铸钢有限公司</w:t>
                  </w:r>
                </w:p>
              </w:tc>
              <w:tc>
                <w:tcPr>
                  <w:tcW w:w="1352" w:type="dxa"/>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afterLines="0"/>
                    <w:jc w:val="center"/>
                    <w:textAlignment w:val="auto"/>
                    <w:rPr>
                      <w:rFonts w:hint="default" w:ascii="Times New Roman" w:hAnsi="Times New Roman" w:eastAsia="宋体" w:cs="Times New Roman"/>
                      <w:color w:val="auto"/>
                      <w:sz w:val="18"/>
                      <w:szCs w:val="18"/>
                      <w:vertAlign w:val="baseline"/>
                      <w:lang w:eastAsia="zh-CN"/>
                    </w:rPr>
                  </w:pPr>
                  <w:r>
                    <w:rPr>
                      <w:rFonts w:hint="default" w:ascii="Times New Roman" w:hAnsi="Times New Roman" w:cs="Times New Roman"/>
                      <w:color w:val="auto"/>
                      <w:sz w:val="18"/>
                      <w:szCs w:val="18"/>
                      <w:vertAlign w:val="baseline"/>
                      <w:lang w:eastAsia="zh-CN"/>
                    </w:rPr>
                    <w:t>与验收一致</w:t>
                  </w:r>
                </w:p>
              </w:tc>
              <w:tc>
                <w:tcPr>
                  <w:tcW w:w="941" w:type="dxa"/>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afterLines="0"/>
                    <w:jc w:val="center"/>
                    <w:textAlignment w:val="auto"/>
                    <w:rPr>
                      <w:rFonts w:hint="default" w:ascii="Times New Roman" w:hAnsi="Times New Roman" w:cs="Times New Roman"/>
                      <w:b w:val="0"/>
                      <w:bCs w:val="0"/>
                      <w:color w:val="auto"/>
                      <w:sz w:val="18"/>
                      <w:szCs w:val="18"/>
                      <w:vertAlign w:val="baseline"/>
                    </w:rPr>
                  </w:pPr>
                  <w:r>
                    <w:rPr>
                      <w:rFonts w:hint="default" w:ascii="Times New Roman" w:hAnsi="Times New Roman" w:cs="Times New Roman"/>
                      <w:b w:val="0"/>
                      <w:bCs w:val="0"/>
                      <w:color w:val="auto"/>
                      <w:sz w:val="18"/>
                      <w:szCs w:val="18"/>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1196" w:type="dxa"/>
                  <w:vMerge w:val="continue"/>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afterLines="0"/>
                    <w:jc w:val="center"/>
                    <w:textAlignment w:val="auto"/>
                    <w:rPr>
                      <w:rFonts w:hint="default" w:ascii="Times New Roman" w:hAnsi="Times New Roman" w:cs="Times New Roman"/>
                      <w:color w:val="auto"/>
                      <w:sz w:val="18"/>
                      <w:szCs w:val="18"/>
                      <w:vertAlign w:val="baseline"/>
                      <w:lang w:eastAsia="zh-CN"/>
                    </w:rPr>
                  </w:pPr>
                </w:p>
              </w:tc>
              <w:tc>
                <w:tcPr>
                  <w:tcW w:w="702"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p>
              </w:tc>
              <w:tc>
                <w:tcPr>
                  <w:tcW w:w="70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沉淀池</w:t>
                  </w:r>
                </w:p>
              </w:tc>
              <w:tc>
                <w:tcPr>
                  <w:tcW w:w="1335" w:type="dxa"/>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afterLines="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5t/d</w:t>
                  </w:r>
                </w:p>
              </w:tc>
              <w:tc>
                <w:tcPr>
                  <w:tcW w:w="1668" w:type="dxa"/>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afterLines="0"/>
                    <w:jc w:val="center"/>
                    <w:textAlignment w:val="auto"/>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lang w:val="en-US" w:eastAsia="zh-CN"/>
                    </w:rPr>
                    <w:t>沉淀池</w:t>
                  </w:r>
                  <w:r>
                    <w:rPr>
                      <w:rFonts w:hint="default" w:ascii="Times New Roman" w:hAnsi="Times New Roman" w:cs="Times New Roman"/>
                      <w:color w:val="auto"/>
                      <w:sz w:val="18"/>
                      <w:szCs w:val="18"/>
                      <w:vertAlign w:val="baseline"/>
                      <w:lang w:val="en-US" w:eastAsia="zh-CN"/>
                    </w:rPr>
                    <w:t>依托</w:t>
                  </w:r>
                  <w:r>
                    <w:rPr>
                      <w:rFonts w:hint="default" w:ascii="Times New Roman" w:hAnsi="Times New Roman" w:eastAsia="宋体" w:cs="Times New Roman"/>
                      <w:bCs/>
                      <w:color w:val="auto"/>
                      <w:sz w:val="18"/>
                      <w:szCs w:val="18"/>
                      <w:highlight w:val="none"/>
                      <w:lang w:val="en-US" w:eastAsia="zh-CN"/>
                    </w:rPr>
                    <w:t>宏茂铸钢有限公司</w:t>
                  </w:r>
                </w:p>
              </w:tc>
              <w:tc>
                <w:tcPr>
                  <w:tcW w:w="1352" w:type="dxa"/>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afterLines="0"/>
                    <w:jc w:val="center"/>
                    <w:textAlignment w:val="auto"/>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lang w:eastAsia="zh-CN"/>
                    </w:rPr>
                    <w:t>与验收一致</w:t>
                  </w:r>
                </w:p>
              </w:tc>
              <w:tc>
                <w:tcPr>
                  <w:tcW w:w="941" w:type="dxa"/>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after="0" w:afterLines="0"/>
                    <w:jc w:val="center"/>
                    <w:textAlignment w:val="auto"/>
                    <w:rPr>
                      <w:rFonts w:hint="default" w:ascii="Times New Roman" w:hAnsi="Times New Roman" w:cs="Times New Roman"/>
                      <w:b w:val="0"/>
                      <w:bCs w:val="0"/>
                      <w:color w:val="auto"/>
                      <w:sz w:val="18"/>
                      <w:szCs w:val="18"/>
                      <w:vertAlign w:val="baseline"/>
                    </w:rPr>
                  </w:pPr>
                  <w:r>
                    <w:rPr>
                      <w:rFonts w:hint="default" w:ascii="Times New Roman" w:hAnsi="Times New Roman" w:cs="Times New Roman"/>
                      <w:b w:val="0"/>
                      <w:bCs w:val="0"/>
                      <w:color w:val="auto"/>
                      <w:sz w:val="18"/>
                      <w:szCs w:val="18"/>
                      <w:vertAlign w:val="baseline"/>
                      <w:lang w:val="en-US" w:eastAsia="zh-CN"/>
                    </w:rPr>
                    <w:t>/</w:t>
                  </w:r>
                </w:p>
              </w:tc>
            </w:tr>
          </w:tbl>
          <w:p>
            <w:pPr>
              <w:numPr>
                <w:ilvl w:val="0"/>
                <w:numId w:val="0"/>
              </w:numPr>
              <w:spacing w:line="500" w:lineRule="exact"/>
              <w:rPr>
                <w:rFonts w:hint="eastAsia"/>
                <w:b/>
                <w:bCs/>
                <w:color w:val="auto"/>
                <w:sz w:val="24"/>
                <w:lang w:val="en-US" w:eastAsia="zh-CN"/>
              </w:rPr>
            </w:pPr>
            <w:r>
              <w:rPr>
                <w:rFonts w:hint="eastAsia"/>
                <w:b/>
                <w:bCs/>
                <w:color w:val="auto"/>
                <w:sz w:val="24"/>
                <w:lang w:val="en-US" w:eastAsia="zh-CN"/>
              </w:rPr>
              <w:t>2、排污许可手续情况</w:t>
            </w:r>
          </w:p>
          <w:p>
            <w:pPr>
              <w:widowControl/>
              <w:spacing w:beforeAutospacing="0" w:afterAutospacing="0" w:line="360" w:lineRule="auto"/>
              <w:ind w:firstLine="420"/>
              <w:contextualSpacing/>
              <w:jc w:val="left"/>
              <w:rPr>
                <w:rFonts w:hint="eastAsia" w:eastAsia="宋体"/>
                <w:szCs w:val="21"/>
                <w:lang w:val="en-US" w:eastAsia="zh-CN"/>
              </w:rPr>
            </w:pPr>
            <w:r>
              <w:rPr>
                <w:rFonts w:hint="eastAsia" w:eastAsia="宋体"/>
                <w:szCs w:val="21"/>
                <w:lang w:val="en-US" w:eastAsia="zh-CN"/>
              </w:rPr>
              <w:t>如皋市宏茂重型锻压有限公司已于2023年08月01日取得固定污染源排污登记回执，登记编号：913206820884333015001Z。企业为登记管理，暂无执行报告要求。</w:t>
            </w:r>
          </w:p>
          <w:p>
            <w:pPr>
              <w:numPr>
                <w:ilvl w:val="0"/>
                <w:numId w:val="0"/>
              </w:numPr>
              <w:spacing w:line="500" w:lineRule="exact"/>
              <w:rPr>
                <w:rFonts w:hint="eastAsia"/>
                <w:b/>
                <w:bCs/>
                <w:color w:val="auto"/>
                <w:sz w:val="24"/>
                <w:lang w:val="en-US" w:eastAsia="zh-CN"/>
              </w:rPr>
            </w:pPr>
            <w:r>
              <w:rPr>
                <w:rFonts w:hint="eastAsia"/>
                <w:b/>
                <w:bCs/>
                <w:color w:val="auto"/>
                <w:sz w:val="24"/>
                <w:lang w:val="en-US" w:eastAsia="zh-CN"/>
              </w:rPr>
              <w:t>3、现有项目生产能力</w:t>
            </w:r>
          </w:p>
          <w:p>
            <w:pPr>
              <w:adjustRightInd w:val="0"/>
              <w:snapToGrid w:val="0"/>
              <w:jc w:val="center"/>
              <w:outlineLvl w:val="0"/>
              <w:rPr>
                <w:rFonts w:hint="eastAsia"/>
                <w:b/>
                <w:bCs/>
              </w:rPr>
            </w:pPr>
            <w:r>
              <w:rPr>
                <w:b/>
                <w:bCs/>
              </w:rPr>
              <w:t>表</w:t>
            </w:r>
            <w:r>
              <w:rPr>
                <w:rFonts w:hint="eastAsia"/>
                <w:b/>
                <w:bCs/>
              </w:rPr>
              <w:t>2-</w:t>
            </w:r>
            <w:r>
              <w:rPr>
                <w:rFonts w:hint="eastAsia"/>
                <w:b/>
                <w:bCs/>
                <w:lang w:val="en-US" w:eastAsia="zh-CN"/>
              </w:rPr>
              <w:t>20</w:t>
            </w:r>
            <w:r>
              <w:rPr>
                <w:b/>
                <w:bCs/>
              </w:rPr>
              <w:t xml:space="preserve">  </w:t>
            </w:r>
            <w:r>
              <w:rPr>
                <w:rFonts w:hint="eastAsia"/>
                <w:b/>
                <w:bCs/>
              </w:rPr>
              <w:t>现有</w:t>
            </w:r>
            <w:r>
              <w:rPr>
                <w:b/>
                <w:bCs/>
              </w:rPr>
              <w:t>项目</w:t>
            </w:r>
            <w:r>
              <w:rPr>
                <w:rFonts w:hint="eastAsia"/>
                <w:b/>
                <w:bCs/>
              </w:rPr>
              <w:t>生产能力</w:t>
            </w:r>
          </w:p>
          <w:tbl>
            <w:tblPr>
              <w:tblStyle w:val="21"/>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5"/>
              <w:gridCol w:w="2020"/>
              <w:gridCol w:w="1620"/>
              <w:gridCol w:w="1696"/>
              <w:gridCol w:w="190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1" w:hRule="exact"/>
                <w:jc w:val="center"/>
              </w:trPr>
              <w:tc>
                <w:tcPr>
                  <w:tcW w:w="432" w:type="pct"/>
                  <w:noWrap w:val="0"/>
                  <w:vAlign w:val="center"/>
                </w:tcPr>
                <w:p>
                  <w:pPr>
                    <w:adjustRightInd w:val="0"/>
                    <w:snapToGrid w:val="0"/>
                    <w:jc w:val="center"/>
                    <w:rPr>
                      <w:b/>
                      <w:bCs/>
                      <w:sz w:val="18"/>
                      <w:szCs w:val="18"/>
                    </w:rPr>
                  </w:pPr>
                  <w:r>
                    <w:rPr>
                      <w:b/>
                      <w:bCs/>
                      <w:sz w:val="18"/>
                      <w:szCs w:val="18"/>
                    </w:rPr>
                    <w:t>序号</w:t>
                  </w:r>
                </w:p>
              </w:tc>
              <w:tc>
                <w:tcPr>
                  <w:tcW w:w="1274" w:type="pct"/>
                  <w:noWrap w:val="0"/>
                  <w:vAlign w:val="center"/>
                </w:tcPr>
                <w:p>
                  <w:pPr>
                    <w:adjustRightInd w:val="0"/>
                    <w:snapToGrid w:val="0"/>
                    <w:jc w:val="center"/>
                    <w:rPr>
                      <w:b/>
                      <w:bCs/>
                      <w:sz w:val="18"/>
                      <w:szCs w:val="18"/>
                    </w:rPr>
                  </w:pPr>
                  <w:r>
                    <w:rPr>
                      <w:b/>
                      <w:bCs/>
                      <w:sz w:val="18"/>
                      <w:szCs w:val="18"/>
                    </w:rPr>
                    <w:t>工程名称（车间、生产装置或生产线）</w:t>
                  </w:r>
                </w:p>
              </w:tc>
              <w:tc>
                <w:tcPr>
                  <w:tcW w:w="1021" w:type="pct"/>
                  <w:noWrap w:val="0"/>
                  <w:vAlign w:val="center"/>
                </w:tcPr>
                <w:p>
                  <w:pPr>
                    <w:adjustRightInd w:val="0"/>
                    <w:snapToGrid w:val="0"/>
                    <w:jc w:val="center"/>
                    <w:rPr>
                      <w:b/>
                      <w:bCs/>
                      <w:sz w:val="18"/>
                      <w:szCs w:val="18"/>
                    </w:rPr>
                  </w:pPr>
                  <w:r>
                    <w:rPr>
                      <w:b/>
                      <w:bCs/>
                      <w:sz w:val="18"/>
                      <w:szCs w:val="18"/>
                    </w:rPr>
                    <w:t>产品名称</w:t>
                  </w:r>
                </w:p>
                <w:p>
                  <w:pPr>
                    <w:adjustRightInd w:val="0"/>
                    <w:snapToGrid w:val="0"/>
                    <w:jc w:val="center"/>
                    <w:rPr>
                      <w:b/>
                      <w:bCs/>
                      <w:sz w:val="18"/>
                      <w:szCs w:val="18"/>
                    </w:rPr>
                  </w:pPr>
                  <w:r>
                    <w:rPr>
                      <w:b/>
                      <w:bCs/>
                      <w:sz w:val="18"/>
                      <w:szCs w:val="18"/>
                    </w:rPr>
                    <w:t>及规格</w:t>
                  </w:r>
                </w:p>
              </w:tc>
              <w:tc>
                <w:tcPr>
                  <w:tcW w:w="1069" w:type="pct"/>
                  <w:noWrap w:val="0"/>
                  <w:vAlign w:val="center"/>
                </w:tcPr>
                <w:p>
                  <w:pPr>
                    <w:adjustRightInd w:val="0"/>
                    <w:snapToGrid w:val="0"/>
                    <w:jc w:val="center"/>
                    <w:rPr>
                      <w:b/>
                      <w:bCs/>
                      <w:sz w:val="18"/>
                      <w:szCs w:val="18"/>
                    </w:rPr>
                  </w:pPr>
                  <w:r>
                    <w:rPr>
                      <w:rFonts w:hint="eastAsia"/>
                      <w:b/>
                      <w:bCs/>
                      <w:sz w:val="18"/>
                      <w:szCs w:val="18"/>
                    </w:rPr>
                    <w:t>生产</w:t>
                  </w:r>
                  <w:r>
                    <w:rPr>
                      <w:b/>
                      <w:bCs/>
                      <w:sz w:val="18"/>
                      <w:szCs w:val="18"/>
                    </w:rPr>
                    <w:t>能力</w:t>
                  </w:r>
                </w:p>
              </w:tc>
              <w:tc>
                <w:tcPr>
                  <w:tcW w:w="1201" w:type="pct"/>
                  <w:noWrap w:val="0"/>
                  <w:vAlign w:val="center"/>
                </w:tcPr>
                <w:p>
                  <w:pPr>
                    <w:adjustRightInd w:val="0"/>
                    <w:snapToGrid w:val="0"/>
                    <w:jc w:val="center"/>
                    <w:rPr>
                      <w:b/>
                      <w:bCs/>
                      <w:sz w:val="18"/>
                      <w:szCs w:val="18"/>
                    </w:rPr>
                  </w:pPr>
                  <w:r>
                    <w:rPr>
                      <w:b/>
                      <w:bCs/>
                      <w:sz w:val="18"/>
                      <w:szCs w:val="18"/>
                    </w:rPr>
                    <w:t>年运行</w:t>
                  </w:r>
                </w:p>
                <w:p>
                  <w:pPr>
                    <w:adjustRightInd w:val="0"/>
                    <w:snapToGrid w:val="0"/>
                    <w:jc w:val="center"/>
                    <w:rPr>
                      <w:b/>
                      <w:bCs/>
                      <w:sz w:val="18"/>
                      <w:szCs w:val="18"/>
                    </w:rPr>
                  </w:pPr>
                  <w:r>
                    <w:rPr>
                      <w:b/>
                      <w:bCs/>
                      <w:sz w:val="18"/>
                      <w:szCs w:val="18"/>
                    </w:rPr>
                    <w:t>时数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94" w:hRule="atLeast"/>
                <w:jc w:val="center"/>
              </w:trPr>
              <w:tc>
                <w:tcPr>
                  <w:tcW w:w="432" w:type="pct"/>
                  <w:noWrap w:val="0"/>
                  <w:vAlign w:val="center"/>
                </w:tcPr>
                <w:p>
                  <w:pPr>
                    <w:adjustRightInd w:val="0"/>
                    <w:snapToGrid w:val="0"/>
                    <w:jc w:val="center"/>
                  </w:pPr>
                  <w:r>
                    <w:t>1</w:t>
                  </w:r>
                </w:p>
              </w:tc>
              <w:tc>
                <w:tcPr>
                  <w:tcW w:w="1274" w:type="pct"/>
                  <w:vMerge w:val="restart"/>
                  <w:noWrap w:val="0"/>
                  <w:vAlign w:val="center"/>
                </w:tcPr>
                <w:p>
                  <w:pPr>
                    <w:adjustRightInd w:val="0"/>
                    <w:snapToGrid w:val="0"/>
                    <w:jc w:val="center"/>
                    <w:rPr>
                      <w:rFonts w:hint="eastAsia"/>
                    </w:rPr>
                  </w:pPr>
                  <w:r>
                    <w:rPr>
                      <w:rFonts w:hint="eastAsia" w:ascii="Times New Roman" w:hAnsi="Times New Roman" w:eastAsia="宋体" w:cs="Times New Roman"/>
                      <w:color w:val="auto"/>
                      <w:kern w:val="0"/>
                      <w:sz w:val="18"/>
                      <w:szCs w:val="18"/>
                      <w:lang w:val="en-US" w:eastAsia="zh-CN"/>
                    </w:rPr>
                    <w:t>高端风电主轴及零部件生产线</w:t>
                  </w:r>
                </w:p>
              </w:tc>
              <w:tc>
                <w:tcPr>
                  <w:tcW w:w="1021" w:type="pct"/>
                  <w:noWrap w:val="0"/>
                  <w:vAlign w:val="center"/>
                </w:tcPr>
                <w:p>
                  <w:pPr>
                    <w:adjustRightInd w:val="0"/>
                    <w:snapToGrid w:val="0"/>
                    <w:jc w:val="center"/>
                    <w:rPr>
                      <w:rFonts w:hint="eastAsia"/>
                    </w:rPr>
                  </w:pPr>
                  <w:r>
                    <w:rPr>
                      <w:rFonts w:hint="eastAsia"/>
                      <w:color w:val="auto"/>
                      <w:kern w:val="0"/>
                      <w:sz w:val="18"/>
                      <w:szCs w:val="18"/>
                      <w:lang w:eastAsia="zh-CN"/>
                    </w:rPr>
                    <w:t>轴类锻件</w:t>
                  </w:r>
                </w:p>
              </w:tc>
              <w:tc>
                <w:tcPr>
                  <w:tcW w:w="1069" w:type="pct"/>
                  <w:noWrap w:val="0"/>
                  <w:vAlign w:val="center"/>
                </w:tcPr>
                <w:p>
                  <w:pPr>
                    <w:adjustRightInd w:val="0"/>
                    <w:snapToGrid w:val="0"/>
                    <w:jc w:val="center"/>
                    <w:rPr>
                      <w:rFonts w:hint="eastAsia"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40000吨/年</w:t>
                  </w:r>
                </w:p>
              </w:tc>
              <w:tc>
                <w:tcPr>
                  <w:tcW w:w="1201" w:type="pct"/>
                  <w:vMerge w:val="restart"/>
                  <w:noWrap w:val="0"/>
                  <w:vAlign w:val="center"/>
                </w:tcPr>
                <w:p>
                  <w:pPr>
                    <w:adjustRightInd w:val="0"/>
                    <w:snapToGrid w:val="0"/>
                    <w:jc w:val="center"/>
                  </w:pPr>
                  <w:r>
                    <w:rPr>
                      <w:rFonts w:hint="eastAsia" w:ascii="Times New Roman" w:hAnsi="Times New Roman" w:eastAsia="宋体" w:cs="Times New Roman"/>
                      <w:color w:val="auto"/>
                      <w:kern w:val="0"/>
                      <w:sz w:val="18"/>
                      <w:szCs w:val="18"/>
                      <w:lang w:val="en-US" w:eastAsia="zh-CN"/>
                    </w:rPr>
                    <w:t>7200h/a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94" w:hRule="atLeast"/>
                <w:jc w:val="center"/>
              </w:trPr>
              <w:tc>
                <w:tcPr>
                  <w:tcW w:w="432" w:type="pct"/>
                  <w:noWrap w:val="0"/>
                  <w:vAlign w:val="center"/>
                </w:tcPr>
                <w:p>
                  <w:pPr>
                    <w:adjustRightInd w:val="0"/>
                    <w:snapToGrid w:val="0"/>
                    <w:jc w:val="center"/>
                    <w:rPr>
                      <w:rFonts w:hint="eastAsia" w:eastAsia="宋体"/>
                      <w:lang w:val="en-US" w:eastAsia="zh-CN"/>
                    </w:rPr>
                  </w:pPr>
                  <w:r>
                    <w:rPr>
                      <w:rFonts w:hint="eastAsia"/>
                      <w:lang w:val="en-US" w:eastAsia="zh-CN"/>
                    </w:rPr>
                    <w:t>2</w:t>
                  </w:r>
                </w:p>
              </w:tc>
              <w:tc>
                <w:tcPr>
                  <w:tcW w:w="1274" w:type="pct"/>
                  <w:vMerge w:val="continue"/>
                  <w:noWrap w:val="0"/>
                  <w:vAlign w:val="center"/>
                </w:tcPr>
                <w:p>
                  <w:pPr>
                    <w:adjustRightInd w:val="0"/>
                    <w:snapToGrid w:val="0"/>
                    <w:jc w:val="center"/>
                    <w:rPr>
                      <w:rFonts w:hint="eastAsia"/>
                      <w:color w:val="auto"/>
                      <w:kern w:val="0"/>
                      <w:sz w:val="18"/>
                      <w:szCs w:val="18"/>
                      <w:lang w:val="en-US" w:eastAsia="zh-CN"/>
                    </w:rPr>
                  </w:pPr>
                </w:p>
              </w:tc>
              <w:tc>
                <w:tcPr>
                  <w:tcW w:w="1021" w:type="pct"/>
                  <w:noWrap w:val="0"/>
                  <w:vAlign w:val="center"/>
                </w:tcPr>
                <w:p>
                  <w:pPr>
                    <w:adjustRightInd w:val="0"/>
                    <w:snapToGrid w:val="0"/>
                    <w:jc w:val="center"/>
                    <w:rPr>
                      <w:rFonts w:hint="eastAsia"/>
                      <w:color w:val="auto"/>
                      <w:kern w:val="0"/>
                      <w:sz w:val="18"/>
                      <w:szCs w:val="18"/>
                      <w:lang w:eastAsia="zh-CN"/>
                    </w:rPr>
                  </w:pPr>
                  <w:r>
                    <w:rPr>
                      <w:rFonts w:hint="eastAsia"/>
                      <w:color w:val="auto"/>
                      <w:kern w:val="0"/>
                      <w:sz w:val="18"/>
                      <w:szCs w:val="18"/>
                      <w:lang w:val="en-US" w:eastAsia="zh-CN"/>
                    </w:rPr>
                    <w:t>饼类、盘类锻件</w:t>
                  </w:r>
                </w:p>
              </w:tc>
              <w:tc>
                <w:tcPr>
                  <w:tcW w:w="1069" w:type="pct"/>
                  <w:noWrap w:val="0"/>
                  <w:vAlign w:val="center"/>
                </w:tcPr>
                <w:p>
                  <w:pPr>
                    <w:adjustRightInd w:val="0"/>
                    <w:snapToGrid w:val="0"/>
                    <w:jc w:val="center"/>
                    <w:rPr>
                      <w:rFonts w:hint="eastAsia"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8000吨/年</w:t>
                  </w:r>
                </w:p>
              </w:tc>
              <w:tc>
                <w:tcPr>
                  <w:tcW w:w="1201" w:type="pct"/>
                  <w:vMerge w:val="continue"/>
                  <w:noWrap w:val="0"/>
                  <w:vAlign w:val="center"/>
                </w:tcPr>
                <w:p>
                  <w:pPr>
                    <w:adjustRightInd w:val="0"/>
                    <w:snapToGrid w:val="0"/>
                    <w:jc w:val="center"/>
                    <w:rPr>
                      <w:rFonts w:hint="eastAsia"/>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94" w:hRule="atLeast"/>
                <w:jc w:val="center"/>
              </w:trPr>
              <w:tc>
                <w:tcPr>
                  <w:tcW w:w="432" w:type="pct"/>
                  <w:noWrap w:val="0"/>
                  <w:vAlign w:val="center"/>
                </w:tcPr>
                <w:p>
                  <w:pPr>
                    <w:adjustRightInd w:val="0"/>
                    <w:snapToGrid w:val="0"/>
                    <w:jc w:val="center"/>
                    <w:rPr>
                      <w:rFonts w:hint="eastAsia" w:eastAsia="宋体"/>
                      <w:lang w:val="en-US" w:eastAsia="zh-CN"/>
                    </w:rPr>
                  </w:pPr>
                  <w:r>
                    <w:rPr>
                      <w:rFonts w:hint="eastAsia"/>
                      <w:lang w:val="en-US" w:eastAsia="zh-CN"/>
                    </w:rPr>
                    <w:t>3</w:t>
                  </w:r>
                </w:p>
              </w:tc>
              <w:tc>
                <w:tcPr>
                  <w:tcW w:w="1274" w:type="pct"/>
                  <w:vMerge w:val="continue"/>
                  <w:noWrap w:val="0"/>
                  <w:vAlign w:val="center"/>
                </w:tcPr>
                <w:p>
                  <w:pPr>
                    <w:adjustRightInd w:val="0"/>
                    <w:snapToGrid w:val="0"/>
                    <w:jc w:val="center"/>
                    <w:rPr>
                      <w:rFonts w:hint="eastAsia"/>
                      <w:color w:val="auto"/>
                      <w:kern w:val="0"/>
                      <w:sz w:val="18"/>
                      <w:szCs w:val="18"/>
                      <w:lang w:val="en-US" w:eastAsia="zh-CN"/>
                    </w:rPr>
                  </w:pPr>
                </w:p>
              </w:tc>
              <w:tc>
                <w:tcPr>
                  <w:tcW w:w="1021" w:type="pct"/>
                  <w:noWrap w:val="0"/>
                  <w:vAlign w:val="center"/>
                </w:tcPr>
                <w:p>
                  <w:pPr>
                    <w:adjustRightInd w:val="0"/>
                    <w:snapToGrid w:val="0"/>
                    <w:jc w:val="center"/>
                    <w:rPr>
                      <w:rFonts w:hint="eastAsia"/>
                      <w:color w:val="auto"/>
                      <w:kern w:val="0"/>
                      <w:sz w:val="18"/>
                      <w:szCs w:val="18"/>
                      <w:lang w:val="en-US" w:eastAsia="zh-CN"/>
                    </w:rPr>
                  </w:pPr>
                  <w:r>
                    <w:rPr>
                      <w:rFonts w:hint="eastAsia"/>
                      <w:color w:val="auto"/>
                      <w:kern w:val="0"/>
                      <w:sz w:val="18"/>
                      <w:szCs w:val="18"/>
                      <w:lang w:val="en-US" w:eastAsia="zh-CN"/>
                    </w:rPr>
                    <w:t>模块类锻件</w:t>
                  </w:r>
                </w:p>
              </w:tc>
              <w:tc>
                <w:tcPr>
                  <w:tcW w:w="1069" w:type="pct"/>
                  <w:noWrap w:val="0"/>
                  <w:vAlign w:val="center"/>
                </w:tcPr>
                <w:p>
                  <w:pPr>
                    <w:adjustRightInd w:val="0"/>
                    <w:snapToGrid w:val="0"/>
                    <w:jc w:val="center"/>
                    <w:rPr>
                      <w:rFonts w:hint="eastAsia"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15000吨/年</w:t>
                  </w:r>
                </w:p>
              </w:tc>
              <w:tc>
                <w:tcPr>
                  <w:tcW w:w="1201" w:type="pct"/>
                  <w:vMerge w:val="continue"/>
                  <w:noWrap w:val="0"/>
                  <w:vAlign w:val="center"/>
                </w:tcPr>
                <w:p>
                  <w:pPr>
                    <w:adjustRightInd w:val="0"/>
                    <w:snapToGrid w:val="0"/>
                    <w:jc w:val="center"/>
                    <w:rPr>
                      <w:rFonts w:hint="eastAsia"/>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94" w:hRule="atLeast"/>
                <w:jc w:val="center"/>
              </w:trPr>
              <w:tc>
                <w:tcPr>
                  <w:tcW w:w="432" w:type="pct"/>
                  <w:noWrap w:val="0"/>
                  <w:vAlign w:val="center"/>
                </w:tcPr>
                <w:p>
                  <w:pPr>
                    <w:adjustRightInd w:val="0"/>
                    <w:snapToGrid w:val="0"/>
                    <w:jc w:val="center"/>
                    <w:rPr>
                      <w:rFonts w:hint="eastAsia" w:eastAsia="宋体"/>
                      <w:lang w:val="en-US" w:eastAsia="zh-CN"/>
                    </w:rPr>
                  </w:pPr>
                  <w:r>
                    <w:rPr>
                      <w:rFonts w:hint="eastAsia"/>
                      <w:lang w:val="en-US" w:eastAsia="zh-CN"/>
                    </w:rPr>
                    <w:t>4</w:t>
                  </w:r>
                </w:p>
              </w:tc>
              <w:tc>
                <w:tcPr>
                  <w:tcW w:w="1274" w:type="pct"/>
                  <w:vMerge w:val="continue"/>
                  <w:noWrap w:val="0"/>
                  <w:vAlign w:val="center"/>
                </w:tcPr>
                <w:p>
                  <w:pPr>
                    <w:adjustRightInd w:val="0"/>
                    <w:snapToGrid w:val="0"/>
                    <w:jc w:val="center"/>
                    <w:rPr>
                      <w:rFonts w:hint="eastAsia"/>
                      <w:color w:val="auto"/>
                      <w:kern w:val="0"/>
                      <w:sz w:val="18"/>
                      <w:szCs w:val="18"/>
                      <w:lang w:val="en-US" w:eastAsia="zh-CN"/>
                    </w:rPr>
                  </w:pPr>
                </w:p>
              </w:tc>
              <w:tc>
                <w:tcPr>
                  <w:tcW w:w="1021" w:type="pct"/>
                  <w:noWrap w:val="0"/>
                  <w:vAlign w:val="center"/>
                </w:tcPr>
                <w:p>
                  <w:pPr>
                    <w:adjustRightInd w:val="0"/>
                    <w:snapToGrid w:val="0"/>
                    <w:jc w:val="center"/>
                    <w:rPr>
                      <w:rFonts w:hint="eastAsia"/>
                      <w:color w:val="auto"/>
                      <w:kern w:val="0"/>
                      <w:sz w:val="18"/>
                      <w:szCs w:val="18"/>
                      <w:lang w:val="en-US" w:eastAsia="zh-CN"/>
                    </w:rPr>
                  </w:pPr>
                  <w:r>
                    <w:rPr>
                      <w:rFonts w:hint="eastAsia"/>
                      <w:color w:val="auto"/>
                      <w:kern w:val="0"/>
                      <w:sz w:val="18"/>
                      <w:szCs w:val="18"/>
                      <w:lang w:val="en-US" w:eastAsia="zh-CN"/>
                    </w:rPr>
                    <w:t>环形锻件</w:t>
                  </w:r>
                </w:p>
              </w:tc>
              <w:tc>
                <w:tcPr>
                  <w:tcW w:w="1069" w:type="pct"/>
                  <w:noWrap w:val="0"/>
                  <w:vAlign w:val="center"/>
                </w:tcPr>
                <w:p>
                  <w:pPr>
                    <w:adjustRightInd w:val="0"/>
                    <w:snapToGrid w:val="0"/>
                    <w:jc w:val="center"/>
                    <w:rPr>
                      <w:rFonts w:hint="eastAsia"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9000吨/年</w:t>
                  </w:r>
                </w:p>
              </w:tc>
              <w:tc>
                <w:tcPr>
                  <w:tcW w:w="1201" w:type="pct"/>
                  <w:vMerge w:val="continue"/>
                  <w:noWrap w:val="0"/>
                  <w:vAlign w:val="center"/>
                </w:tcPr>
                <w:p>
                  <w:pPr>
                    <w:adjustRightInd w:val="0"/>
                    <w:snapToGrid w:val="0"/>
                    <w:jc w:val="center"/>
                    <w:rPr>
                      <w:rFonts w:hint="eastAsia"/>
                      <w:lang w:val="en-US" w:eastAsia="zh-CN"/>
                    </w:rPr>
                  </w:pPr>
                </w:p>
              </w:tc>
            </w:tr>
          </w:tbl>
          <w:p>
            <w:pPr>
              <w:numPr>
                <w:ilvl w:val="0"/>
                <w:numId w:val="0"/>
              </w:numPr>
              <w:spacing w:line="500" w:lineRule="exact"/>
              <w:rPr>
                <w:rFonts w:hint="eastAsia"/>
                <w:b/>
                <w:bCs/>
                <w:color w:val="auto"/>
                <w:sz w:val="24"/>
                <w:lang w:val="en-US" w:eastAsia="zh-CN"/>
              </w:rPr>
            </w:pPr>
            <w:r>
              <w:rPr>
                <w:rFonts w:hint="eastAsia"/>
                <w:b/>
                <w:bCs/>
                <w:color w:val="auto"/>
                <w:sz w:val="24"/>
                <w:lang w:val="en-US" w:eastAsia="zh-CN"/>
              </w:rPr>
              <w:t>4、现有项目生产工艺</w:t>
            </w:r>
          </w:p>
          <w:p>
            <w:pPr>
              <w:adjustRightInd w:val="0"/>
              <w:snapToGrid w:val="0"/>
              <w:spacing w:line="500" w:lineRule="exact"/>
              <w:jc w:val="center"/>
              <w:rPr>
                <w:b/>
                <w:color w:val="auto"/>
                <w:szCs w:val="21"/>
              </w:rPr>
            </w:pPr>
          </w:p>
          <w:p>
            <w:pPr>
              <w:pStyle w:val="7"/>
              <w:rPr>
                <w:b/>
                <w:color w:val="auto"/>
                <w:szCs w:val="21"/>
              </w:rPr>
            </w:pPr>
          </w:p>
          <w:p/>
          <w:p>
            <w:pPr>
              <w:adjustRightInd w:val="0"/>
              <w:snapToGrid w:val="0"/>
              <w:spacing w:line="500" w:lineRule="exact"/>
              <w:jc w:val="center"/>
              <w:rPr>
                <w:b/>
                <w:color w:val="auto"/>
                <w:szCs w:val="21"/>
              </w:rPr>
            </w:pPr>
            <w:r>
              <w:rPr>
                <w:sz w:val="24"/>
              </w:rPr>
              <mc:AlternateContent>
                <mc:Choice Requires="wpc">
                  <w:drawing>
                    <wp:anchor distT="0" distB="0" distL="114300" distR="114300" simplePos="0" relativeHeight="251663360" behindDoc="0" locked="0" layoutInCell="1" allowOverlap="1">
                      <wp:simplePos x="0" y="0"/>
                      <wp:positionH relativeFrom="column">
                        <wp:posOffset>-32385</wp:posOffset>
                      </wp:positionH>
                      <wp:positionV relativeFrom="paragraph">
                        <wp:posOffset>20320</wp:posOffset>
                      </wp:positionV>
                      <wp:extent cx="5139055" cy="3322320"/>
                      <wp:effectExtent l="0" t="0" r="0" b="0"/>
                      <wp:wrapTopAndBottom/>
                      <wp:docPr id="38" name="画布 38"/>
                      <wp:cNvGraphicFramePr/>
                      <a:graphic xmlns:a="http://schemas.openxmlformats.org/drawingml/2006/main">
                        <a:graphicData uri="http://schemas.microsoft.com/office/word/2010/wordprocessingCanvas">
                          <wpc:wpc>
                            <wpc:bg/>
                            <wpc:whole/>
                            <wps:wsp>
                              <wps:cNvPr id="115" name="矩形 7"/>
                              <wps:cNvSpPr/>
                              <wps:spPr>
                                <a:xfrm>
                                  <a:off x="2260600" y="814070"/>
                                  <a:ext cx="723265" cy="358140"/>
                                </a:xfrm>
                                <a:prstGeom prst="rect">
                                  <a:avLst/>
                                </a:prstGeom>
                                <a:ln w="6350">
                                  <a:solidFill>
                                    <a:schemeClr val="tx1"/>
                                  </a:solidFill>
                                </a:ln>
                              </wps:spPr>
                              <wps:style>
                                <a:lnRef idx="3">
                                  <a:schemeClr val="accent1"/>
                                </a:lnRef>
                                <a:fillRef idx="0">
                                  <a:srgbClr val="FFFFFF"/>
                                </a:fillRef>
                                <a:effectRef idx="0">
                                  <a:srgbClr val="FFFFFF"/>
                                </a:effectRef>
                                <a:fontRef idx="minor">
                                  <a:schemeClr val="tx1"/>
                                </a:fontRef>
                              </wps:style>
                              <wps:txbx>
                                <w:txbxContent>
                                  <w:p>
                                    <w:pPr>
                                      <w:jc w:val="center"/>
                                      <w:rPr>
                                        <w:rFonts w:hint="eastAsia" w:eastAsia="宋体"/>
                                        <w:lang w:eastAsia="zh-CN"/>
                                      </w:rPr>
                                    </w:pPr>
                                    <w:r>
                                      <w:rPr>
                                        <w:rFonts w:hint="eastAsia"/>
                                        <w:lang w:eastAsia="zh-CN"/>
                                      </w:rPr>
                                      <w:t>锻压</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6" name="矩形 12"/>
                              <wps:cNvSpPr/>
                              <wps:spPr>
                                <a:xfrm>
                                  <a:off x="2260600" y="1454785"/>
                                  <a:ext cx="723265" cy="358140"/>
                                </a:xfrm>
                                <a:prstGeom prst="rect">
                                  <a:avLst/>
                                </a:prstGeom>
                                <a:ln w="6350">
                                  <a:solidFill>
                                    <a:schemeClr val="tx1"/>
                                  </a:solidFill>
                                </a:ln>
                              </wps:spPr>
                              <wps:style>
                                <a:lnRef idx="3">
                                  <a:schemeClr val="accent1"/>
                                </a:lnRef>
                                <a:fillRef idx="0">
                                  <a:srgbClr val="FFFFFF"/>
                                </a:fillRef>
                                <a:effectRef idx="0">
                                  <a:srgbClr val="FFFFFF"/>
                                </a:effectRef>
                                <a:fontRef idx="minor">
                                  <a:schemeClr val="tx1"/>
                                </a:fontRef>
                              </wps:style>
                              <wps:txbx>
                                <w:txbxContent>
                                  <w:p>
                                    <w:pPr>
                                      <w:jc w:val="center"/>
                                      <w:rPr>
                                        <w:rFonts w:hint="eastAsia" w:eastAsia="宋体"/>
                                        <w:lang w:eastAsia="zh-CN"/>
                                      </w:rPr>
                                    </w:pPr>
                                    <w:r>
                                      <w:rPr>
                                        <w:rFonts w:hint="eastAsia"/>
                                        <w:lang w:eastAsia="zh-CN"/>
                                      </w:rPr>
                                      <w:t>热处理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7" name="矩形 13"/>
                              <wps:cNvSpPr/>
                              <wps:spPr>
                                <a:xfrm>
                                  <a:off x="2260600" y="2091055"/>
                                  <a:ext cx="723265" cy="358140"/>
                                </a:xfrm>
                                <a:prstGeom prst="rect">
                                  <a:avLst/>
                                </a:prstGeom>
                                <a:ln w="6350">
                                  <a:solidFill>
                                    <a:schemeClr val="tx1"/>
                                  </a:solidFill>
                                </a:ln>
                              </wps:spPr>
                              <wps:style>
                                <a:lnRef idx="3">
                                  <a:schemeClr val="accent1"/>
                                </a:lnRef>
                                <a:fillRef idx="0">
                                  <a:srgbClr val="FFFFFF"/>
                                </a:fillRef>
                                <a:effectRef idx="0">
                                  <a:srgbClr val="FFFFFF"/>
                                </a:effectRef>
                                <a:fontRef idx="minor">
                                  <a:schemeClr val="tx1"/>
                                </a:fontRef>
                              </wps:style>
                              <wps:txbx>
                                <w:txbxContent>
                                  <w:p>
                                    <w:pPr>
                                      <w:jc w:val="center"/>
                                      <w:rPr>
                                        <w:rFonts w:hint="eastAsia" w:eastAsia="宋体"/>
                                        <w:lang w:eastAsia="zh-CN"/>
                                      </w:rPr>
                                    </w:pPr>
                                    <w:r>
                                      <w:rPr>
                                        <w:rFonts w:hint="eastAsia"/>
                                        <w:lang w:eastAsia="zh-CN"/>
                                      </w:rPr>
                                      <w:t>金属加工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8" name="矩形 14"/>
                              <wps:cNvSpPr/>
                              <wps:spPr>
                                <a:xfrm>
                                  <a:off x="2260600" y="201930"/>
                                  <a:ext cx="723265" cy="358140"/>
                                </a:xfrm>
                                <a:prstGeom prst="rect">
                                  <a:avLst/>
                                </a:prstGeom>
                                <a:ln w="6350">
                                  <a:noFill/>
                                </a:ln>
                              </wps:spPr>
                              <wps:style>
                                <a:lnRef idx="3">
                                  <a:schemeClr val="accent1"/>
                                </a:lnRef>
                                <a:fillRef idx="0">
                                  <a:srgbClr val="FFFFFF"/>
                                </a:fillRef>
                                <a:effectRef idx="0">
                                  <a:srgbClr val="FFFFFF"/>
                                </a:effectRef>
                                <a:fontRef idx="minor">
                                  <a:schemeClr val="tx1"/>
                                </a:fontRef>
                              </wps:style>
                              <wps:txbx>
                                <w:txbxContent>
                                  <w:p>
                                    <w:pPr>
                                      <w:jc w:val="center"/>
                                      <w:rPr>
                                        <w:rFonts w:hint="eastAsia" w:eastAsia="宋体"/>
                                        <w:lang w:eastAsia="zh-CN"/>
                                      </w:rPr>
                                    </w:pPr>
                                    <w:r>
                                      <w:rPr>
                                        <w:rFonts w:hint="eastAsia" w:eastAsia="宋体"/>
                                        <w:lang w:eastAsia="zh-CN"/>
                                      </w:rPr>
                                      <w:t>钢锭</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9" name="直接箭头连接符 15"/>
                              <wps:cNvCnPr>
                                <a:stCxn id="14" idx="2"/>
                                <a:endCxn id="7" idx="0"/>
                              </wps:cNvCnPr>
                              <wps:spPr>
                                <a:xfrm>
                                  <a:off x="2622550" y="560070"/>
                                  <a:ext cx="0" cy="25400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20" name="直接箭头连接符 16"/>
                              <wps:cNvCnPr>
                                <a:stCxn id="7" idx="2"/>
                                <a:endCxn id="12" idx="0"/>
                              </wps:cNvCnPr>
                              <wps:spPr>
                                <a:xfrm>
                                  <a:off x="2622550" y="1172210"/>
                                  <a:ext cx="0" cy="28257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21" name="直接箭头连接符 17"/>
                              <wps:cNvCnPr>
                                <a:stCxn id="12" idx="2"/>
                                <a:endCxn id="13" idx="0"/>
                              </wps:cNvCnPr>
                              <wps:spPr>
                                <a:xfrm>
                                  <a:off x="2622550" y="1812925"/>
                                  <a:ext cx="0" cy="27813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22" name="矩形 18"/>
                              <wps:cNvSpPr/>
                              <wps:spPr>
                                <a:xfrm>
                                  <a:off x="2260600" y="2757805"/>
                                  <a:ext cx="723265" cy="358140"/>
                                </a:xfrm>
                                <a:prstGeom prst="rect">
                                  <a:avLst/>
                                </a:prstGeom>
                                <a:ln w="6350">
                                  <a:noFill/>
                                </a:ln>
                              </wps:spPr>
                              <wps:style>
                                <a:lnRef idx="3">
                                  <a:schemeClr val="accent1"/>
                                </a:lnRef>
                                <a:fillRef idx="0">
                                  <a:srgbClr val="FFFFFF"/>
                                </a:fillRef>
                                <a:effectRef idx="0">
                                  <a:srgbClr val="FFFFFF"/>
                                </a:effectRef>
                                <a:fontRef idx="minor">
                                  <a:schemeClr val="tx1"/>
                                </a:fontRef>
                              </wps:style>
                              <wps:txbx>
                                <w:txbxContent>
                                  <w:p>
                                    <w:pPr>
                                      <w:jc w:val="center"/>
                                      <w:rPr>
                                        <w:rFonts w:hint="eastAsia" w:eastAsia="宋体"/>
                                        <w:lang w:eastAsia="zh-CN"/>
                                      </w:rPr>
                                    </w:pPr>
                                    <w:r>
                                      <w:rPr>
                                        <w:rFonts w:hint="eastAsia" w:eastAsia="宋体"/>
                                        <w:lang w:eastAsia="zh-CN"/>
                                      </w:rPr>
                                      <w:t>入库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3" name="直接箭头连接符 19"/>
                              <wps:cNvCnPr>
                                <a:stCxn id="13" idx="2"/>
                                <a:endCxn id="18" idx="0"/>
                              </wps:cNvCnPr>
                              <wps:spPr>
                                <a:xfrm>
                                  <a:off x="2622550" y="2449195"/>
                                  <a:ext cx="0" cy="30861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24" name="矩形 20"/>
                              <wps:cNvSpPr/>
                              <wps:spPr>
                                <a:xfrm>
                                  <a:off x="3422650" y="1872615"/>
                                  <a:ext cx="1351280" cy="1449705"/>
                                </a:xfrm>
                                <a:prstGeom prst="rect">
                                  <a:avLst/>
                                </a:prstGeom>
                                <a:ln w="6350">
                                  <a:noFill/>
                                </a:ln>
                              </wps:spPr>
                              <wps:style>
                                <a:lnRef idx="3">
                                  <a:schemeClr val="accent1"/>
                                </a:lnRef>
                                <a:fillRef idx="0">
                                  <a:srgbClr val="FFFFFF"/>
                                </a:fillRef>
                                <a:effectRef idx="0">
                                  <a:srgbClr val="FFFFFF"/>
                                </a:effectRef>
                                <a:fontRef idx="minor">
                                  <a:schemeClr val="tx1"/>
                                </a:fontRef>
                              </wps:style>
                              <wps:txbx>
                                <w:txbxContent>
                                  <w:p>
                                    <w:pPr>
                                      <w:jc w:val="both"/>
                                      <w:rPr>
                                        <w:rFonts w:hint="default"/>
                                        <w:color w:val="auto"/>
                                        <w:lang w:val="en-US" w:eastAsia="zh-CN"/>
                                      </w:rPr>
                                    </w:pPr>
                                    <w:r>
                                      <w:rPr>
                                        <w:rFonts w:hint="eastAsia"/>
                                        <w:color w:val="auto"/>
                                        <w:lang w:val="en-US" w:eastAsia="zh-CN"/>
                                      </w:rPr>
                                      <w:t>G1-3</w:t>
                                    </w:r>
                                    <w:r>
                                      <w:rPr>
                                        <w:rFonts w:hint="eastAsia" w:ascii="Times New Roman" w:eastAsia="宋体" w:cs="Times New Roman"/>
                                        <w:b w:val="0"/>
                                        <w:bCs/>
                                        <w:color w:val="auto"/>
                                        <w:kern w:val="2"/>
                                        <w:sz w:val="21"/>
                                        <w:szCs w:val="21"/>
                                        <w:lang w:eastAsia="zh-CN"/>
                                      </w:rPr>
                                      <w:t>下料</w:t>
                                    </w:r>
                                    <w:r>
                                      <w:rPr>
                                        <w:rFonts w:hint="eastAsia" w:ascii="Times New Roman" w:hAnsi="Times New Roman" w:eastAsia="宋体" w:cs="Times New Roman"/>
                                        <w:b w:val="0"/>
                                        <w:bCs w:val="0"/>
                                        <w:color w:val="auto"/>
                                        <w:kern w:val="2"/>
                                        <w:sz w:val="21"/>
                                        <w:szCs w:val="24"/>
                                        <w:lang w:val="en-US" w:eastAsia="zh-CN" w:bidi="ar-SA"/>
                                      </w:rPr>
                                      <w:t>切割粉尘</w:t>
                                    </w:r>
                                    <w:r>
                                      <w:rPr>
                                        <w:rFonts w:hint="eastAsia"/>
                                        <w:color w:val="auto"/>
                                        <w:lang w:val="en-US" w:eastAsia="zh-CN"/>
                                      </w:rPr>
                                      <w:t>、</w:t>
                                    </w:r>
                                  </w:p>
                                  <w:p>
                                    <w:pPr>
                                      <w:jc w:val="center"/>
                                      <w:rPr>
                                        <w:rFonts w:hint="eastAsia" w:eastAsia="宋体"/>
                                        <w:color w:val="auto"/>
                                        <w:lang w:val="en-US" w:eastAsia="zh-CN"/>
                                      </w:rPr>
                                    </w:pPr>
                                    <w:r>
                                      <w:rPr>
                                        <w:rFonts w:hint="eastAsia"/>
                                        <w:color w:val="auto"/>
                                        <w:lang w:val="en-US" w:eastAsia="zh-CN"/>
                                      </w:rPr>
                                      <w:t>G1-4</w:t>
                                    </w:r>
                                    <w:r>
                                      <w:rPr>
                                        <w:rFonts w:hint="eastAsia"/>
                                        <w:bCs/>
                                        <w:color w:val="auto"/>
                                        <w:szCs w:val="21"/>
                                        <w:lang w:eastAsia="zh-CN"/>
                                      </w:rPr>
                                      <w:t>打磨</w:t>
                                    </w:r>
                                    <w:r>
                                      <w:rPr>
                                        <w:rFonts w:hint="eastAsia"/>
                                        <w:bCs/>
                                        <w:color w:val="auto"/>
                                        <w:szCs w:val="21"/>
                                      </w:rPr>
                                      <w:t>粉尘</w:t>
                                    </w:r>
                                    <w:r>
                                      <w:rPr>
                                        <w:rFonts w:hint="eastAsia"/>
                                        <w:bCs/>
                                        <w:color w:val="auto"/>
                                        <w:szCs w:val="21"/>
                                        <w:lang w:eastAsia="zh-CN"/>
                                      </w:rPr>
                                      <w:t>、</w:t>
                                    </w:r>
                                  </w:p>
                                  <w:p>
                                    <w:pPr>
                                      <w:jc w:val="center"/>
                                      <w:rPr>
                                        <w:rFonts w:hint="default"/>
                                        <w:color w:val="auto"/>
                                        <w:lang w:val="en-US" w:eastAsia="zh-CN"/>
                                      </w:rPr>
                                    </w:pPr>
                                    <w:r>
                                      <w:rPr>
                                        <w:rFonts w:hint="eastAsia"/>
                                        <w:color w:val="auto"/>
                                        <w:lang w:val="en-US" w:eastAsia="zh-CN"/>
                                      </w:rPr>
                                      <w:t>G1-5机加工废气、</w:t>
                                    </w:r>
                                  </w:p>
                                  <w:p>
                                    <w:pPr>
                                      <w:jc w:val="center"/>
                                      <w:rPr>
                                        <w:rFonts w:hint="eastAsia"/>
                                        <w:color w:val="auto"/>
                                        <w:lang w:val="en-US" w:eastAsia="zh-CN"/>
                                      </w:rPr>
                                    </w:pPr>
                                    <w:r>
                                      <w:rPr>
                                        <w:rFonts w:hint="eastAsia"/>
                                        <w:color w:val="auto"/>
                                        <w:lang w:val="en-US" w:eastAsia="zh-CN"/>
                                      </w:rPr>
                                      <w:t>S1-5废</w:t>
                                    </w:r>
                                    <w:r>
                                      <w:rPr>
                                        <w:rFonts w:hint="eastAsia"/>
                                        <w:color w:val="auto"/>
                                        <w:vertAlign w:val="baseline"/>
                                        <w:lang w:eastAsia="zh-CN"/>
                                      </w:rPr>
                                      <w:t>金属屑</w:t>
                                    </w:r>
                                    <w:r>
                                      <w:rPr>
                                        <w:rFonts w:hint="eastAsia"/>
                                        <w:color w:val="auto"/>
                                        <w:lang w:val="en-US" w:eastAsia="zh-CN"/>
                                      </w:rPr>
                                      <w:t>、</w:t>
                                    </w:r>
                                  </w:p>
                                  <w:p>
                                    <w:pPr>
                                      <w:jc w:val="center"/>
                                      <w:rPr>
                                        <w:rFonts w:hint="eastAsia" w:ascii="Times New Roman" w:hAnsi="Times New Roman" w:eastAsia="宋体"/>
                                        <w:bCs/>
                                        <w:color w:val="auto"/>
                                        <w:spacing w:val="0"/>
                                        <w:kern w:val="0"/>
                                        <w:szCs w:val="24"/>
                                        <w:lang w:eastAsia="zh-CN"/>
                                      </w:rPr>
                                    </w:pPr>
                                    <w:r>
                                      <w:rPr>
                                        <w:rFonts w:hint="eastAsia"/>
                                        <w:color w:val="auto"/>
                                        <w:lang w:val="en-US" w:eastAsia="zh-CN"/>
                                      </w:rPr>
                                      <w:t>S1-6</w:t>
                                    </w:r>
                                    <w:r>
                                      <w:rPr>
                                        <w:rFonts w:hint="eastAsia" w:ascii="Times New Roman" w:hAnsi="Times New Roman" w:eastAsia="宋体"/>
                                        <w:bCs/>
                                        <w:color w:val="auto"/>
                                        <w:spacing w:val="0"/>
                                        <w:kern w:val="0"/>
                                        <w:szCs w:val="24"/>
                                      </w:rPr>
                                      <w:t>废切削液</w:t>
                                    </w:r>
                                    <w:r>
                                      <w:rPr>
                                        <w:rFonts w:hint="eastAsia" w:ascii="Times New Roman" w:hAnsi="Times New Roman" w:eastAsia="宋体"/>
                                        <w:bCs/>
                                        <w:color w:val="auto"/>
                                        <w:spacing w:val="0"/>
                                        <w:kern w:val="0"/>
                                        <w:szCs w:val="24"/>
                                        <w:lang w:eastAsia="zh-CN"/>
                                      </w:rPr>
                                      <w:t>、</w:t>
                                    </w:r>
                                  </w:p>
                                  <w:p>
                                    <w:pPr>
                                      <w:jc w:val="center"/>
                                      <w:rPr>
                                        <w:rFonts w:hint="eastAsia" w:ascii="Times New Roman" w:hAnsi="Times New Roman" w:eastAsia="宋体"/>
                                        <w:bCs/>
                                        <w:color w:val="auto"/>
                                        <w:spacing w:val="0"/>
                                        <w:kern w:val="0"/>
                                        <w:szCs w:val="24"/>
                                        <w:lang w:eastAsia="zh-CN"/>
                                      </w:rPr>
                                    </w:pPr>
                                    <w:r>
                                      <w:rPr>
                                        <w:rFonts w:hint="eastAsia"/>
                                        <w:color w:val="auto"/>
                                        <w:lang w:val="en-US" w:eastAsia="zh-CN"/>
                                      </w:rPr>
                                      <w:t>S1-7</w:t>
                                    </w:r>
                                    <w:r>
                                      <w:rPr>
                                        <w:rFonts w:hint="eastAsia" w:ascii="Times New Roman" w:hAnsi="Times New Roman" w:eastAsia="宋体"/>
                                        <w:bCs/>
                                        <w:color w:val="auto"/>
                                        <w:spacing w:val="0"/>
                                        <w:kern w:val="0"/>
                                        <w:szCs w:val="24"/>
                                        <w:lang w:eastAsia="zh-CN"/>
                                      </w:rPr>
                                      <w:t>废润滑油、</w:t>
                                    </w:r>
                                  </w:p>
                                  <w:p>
                                    <w:pPr>
                                      <w:jc w:val="center"/>
                                      <w:rPr>
                                        <w:rFonts w:hint="default"/>
                                        <w:color w:val="auto"/>
                                        <w:lang w:val="en-US" w:eastAsia="zh-CN"/>
                                      </w:rPr>
                                    </w:pPr>
                                    <w:r>
                                      <w:rPr>
                                        <w:rFonts w:hint="eastAsia"/>
                                        <w:color w:val="auto"/>
                                        <w:lang w:val="en-US" w:eastAsia="zh-CN"/>
                                      </w:rPr>
                                      <w:t>S1-8</w:t>
                                    </w:r>
                                    <w:r>
                                      <w:rPr>
                                        <w:rFonts w:hint="eastAsia" w:ascii="Times New Roman" w:hAnsi="Times New Roman" w:eastAsia="宋体"/>
                                        <w:bCs/>
                                        <w:color w:val="auto"/>
                                        <w:spacing w:val="0"/>
                                        <w:kern w:val="0"/>
                                        <w:szCs w:val="24"/>
                                        <w:lang w:eastAsia="zh-CN"/>
                                      </w:rPr>
                                      <w:t>废乳化液、</w:t>
                                    </w:r>
                                    <w:r>
                                      <w:rPr>
                                        <w:rFonts w:hint="eastAsia" w:ascii="Times New Roman" w:hAnsi="Times New Roman" w:eastAsia="宋体"/>
                                        <w:bCs/>
                                        <w:color w:val="auto"/>
                                        <w:spacing w:val="0"/>
                                        <w:kern w:val="0"/>
                                        <w:szCs w:val="24"/>
                                        <w:lang w:val="en-US" w:eastAsia="zh-CN"/>
                                      </w:rPr>
                                      <w:t>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5" name="直接箭头连接符 16"/>
                              <wps:cNvCnPr>
                                <a:stCxn id="67" idx="3"/>
                              </wps:cNvCnPr>
                              <wps:spPr>
                                <a:xfrm flipV="1">
                                  <a:off x="2983865" y="2266315"/>
                                  <a:ext cx="401320" cy="381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26" name="矩形 20"/>
                              <wps:cNvSpPr/>
                              <wps:spPr>
                                <a:xfrm>
                                  <a:off x="3399155" y="1254125"/>
                                  <a:ext cx="1303655" cy="711200"/>
                                </a:xfrm>
                                <a:prstGeom prst="rect">
                                  <a:avLst/>
                                </a:prstGeom>
                                <a:ln w="6350">
                                  <a:noFill/>
                                </a:ln>
                              </wps:spPr>
                              <wps:style>
                                <a:lnRef idx="3">
                                  <a:schemeClr val="accent1"/>
                                </a:lnRef>
                                <a:fillRef idx="0">
                                  <a:srgbClr val="FFFFFF"/>
                                </a:fillRef>
                                <a:effectRef idx="0">
                                  <a:srgbClr val="FFFFFF"/>
                                </a:effectRef>
                                <a:fontRef idx="minor">
                                  <a:schemeClr val="tx1"/>
                                </a:fontRef>
                              </wps:style>
                              <wps:txbx>
                                <w:txbxContent>
                                  <w:p>
                                    <w:pPr>
                                      <w:jc w:val="center"/>
                                      <w:rPr>
                                        <w:rFonts w:hint="eastAsia"/>
                                        <w:lang w:eastAsia="zh-CN"/>
                                      </w:rPr>
                                    </w:pPr>
                                    <w:r>
                                      <w:rPr>
                                        <w:rFonts w:hint="eastAsia"/>
                                        <w:lang w:val="en-US" w:eastAsia="zh-CN"/>
                                      </w:rPr>
                                      <w:t>G1-2</w:t>
                                    </w:r>
                                    <w:r>
                                      <w:rPr>
                                        <w:rFonts w:hint="eastAsia"/>
                                        <w:lang w:eastAsia="zh-CN"/>
                                      </w:rPr>
                                      <w:t>燃烧废气、</w:t>
                                    </w:r>
                                  </w:p>
                                  <w:p>
                                    <w:pPr>
                                      <w:jc w:val="center"/>
                                      <w:rPr>
                                        <w:rFonts w:hint="eastAsia"/>
                                        <w:lang w:val="en-US" w:eastAsia="zh-CN"/>
                                      </w:rPr>
                                    </w:pPr>
                                    <w:r>
                                      <w:rPr>
                                        <w:rFonts w:hint="eastAsia"/>
                                        <w:lang w:val="en-US" w:eastAsia="zh-CN"/>
                                      </w:rPr>
                                      <w:t>W1-1冷却水</w:t>
                                    </w:r>
                                    <w:r>
                                      <w:rPr>
                                        <w:rFonts w:hint="eastAsia"/>
                                        <w:lang w:eastAsia="zh-CN"/>
                                      </w:rPr>
                                      <w:t>、</w:t>
                                    </w:r>
                                  </w:p>
                                  <w:p>
                                    <w:pPr>
                                      <w:jc w:val="center"/>
                                      <w:rPr>
                                        <w:rFonts w:hint="default"/>
                                        <w:lang w:val="en-US" w:eastAsia="zh-CN"/>
                                      </w:rPr>
                                    </w:pPr>
                                    <w:r>
                                      <w:rPr>
                                        <w:rFonts w:hint="eastAsia"/>
                                        <w:color w:val="auto"/>
                                        <w:lang w:val="en-US" w:eastAsia="zh-CN"/>
                                      </w:rPr>
                                      <w:t>S1-4沉渣</w:t>
                                    </w:r>
                                    <w:r>
                                      <w:rPr>
                                        <w:rFonts w:hint="eastAsia"/>
                                        <w:color w:val="auto"/>
                                        <w:lang w:eastAsia="zh-CN"/>
                                      </w:rPr>
                                      <w:t>、</w:t>
                                    </w:r>
                                    <w:r>
                                      <w:rPr>
                                        <w:rFonts w:hint="eastAsia"/>
                                        <w:lang w:val="en-US" w:eastAsia="zh-CN"/>
                                      </w:rPr>
                                      <w:t>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7" name="直接箭头连接符 16"/>
                              <wps:cNvCnPr/>
                              <wps:spPr>
                                <a:xfrm flipV="1">
                                  <a:off x="2975610" y="1642110"/>
                                  <a:ext cx="401320" cy="381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28" name="矩形 20"/>
                              <wps:cNvSpPr/>
                              <wps:spPr>
                                <a:xfrm>
                                  <a:off x="3405505" y="447675"/>
                                  <a:ext cx="1280795" cy="857250"/>
                                </a:xfrm>
                                <a:prstGeom prst="rect">
                                  <a:avLst/>
                                </a:prstGeom>
                                <a:ln w="6350">
                                  <a:noFill/>
                                </a:ln>
                              </wps:spPr>
                              <wps:style>
                                <a:lnRef idx="3">
                                  <a:schemeClr val="accent1"/>
                                </a:lnRef>
                                <a:fillRef idx="0">
                                  <a:srgbClr val="FFFFFF"/>
                                </a:fillRef>
                                <a:effectRef idx="0">
                                  <a:srgbClr val="FFFFFF"/>
                                </a:effectRef>
                                <a:fontRef idx="minor">
                                  <a:schemeClr val="tx1"/>
                                </a:fontRef>
                              </wps:style>
                              <wps:txbx>
                                <w:txbxContent>
                                  <w:p>
                                    <w:pPr>
                                      <w:jc w:val="center"/>
                                      <w:rPr>
                                        <w:rFonts w:hint="default"/>
                                        <w:lang w:val="en-US" w:eastAsia="zh-CN"/>
                                      </w:rPr>
                                    </w:pPr>
                                    <w:r>
                                      <w:rPr>
                                        <w:rFonts w:hint="eastAsia"/>
                                        <w:lang w:val="en-US" w:eastAsia="zh-CN"/>
                                      </w:rPr>
                                      <w:t>G1-1</w:t>
                                    </w:r>
                                    <w:r>
                                      <w:rPr>
                                        <w:rFonts w:hint="eastAsia"/>
                                        <w:lang w:eastAsia="zh-CN"/>
                                      </w:rPr>
                                      <w:t>燃烧废气、</w:t>
                                    </w:r>
                                    <w:r>
                                      <w:rPr>
                                        <w:rFonts w:hint="eastAsia"/>
                                        <w:color w:val="auto"/>
                                        <w:lang w:val="en-US" w:eastAsia="zh-CN"/>
                                      </w:rPr>
                                      <w:t>S1-1废氧化皮、S1-2废边角料、</w:t>
                                    </w:r>
                                    <w:r>
                                      <w:rPr>
                                        <w:rFonts w:hint="eastAsia" w:ascii="Times New Roman" w:hAnsi="Times New Roman" w:eastAsia="宋体" w:cs="Times New Roman"/>
                                        <w:b w:val="0"/>
                                        <w:bCs w:val="0"/>
                                        <w:color w:val="auto"/>
                                        <w:lang w:val="en-US" w:eastAsia="zh-CN"/>
                                      </w:rPr>
                                      <w:t>S1-3废液压油</w:t>
                                    </w:r>
                                    <w:r>
                                      <w:rPr>
                                        <w:rFonts w:hint="eastAsia"/>
                                        <w:color w:val="auto"/>
                                        <w:lang w:val="en-US" w:eastAsia="zh-CN"/>
                                      </w:rPr>
                                      <w:t>、</w:t>
                                    </w:r>
                                    <w:r>
                                      <w:rPr>
                                        <w:rFonts w:hint="eastAsia"/>
                                        <w:lang w:val="en-US" w:eastAsia="zh-CN"/>
                                      </w:rPr>
                                      <w:t>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9" name="直接箭头连接符 16"/>
                              <wps:cNvCnPr/>
                              <wps:spPr>
                                <a:xfrm flipV="1">
                                  <a:off x="2990850" y="991870"/>
                                  <a:ext cx="401320" cy="381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c:wpc>
                        </a:graphicData>
                      </a:graphic>
                    </wp:anchor>
                  </w:drawing>
                </mc:Choice>
                <mc:Fallback>
                  <w:pict>
                    <v:group id="_x0000_s1026" o:spid="_x0000_s1026" o:spt="203" style="position:absolute;left:0pt;margin-left:-2.55pt;margin-top:1.6pt;height:261.6pt;width:404.65pt;mso-wrap-distance-bottom:0pt;mso-wrap-distance-top:0pt;z-index:251663360;mso-width-relative:page;mso-height-relative:page;" coordsize="5139055,3322320" editas="canvas" o:gfxdata="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">
                      <o:lock v:ext="edit" aspectratio="f"/>
                      <v:shape id="_x0000_s1026" o:spid="_x0000_s1026" style="position:absolute;left:0;top:0;height:3322320;width:5139055;" filled="f" stroked="f" coordsize="21600,21600" o:gfxdata="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">
                        <v:fill on="f" focussize="0,0"/>
                        <v:stroke on="f"/>
                        <v:imagedata o:title=""/>
                        <o:lock v:ext="edit" aspectratio="f"/>
                      </v:shape>
                      <v:rect id="矩形 7" o:spid="_x0000_s1026" o:spt="1" style="position:absolute;left:2260600;top:814070;height:358140;width:723265;v-text-anchor:middle;" filled="f" stroked="t" coordsize="21600,21600" o:gfxdata="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WAAAAZHJzL1BLAQIUABQAAAAIAIdO4kDE5Ot21wAAAAgB&#10;AAAPAAAAAAAAAAEAIAAAADgAAABkcnMvZG93bnJldi54bWxQSwECFAAUAAAACACHTuJATlZJLHgC&#10;AADhBAAADgAAAAAAAAABACAAAAA8AQAAZHJzL2Uyb0RvYy54bWxQSwUGAAAAAAYABgBZAQAAJgYA&#10;AAAA&#10;">
                        <v:fill on="f" focussize="0,0"/>
                        <v:stroke weight="0.5pt" color="#000000 [3213]" miterlimit="8" joinstyle="miter"/>
                        <v:imagedata o:title=""/>
                        <o:lock v:ext="edit" aspectratio="f"/>
                        <v:textbox>
                          <w:txbxContent>
                            <w:p>
                              <w:pPr>
                                <w:jc w:val="center"/>
                                <w:rPr>
                                  <w:rFonts w:hint="eastAsia" w:eastAsia="宋体"/>
                                  <w:lang w:eastAsia="zh-CN"/>
                                </w:rPr>
                              </w:pPr>
                              <w:r>
                                <w:rPr>
                                  <w:rFonts w:hint="eastAsia"/>
                                  <w:lang w:eastAsia="zh-CN"/>
                                </w:rPr>
                                <w:t>锻压</w:t>
                              </w:r>
                            </w:p>
                          </w:txbxContent>
                        </v:textbox>
                      </v:rect>
                      <v:rect id="矩形 12" o:spid="_x0000_s1026" o:spt="1" style="position:absolute;left:2260600;top:1454785;height:358140;width:723265;v-text-anchor:middle;" filled="f" stroked="t" coordsize="21600,21600" o:gfxdata="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BYAAABkcnMvUEsBAhQAFAAAAAgAh07iQMTk63bX&#10;AAAACAEAAA8AAAAAAAAAAQAgAAAAOAAAAGRycy9kb3ducmV2LnhtbFBLAQIUABQAAAAIAIdO4kAR&#10;jW80fQIAAOMEAAAOAAAAAAAAAAEAIAAAADwBAABkcnMvZTJvRG9jLnhtbFBLBQYAAAAABgAGAFkB&#10;AAArBgAAAAA=&#10;">
                        <v:fill on="f" focussize="0,0"/>
                        <v:stroke weight="0.5pt" color="#000000 [3213]" miterlimit="8" joinstyle="miter"/>
                        <v:imagedata o:title=""/>
                        <o:lock v:ext="edit" aspectratio="f"/>
                        <v:textbox>
                          <w:txbxContent>
                            <w:p>
                              <w:pPr>
                                <w:jc w:val="center"/>
                                <w:rPr>
                                  <w:rFonts w:hint="eastAsia" w:eastAsia="宋体"/>
                                  <w:lang w:eastAsia="zh-CN"/>
                                </w:rPr>
                              </w:pPr>
                              <w:r>
                                <w:rPr>
                                  <w:rFonts w:hint="eastAsia"/>
                                  <w:lang w:eastAsia="zh-CN"/>
                                </w:rPr>
                                <w:t>热处理</w:t>
                              </w:r>
                            </w:p>
                          </w:txbxContent>
                        </v:textbox>
                      </v:rect>
                      <v:rect id="矩形 13" o:spid="_x0000_s1026" o:spt="1" style="position:absolute;left:2260600;top:2091055;height:358140;width:723265;v-text-anchor:middle;" filled="f" stroked="t" coordsize="21600,21600" o:gfxdata="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BYAAABkcnMvUEsBAhQAFAAAAAgAh07iQMTk63bX&#10;AAAACAEAAA8AAAAAAAAAAQAgAAAAOAAAAGRycy9kb3ducmV2LnhtbFBLAQIUABQAAAAIAIdO4kCx&#10;H0d+fQIAAOMEAAAOAAAAAAAAAAEAIAAAADwBAABkcnMvZTJvRG9jLnhtbFBLBQYAAAAABgAGAFkB&#10;AAArBgAAAAA=&#10;">
                        <v:fill on="f" focussize="0,0"/>
                        <v:stroke weight="0.5pt" color="#000000 [3213]" miterlimit="8" joinstyle="miter"/>
                        <v:imagedata o:title=""/>
                        <o:lock v:ext="edit" aspectratio="f"/>
                        <v:textbox>
                          <w:txbxContent>
                            <w:p>
                              <w:pPr>
                                <w:jc w:val="center"/>
                                <w:rPr>
                                  <w:rFonts w:hint="eastAsia" w:eastAsia="宋体"/>
                                  <w:lang w:eastAsia="zh-CN"/>
                                </w:rPr>
                              </w:pPr>
                              <w:r>
                                <w:rPr>
                                  <w:rFonts w:hint="eastAsia"/>
                                  <w:lang w:eastAsia="zh-CN"/>
                                </w:rPr>
                                <w:t>金属加工</w:t>
                              </w:r>
                            </w:p>
                          </w:txbxContent>
                        </v:textbox>
                      </v:rect>
                      <v:rect id="矩形 14" o:spid="_x0000_s1026" o:spt="1" style="position:absolute;left:2260600;top:201930;height:358140;width:723265;v-text-anchor:middle;" filled="f" stroked="f" coordsize="21600,21600" o:gfxdata="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BYAAABkcnMvUEsBAhQAFAAAAAgAh07iQC6mBD/aAAAACAEAAA8AAAAAAAAA&#10;AQAgAAAAOAAAAGRycy9kb3ducmV2LnhtbFBLAQIUABQAAAAIAIdO4kAeRwOPawIAALkEAAAOAAAA&#10;AAAAAAEAIAAAAD8BAABkcnMvZTJvRG9jLnhtbFBLBQYAAAAABgAGAFkBAAAcBgAAAAA=&#10;">
                        <v:fill on="f" focussize="0,0"/>
                        <v:stroke on="f" weight="0.5pt" miterlimit="8" joinstyle="miter"/>
                        <v:imagedata o:title=""/>
                        <o:lock v:ext="edit" aspectratio="f"/>
                        <v:textbox>
                          <w:txbxContent>
                            <w:p>
                              <w:pPr>
                                <w:jc w:val="center"/>
                                <w:rPr>
                                  <w:rFonts w:hint="eastAsia" w:eastAsia="宋体"/>
                                  <w:lang w:eastAsia="zh-CN"/>
                                </w:rPr>
                              </w:pPr>
                              <w:r>
                                <w:rPr>
                                  <w:rFonts w:hint="eastAsia" w:eastAsia="宋体"/>
                                  <w:lang w:eastAsia="zh-CN"/>
                                </w:rPr>
                                <w:t>钢锭</w:t>
                              </w:r>
                            </w:p>
                          </w:txbxContent>
                        </v:textbox>
                      </v:rect>
                      <v:shape id="直接箭头连接符 15" o:spid="_x0000_s1026" o:spt="32" type="#_x0000_t32" style="position:absolute;left:2622550;top:560070;height:254000;width:0;" filled="f" stroked="t" coordsize="21600,21600" o:gfxdata="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C2/bm01wAAAAgBAAAPAAAAAAAAAAEAIAAAADgAAABk&#10;cnMvZG93bnJldi54bWxQSwECFAAUAAAACACHTuJAcm3mWCoCAAAtBAAADgAAAAAAAAABACAAAAA8&#10;AQAAZHJzL2Uyb0RvYy54bWxQSwUGAAAAAAYABgBZAQAA2AUAAAAA&#10;">
                        <v:fill on="f" focussize="0,0"/>
                        <v:stroke weight="1pt" color="#000000 [3213]" miterlimit="8" joinstyle="miter" endarrow="open"/>
                        <v:imagedata o:title=""/>
                        <o:lock v:ext="edit" aspectratio="f"/>
                      </v:shape>
                      <v:shape id="直接箭头连接符 16" o:spid="_x0000_s1026" o:spt="32" type="#_x0000_t32" style="position:absolute;left:2622550;top:1172210;height:282575;width:0;" filled="f" stroked="t" coordsize="21600,21600" o:gfxdata="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C2/bm01wAAAAgBAAAPAAAAAAAAAAEAIAAAADgAAABkcnMv&#10;ZG93bnJldi54bWxQSwECFAAUAAAACACHTuJAkebRrScCAAAuBAAADgAAAAAAAAABACAAAAA8AQAA&#10;ZHJzL2Uyb0RvYy54bWxQSwUGAAAAAAYABgBZAQAA1QUAAAAA&#10;">
                        <v:fill on="f" focussize="0,0"/>
                        <v:stroke weight="1pt" color="#000000 [3213]" miterlimit="8" joinstyle="miter" endarrow="open"/>
                        <v:imagedata o:title=""/>
                        <o:lock v:ext="edit" aspectratio="f"/>
                      </v:shape>
                      <v:shape id="直接箭头连接符 17" o:spid="_x0000_s1026" o:spt="32" type="#_x0000_t32" style="position:absolute;left:2622550;top:1812925;height:278130;width:0;" filled="f" stroked="t" coordsize="21600,21600" o:gfxdata="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&#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BYAAABkcnMvUEsBAhQAFAAAAAgAh07iQLb9ubTXAAAACAEAAA8AAAAAAAAAAQAgAAAAOAAAAGRy&#10;cy9kb3ducmV2LnhtbFBLAQIUABQAAAAIAIdO4kBktupDKQIAAC8EAAAOAAAAAAAAAAEAIAAAADwB&#10;AABkcnMvZTJvRG9jLnhtbFBLBQYAAAAABgAGAFkBAADXBQAAAAA=&#10;">
                        <v:fill on="f" focussize="0,0"/>
                        <v:stroke weight="1pt" color="#000000 [3213]" miterlimit="8" joinstyle="miter" endarrow="open"/>
                        <v:imagedata o:title=""/>
                        <o:lock v:ext="edit" aspectratio="f"/>
                      </v:shape>
                      <v:rect id="矩形 18" o:spid="_x0000_s1026" o:spt="1" style="position:absolute;left:2260600;top:2757805;height:358140;width:723265;v-text-anchor:middle;" filled="f" stroked="f" coordsize="21600,21600" o:gfxdata="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BYAAABkcnMvUEsBAhQAFAAAAAgAh07iQC6mBD/aAAAACAEAAA8AAAAA&#10;AAAAAQAgAAAAOAAAAGRycy9kb3ducmV2LnhtbFBLAQIUABQAAAAIAIdO4kARV6sbbgIAALoEAAAO&#10;AAAAAAAAAAEAIAAAAD8BAABkcnMvZTJvRG9jLnhtbFBLBQYAAAAABgAGAFkBAAAfBgAAAAA=&#10;">
                        <v:fill on="f" focussize="0,0"/>
                        <v:stroke on="f" weight="0.5pt" miterlimit="8" joinstyle="miter"/>
                        <v:imagedata o:title=""/>
                        <o:lock v:ext="edit" aspectratio="f"/>
                        <v:textbox>
                          <w:txbxContent>
                            <w:p>
                              <w:pPr>
                                <w:jc w:val="center"/>
                                <w:rPr>
                                  <w:rFonts w:hint="eastAsia" w:eastAsia="宋体"/>
                                  <w:lang w:eastAsia="zh-CN"/>
                                </w:rPr>
                              </w:pPr>
                              <w:r>
                                <w:rPr>
                                  <w:rFonts w:hint="eastAsia" w:eastAsia="宋体"/>
                                  <w:lang w:eastAsia="zh-CN"/>
                                </w:rPr>
                                <w:t>入库</w:t>
                              </w:r>
                            </w:p>
                          </w:txbxContent>
                        </v:textbox>
                      </v:rect>
                      <v:shape id="直接箭头连接符 19" o:spid="_x0000_s1026" o:spt="32" type="#_x0000_t32" style="position:absolute;left:2622550;top:2449195;height:308610;width:0;" filled="f" stroked="t" coordsize="21600,21600" o:gfxdata="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tv25tNcAAAAIAQAADwAAAAAAAAABACAAAAA4AAAA&#10;ZHJzL2Rvd25yZXYueG1sUEsBAhQAFAAAAAgAh07iQIFJdPcrAgAALwQAAA4AAAAAAAAAAQAgAAAA&#10;PAEAAGRycy9lMm9Eb2MueG1sUEsFBgAAAAAGAAYAWQEAANkFAAAAAA==&#10;">
                        <v:fill on="f" focussize="0,0"/>
                        <v:stroke weight="1pt" color="#000000 [3213]" miterlimit="8" joinstyle="miter" endarrow="open"/>
                        <v:imagedata o:title=""/>
                        <o:lock v:ext="edit" aspectratio="f"/>
                      </v:shape>
                      <v:rect id="矩形 20" o:spid="_x0000_s1026" o:spt="1" style="position:absolute;left:3422650;top:1872615;height:1449705;width:1351280;v-text-anchor:middle;" filled="f" stroked="f" coordsize="21600,21600" o:gfxdata="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FgAAAGRycy9QSwECFAAUAAAACACHTuJALqYEP9oAAAAIAQAADwAAAAAA&#10;AAABACAAAAA4AAAAZHJzL2Rvd25yZXYueG1sUEsBAhQAFAAAAAgAh07iQFQL88ttAgAAvAQAAA4A&#10;AAAAAAAAAQAgAAAAPwEAAGRycy9lMm9Eb2MueG1sUEsFBgAAAAAGAAYAWQEAAB4GAAAAAA==&#10;">
                        <v:fill on="f" focussize="0,0"/>
                        <v:stroke on="f" weight="0.5pt" miterlimit="8" joinstyle="miter"/>
                        <v:imagedata o:title=""/>
                        <o:lock v:ext="edit" aspectratio="f"/>
                        <v:textbox>
                          <w:txbxContent>
                            <w:p>
                              <w:pPr>
                                <w:jc w:val="both"/>
                                <w:rPr>
                                  <w:rFonts w:hint="default"/>
                                  <w:color w:val="auto"/>
                                  <w:lang w:val="en-US" w:eastAsia="zh-CN"/>
                                </w:rPr>
                              </w:pPr>
                              <w:r>
                                <w:rPr>
                                  <w:rFonts w:hint="eastAsia"/>
                                  <w:color w:val="auto"/>
                                  <w:lang w:val="en-US" w:eastAsia="zh-CN"/>
                                </w:rPr>
                                <w:t>G1-3</w:t>
                              </w:r>
                              <w:r>
                                <w:rPr>
                                  <w:rFonts w:hint="eastAsia" w:ascii="Times New Roman" w:eastAsia="宋体" w:cs="Times New Roman"/>
                                  <w:b w:val="0"/>
                                  <w:bCs/>
                                  <w:color w:val="auto"/>
                                  <w:kern w:val="2"/>
                                  <w:sz w:val="21"/>
                                  <w:szCs w:val="21"/>
                                  <w:lang w:eastAsia="zh-CN"/>
                                </w:rPr>
                                <w:t>下料</w:t>
                              </w:r>
                              <w:r>
                                <w:rPr>
                                  <w:rFonts w:hint="eastAsia" w:ascii="Times New Roman" w:hAnsi="Times New Roman" w:eastAsia="宋体" w:cs="Times New Roman"/>
                                  <w:b w:val="0"/>
                                  <w:bCs w:val="0"/>
                                  <w:color w:val="auto"/>
                                  <w:kern w:val="2"/>
                                  <w:sz w:val="21"/>
                                  <w:szCs w:val="24"/>
                                  <w:lang w:val="en-US" w:eastAsia="zh-CN" w:bidi="ar-SA"/>
                                </w:rPr>
                                <w:t>切割粉尘</w:t>
                              </w:r>
                              <w:r>
                                <w:rPr>
                                  <w:rFonts w:hint="eastAsia"/>
                                  <w:color w:val="auto"/>
                                  <w:lang w:val="en-US" w:eastAsia="zh-CN"/>
                                </w:rPr>
                                <w:t>、</w:t>
                              </w:r>
                            </w:p>
                            <w:p>
                              <w:pPr>
                                <w:jc w:val="center"/>
                                <w:rPr>
                                  <w:rFonts w:hint="eastAsia" w:eastAsia="宋体"/>
                                  <w:color w:val="auto"/>
                                  <w:lang w:val="en-US" w:eastAsia="zh-CN"/>
                                </w:rPr>
                              </w:pPr>
                              <w:r>
                                <w:rPr>
                                  <w:rFonts w:hint="eastAsia"/>
                                  <w:color w:val="auto"/>
                                  <w:lang w:val="en-US" w:eastAsia="zh-CN"/>
                                </w:rPr>
                                <w:t>G1-4</w:t>
                              </w:r>
                              <w:r>
                                <w:rPr>
                                  <w:rFonts w:hint="eastAsia"/>
                                  <w:bCs/>
                                  <w:color w:val="auto"/>
                                  <w:szCs w:val="21"/>
                                  <w:lang w:eastAsia="zh-CN"/>
                                </w:rPr>
                                <w:t>打磨</w:t>
                              </w:r>
                              <w:r>
                                <w:rPr>
                                  <w:rFonts w:hint="eastAsia"/>
                                  <w:bCs/>
                                  <w:color w:val="auto"/>
                                  <w:szCs w:val="21"/>
                                </w:rPr>
                                <w:t>粉尘</w:t>
                              </w:r>
                              <w:r>
                                <w:rPr>
                                  <w:rFonts w:hint="eastAsia"/>
                                  <w:bCs/>
                                  <w:color w:val="auto"/>
                                  <w:szCs w:val="21"/>
                                  <w:lang w:eastAsia="zh-CN"/>
                                </w:rPr>
                                <w:t>、</w:t>
                              </w:r>
                            </w:p>
                            <w:p>
                              <w:pPr>
                                <w:jc w:val="center"/>
                                <w:rPr>
                                  <w:rFonts w:hint="default"/>
                                  <w:color w:val="auto"/>
                                  <w:lang w:val="en-US" w:eastAsia="zh-CN"/>
                                </w:rPr>
                              </w:pPr>
                              <w:r>
                                <w:rPr>
                                  <w:rFonts w:hint="eastAsia"/>
                                  <w:color w:val="auto"/>
                                  <w:lang w:val="en-US" w:eastAsia="zh-CN"/>
                                </w:rPr>
                                <w:t>G1-5机加工废气、</w:t>
                              </w:r>
                            </w:p>
                            <w:p>
                              <w:pPr>
                                <w:jc w:val="center"/>
                                <w:rPr>
                                  <w:rFonts w:hint="eastAsia"/>
                                  <w:color w:val="auto"/>
                                  <w:lang w:val="en-US" w:eastAsia="zh-CN"/>
                                </w:rPr>
                              </w:pPr>
                              <w:r>
                                <w:rPr>
                                  <w:rFonts w:hint="eastAsia"/>
                                  <w:color w:val="auto"/>
                                  <w:lang w:val="en-US" w:eastAsia="zh-CN"/>
                                </w:rPr>
                                <w:t>S1-5废</w:t>
                              </w:r>
                              <w:r>
                                <w:rPr>
                                  <w:rFonts w:hint="eastAsia"/>
                                  <w:color w:val="auto"/>
                                  <w:vertAlign w:val="baseline"/>
                                  <w:lang w:eastAsia="zh-CN"/>
                                </w:rPr>
                                <w:t>金属屑</w:t>
                              </w:r>
                              <w:r>
                                <w:rPr>
                                  <w:rFonts w:hint="eastAsia"/>
                                  <w:color w:val="auto"/>
                                  <w:lang w:val="en-US" w:eastAsia="zh-CN"/>
                                </w:rPr>
                                <w:t>、</w:t>
                              </w:r>
                            </w:p>
                            <w:p>
                              <w:pPr>
                                <w:jc w:val="center"/>
                                <w:rPr>
                                  <w:rFonts w:hint="eastAsia" w:ascii="Times New Roman" w:hAnsi="Times New Roman" w:eastAsia="宋体"/>
                                  <w:bCs/>
                                  <w:color w:val="auto"/>
                                  <w:spacing w:val="0"/>
                                  <w:kern w:val="0"/>
                                  <w:szCs w:val="24"/>
                                  <w:lang w:eastAsia="zh-CN"/>
                                </w:rPr>
                              </w:pPr>
                              <w:r>
                                <w:rPr>
                                  <w:rFonts w:hint="eastAsia"/>
                                  <w:color w:val="auto"/>
                                  <w:lang w:val="en-US" w:eastAsia="zh-CN"/>
                                </w:rPr>
                                <w:t>S1-6</w:t>
                              </w:r>
                              <w:r>
                                <w:rPr>
                                  <w:rFonts w:hint="eastAsia" w:ascii="Times New Roman" w:hAnsi="Times New Roman" w:eastAsia="宋体"/>
                                  <w:bCs/>
                                  <w:color w:val="auto"/>
                                  <w:spacing w:val="0"/>
                                  <w:kern w:val="0"/>
                                  <w:szCs w:val="24"/>
                                </w:rPr>
                                <w:t>废切削液</w:t>
                              </w:r>
                              <w:r>
                                <w:rPr>
                                  <w:rFonts w:hint="eastAsia" w:ascii="Times New Roman" w:hAnsi="Times New Roman" w:eastAsia="宋体"/>
                                  <w:bCs/>
                                  <w:color w:val="auto"/>
                                  <w:spacing w:val="0"/>
                                  <w:kern w:val="0"/>
                                  <w:szCs w:val="24"/>
                                  <w:lang w:eastAsia="zh-CN"/>
                                </w:rPr>
                                <w:t>、</w:t>
                              </w:r>
                            </w:p>
                            <w:p>
                              <w:pPr>
                                <w:jc w:val="center"/>
                                <w:rPr>
                                  <w:rFonts w:hint="eastAsia" w:ascii="Times New Roman" w:hAnsi="Times New Roman" w:eastAsia="宋体"/>
                                  <w:bCs/>
                                  <w:color w:val="auto"/>
                                  <w:spacing w:val="0"/>
                                  <w:kern w:val="0"/>
                                  <w:szCs w:val="24"/>
                                  <w:lang w:eastAsia="zh-CN"/>
                                </w:rPr>
                              </w:pPr>
                              <w:r>
                                <w:rPr>
                                  <w:rFonts w:hint="eastAsia"/>
                                  <w:color w:val="auto"/>
                                  <w:lang w:val="en-US" w:eastAsia="zh-CN"/>
                                </w:rPr>
                                <w:t>S1-7</w:t>
                              </w:r>
                              <w:r>
                                <w:rPr>
                                  <w:rFonts w:hint="eastAsia" w:ascii="Times New Roman" w:hAnsi="Times New Roman" w:eastAsia="宋体"/>
                                  <w:bCs/>
                                  <w:color w:val="auto"/>
                                  <w:spacing w:val="0"/>
                                  <w:kern w:val="0"/>
                                  <w:szCs w:val="24"/>
                                  <w:lang w:eastAsia="zh-CN"/>
                                </w:rPr>
                                <w:t>废润滑油、</w:t>
                              </w:r>
                            </w:p>
                            <w:p>
                              <w:pPr>
                                <w:jc w:val="center"/>
                                <w:rPr>
                                  <w:rFonts w:hint="default"/>
                                  <w:color w:val="auto"/>
                                  <w:lang w:val="en-US" w:eastAsia="zh-CN"/>
                                </w:rPr>
                              </w:pPr>
                              <w:r>
                                <w:rPr>
                                  <w:rFonts w:hint="eastAsia"/>
                                  <w:color w:val="auto"/>
                                  <w:lang w:val="en-US" w:eastAsia="zh-CN"/>
                                </w:rPr>
                                <w:t>S1-8</w:t>
                              </w:r>
                              <w:r>
                                <w:rPr>
                                  <w:rFonts w:hint="eastAsia" w:ascii="Times New Roman" w:hAnsi="Times New Roman" w:eastAsia="宋体"/>
                                  <w:bCs/>
                                  <w:color w:val="auto"/>
                                  <w:spacing w:val="0"/>
                                  <w:kern w:val="0"/>
                                  <w:szCs w:val="24"/>
                                  <w:lang w:eastAsia="zh-CN"/>
                                </w:rPr>
                                <w:t>废乳化液、</w:t>
                              </w:r>
                              <w:r>
                                <w:rPr>
                                  <w:rFonts w:hint="eastAsia" w:ascii="Times New Roman" w:hAnsi="Times New Roman" w:eastAsia="宋体"/>
                                  <w:bCs/>
                                  <w:color w:val="auto"/>
                                  <w:spacing w:val="0"/>
                                  <w:kern w:val="0"/>
                                  <w:szCs w:val="24"/>
                                  <w:lang w:val="en-US" w:eastAsia="zh-CN"/>
                                </w:rPr>
                                <w:t>N</w:t>
                              </w:r>
                            </w:p>
                          </w:txbxContent>
                        </v:textbox>
                      </v:rect>
                      <v:shape id="直接箭头连接符 16" o:spid="_x0000_s1026" o:spt="32" type="#_x0000_t32" style="position:absolute;left:2983865;top:2266315;flip:y;height:3810;width:401320;" filled="f" stroked="t" coordsize="21600,21600" o:gfxdata="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WAAAAZHJzL1BLAQIUABQAAAAIAIdO4kDom2cp2gAAAAgBAAAPAAAAAAAAAAEAIAAA&#10;ADgAAABkcnMvZG93bnJldi54bWxQSwECFAAUAAAACACHTuJAD9IjMy0CAAAhBAAADgAAAAAAAAAB&#10;ACAAAAA/AQAAZHJzL2Uyb0RvYy54bWxQSwUGAAAAAAYABgBZAQAA3gUAAAAA&#10;">
                        <v:fill on="f" focussize="0,0"/>
                        <v:stroke weight="1pt" color="#000000 [3213]" miterlimit="8" joinstyle="miter" endarrow="open"/>
                        <v:imagedata o:title=""/>
                        <o:lock v:ext="edit" aspectratio="f"/>
                      </v:shape>
                      <v:rect id="矩形 20" o:spid="_x0000_s1026" o:spt="1" style="position:absolute;left:3399155;top:1254125;height:711200;width:1303655;v-text-anchor:middle;" filled="f" stroked="f" coordsize="21600,21600" o:gfxdata="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FgAAAGRycy9QSwECFAAUAAAACACHTuJALqYEP9oAAAAIAQAADwAAAAAAAAAB&#10;ACAAAAA4AAAAZHJzL2Rvd25yZXYueG1sUEsBAhQAFAAAAAgAh07iQBgOF5ZqAgAAuwQAAA4AAAAA&#10;AAAAAQAgAAAAPwEAAGRycy9lMm9Eb2MueG1sUEsFBgAAAAAGAAYAWQEAABsGAAAAAA==&#10;">
                        <v:fill on="f" focussize="0,0"/>
                        <v:stroke on="f" weight="0.5pt" miterlimit="8" joinstyle="miter"/>
                        <v:imagedata o:title=""/>
                        <o:lock v:ext="edit" aspectratio="f"/>
                        <v:textbox>
                          <w:txbxContent>
                            <w:p>
                              <w:pPr>
                                <w:jc w:val="center"/>
                                <w:rPr>
                                  <w:rFonts w:hint="eastAsia"/>
                                  <w:lang w:eastAsia="zh-CN"/>
                                </w:rPr>
                              </w:pPr>
                              <w:r>
                                <w:rPr>
                                  <w:rFonts w:hint="eastAsia"/>
                                  <w:lang w:val="en-US" w:eastAsia="zh-CN"/>
                                </w:rPr>
                                <w:t>G1-2</w:t>
                              </w:r>
                              <w:r>
                                <w:rPr>
                                  <w:rFonts w:hint="eastAsia"/>
                                  <w:lang w:eastAsia="zh-CN"/>
                                </w:rPr>
                                <w:t>燃烧废气、</w:t>
                              </w:r>
                            </w:p>
                            <w:p>
                              <w:pPr>
                                <w:jc w:val="center"/>
                                <w:rPr>
                                  <w:rFonts w:hint="eastAsia"/>
                                  <w:lang w:val="en-US" w:eastAsia="zh-CN"/>
                                </w:rPr>
                              </w:pPr>
                              <w:r>
                                <w:rPr>
                                  <w:rFonts w:hint="eastAsia"/>
                                  <w:lang w:val="en-US" w:eastAsia="zh-CN"/>
                                </w:rPr>
                                <w:t>W1-1冷却水</w:t>
                              </w:r>
                              <w:r>
                                <w:rPr>
                                  <w:rFonts w:hint="eastAsia"/>
                                  <w:lang w:eastAsia="zh-CN"/>
                                </w:rPr>
                                <w:t>、</w:t>
                              </w:r>
                            </w:p>
                            <w:p>
                              <w:pPr>
                                <w:jc w:val="center"/>
                                <w:rPr>
                                  <w:rFonts w:hint="default"/>
                                  <w:lang w:val="en-US" w:eastAsia="zh-CN"/>
                                </w:rPr>
                              </w:pPr>
                              <w:r>
                                <w:rPr>
                                  <w:rFonts w:hint="eastAsia"/>
                                  <w:color w:val="auto"/>
                                  <w:lang w:val="en-US" w:eastAsia="zh-CN"/>
                                </w:rPr>
                                <w:t>S1-4沉渣</w:t>
                              </w:r>
                              <w:r>
                                <w:rPr>
                                  <w:rFonts w:hint="eastAsia"/>
                                  <w:color w:val="auto"/>
                                  <w:lang w:eastAsia="zh-CN"/>
                                </w:rPr>
                                <w:t>、</w:t>
                              </w:r>
                              <w:r>
                                <w:rPr>
                                  <w:rFonts w:hint="eastAsia"/>
                                  <w:lang w:val="en-US" w:eastAsia="zh-CN"/>
                                </w:rPr>
                                <w:t>N</w:t>
                              </w:r>
                            </w:p>
                          </w:txbxContent>
                        </v:textbox>
                      </v:rect>
                      <v:shape id="直接箭头连接符 16" o:spid="_x0000_s1026" o:spt="32" type="#_x0000_t32" style="position:absolute;left:2975610;top:1642110;flip:y;height:3810;width:401320;" filled="f" stroked="t" coordsize="21600,21600" o:gfxdata="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BYAAABkcnMvUEsBAhQA&#10;FAAAAAgAh07iQOibZynaAAAACAEAAA8AAAAAAAAAAQAgAAAAOAAAAGRycy9kb3ducmV2LnhtbFBL&#10;AQIUABQAAAAIAIdO4kCDZmCtFwIAAPoDAAAOAAAAAAAAAAEAIAAAAD8BAABkcnMvZTJvRG9jLnht&#10;bFBLBQYAAAAABgAGAFkBAADIBQAAAAA=&#10;">
                        <v:fill on="f" focussize="0,0"/>
                        <v:stroke weight="1pt" color="#000000 [3213]" miterlimit="8" joinstyle="miter" endarrow="open"/>
                        <v:imagedata o:title=""/>
                        <o:lock v:ext="edit" aspectratio="f"/>
                      </v:shape>
                      <v:rect id="矩形 20" o:spid="_x0000_s1026" o:spt="1" style="position:absolute;left:3405505;top:447675;height:857250;width:1280795;v-text-anchor:middle;" filled="f" stroked="f" coordsize="21600,21600" o:gfxdata="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FgAAAGRycy9QSwECFAAUAAAACACHTuJALqYEP9oAAAAIAQAADwAAAAAAAAAB&#10;ACAAAAA4AAAAZHJzL2Rvd25yZXYueG1sUEsBAhQAFAAAAAgAh07iQLX2ripqAgAAugQAAA4AAAAA&#10;AAAAAQAgAAAAPwEAAGRycy9lMm9Eb2MueG1sUEsFBgAAAAAGAAYAWQEAABsGAAAAAA==&#10;">
                        <v:fill on="f" focussize="0,0"/>
                        <v:stroke on="f" weight="0.5pt" miterlimit="8" joinstyle="miter"/>
                        <v:imagedata o:title=""/>
                        <o:lock v:ext="edit" aspectratio="f"/>
                        <v:textbox>
                          <w:txbxContent>
                            <w:p>
                              <w:pPr>
                                <w:jc w:val="center"/>
                                <w:rPr>
                                  <w:rFonts w:hint="default"/>
                                  <w:lang w:val="en-US" w:eastAsia="zh-CN"/>
                                </w:rPr>
                              </w:pPr>
                              <w:r>
                                <w:rPr>
                                  <w:rFonts w:hint="eastAsia"/>
                                  <w:lang w:val="en-US" w:eastAsia="zh-CN"/>
                                </w:rPr>
                                <w:t>G1-1</w:t>
                              </w:r>
                              <w:r>
                                <w:rPr>
                                  <w:rFonts w:hint="eastAsia"/>
                                  <w:lang w:eastAsia="zh-CN"/>
                                </w:rPr>
                                <w:t>燃烧废气、</w:t>
                              </w:r>
                              <w:r>
                                <w:rPr>
                                  <w:rFonts w:hint="eastAsia"/>
                                  <w:color w:val="auto"/>
                                  <w:lang w:val="en-US" w:eastAsia="zh-CN"/>
                                </w:rPr>
                                <w:t>S1-1废氧化皮、S1-2废边角料、</w:t>
                              </w:r>
                              <w:r>
                                <w:rPr>
                                  <w:rFonts w:hint="eastAsia" w:ascii="Times New Roman" w:hAnsi="Times New Roman" w:eastAsia="宋体" w:cs="Times New Roman"/>
                                  <w:b w:val="0"/>
                                  <w:bCs w:val="0"/>
                                  <w:color w:val="auto"/>
                                  <w:lang w:val="en-US" w:eastAsia="zh-CN"/>
                                </w:rPr>
                                <w:t>S1-3废液压油</w:t>
                              </w:r>
                              <w:r>
                                <w:rPr>
                                  <w:rFonts w:hint="eastAsia"/>
                                  <w:color w:val="auto"/>
                                  <w:lang w:val="en-US" w:eastAsia="zh-CN"/>
                                </w:rPr>
                                <w:t>、</w:t>
                              </w:r>
                              <w:r>
                                <w:rPr>
                                  <w:rFonts w:hint="eastAsia"/>
                                  <w:lang w:val="en-US" w:eastAsia="zh-CN"/>
                                </w:rPr>
                                <w:t>N</w:t>
                              </w:r>
                            </w:p>
                          </w:txbxContent>
                        </v:textbox>
                      </v:rect>
                      <v:shape id="直接箭头连接符 16" o:spid="_x0000_s1026" o:spt="32" type="#_x0000_t32" style="position:absolute;left:2990850;top:991870;flip:y;height:3810;width:401320;" filled="f" stroked="t" coordsize="21600,21600" o:gfxdata="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OibZynaAAAACAEAAA8AAAAAAAAAAQAgAAAAOAAAAGRycy9kb3ducmV2Lnht&#10;bFBLAQIUABQAAAAIAIdO4kCMwGV+GgIAAPkDAAAOAAAAAAAAAAEAIAAAAD8BAABkcnMvZTJvRG9j&#10;LnhtbFBLBQYAAAAABgAGAFkBAADLBQAAAAA=&#10;">
                        <v:fill on="f" focussize="0,0"/>
                        <v:stroke weight="1pt" color="#000000 [3213]" miterlimit="8" joinstyle="miter" endarrow="open"/>
                        <v:imagedata o:title=""/>
                        <o:lock v:ext="edit" aspectratio="f"/>
                      </v:shape>
                      <w10:wrap type="topAndBottom"/>
                    </v:group>
                  </w:pict>
                </mc:Fallback>
              </mc:AlternateContent>
            </w:r>
            <w:r>
              <w:rPr>
                <w:b/>
                <w:color w:val="auto"/>
                <w:szCs w:val="21"/>
              </w:rPr>
              <w:t>图2-</w:t>
            </w:r>
            <w:r>
              <w:rPr>
                <w:rFonts w:hint="eastAsia"/>
                <w:b/>
                <w:color w:val="auto"/>
                <w:szCs w:val="21"/>
                <w:lang w:val="en-US" w:eastAsia="zh-CN"/>
              </w:rPr>
              <w:t>5</w:t>
            </w:r>
            <w:r>
              <w:rPr>
                <w:b/>
                <w:color w:val="auto"/>
                <w:szCs w:val="21"/>
              </w:rPr>
              <w:t xml:space="preserve"> 现有项目</w:t>
            </w:r>
            <w:r>
              <w:rPr>
                <w:rFonts w:hint="eastAsia"/>
                <w:b/>
                <w:color w:val="auto"/>
                <w:szCs w:val="21"/>
                <w:lang w:eastAsia="zh-CN"/>
              </w:rPr>
              <w:t>锻件</w:t>
            </w:r>
            <w:r>
              <w:rPr>
                <w:b/>
                <w:color w:val="auto"/>
                <w:szCs w:val="21"/>
              </w:rPr>
              <w:t>生产工艺流程</w:t>
            </w:r>
          </w:p>
          <w:p>
            <w:pPr>
              <w:keepNext w:val="0"/>
              <w:keepLines w:val="0"/>
              <w:pageBreakBefore w:val="0"/>
              <w:widowControl/>
              <w:kinsoku/>
              <w:wordWrap/>
              <w:overflowPunct/>
              <w:topLinePunct w:val="0"/>
              <w:autoSpaceDE/>
              <w:autoSpaceDN/>
              <w:bidi w:val="0"/>
              <w:adjustRightInd/>
              <w:snapToGrid/>
              <w:spacing w:beforeAutospacing="0" w:afterAutospacing="0" w:line="500" w:lineRule="exact"/>
              <w:ind w:firstLine="420" w:firstLineChars="200"/>
              <w:contextualSpacing/>
              <w:jc w:val="left"/>
              <w:textAlignment w:val="auto"/>
              <w:rPr>
                <w:rFonts w:hint="eastAsia" w:eastAsia="宋体"/>
                <w:szCs w:val="21"/>
                <w:lang w:val="en-US" w:eastAsia="zh-CN"/>
              </w:rPr>
            </w:pPr>
            <w:r>
              <w:rPr>
                <w:rFonts w:hint="eastAsia" w:eastAsia="宋体"/>
                <w:szCs w:val="21"/>
                <w:lang w:val="en-US" w:eastAsia="zh-CN"/>
              </w:rPr>
              <w:t>工艺流程说明:</w:t>
            </w:r>
          </w:p>
          <w:p>
            <w:pPr>
              <w:keepNext w:val="0"/>
              <w:keepLines w:val="0"/>
              <w:pageBreakBefore w:val="0"/>
              <w:widowControl/>
              <w:kinsoku/>
              <w:wordWrap/>
              <w:overflowPunct/>
              <w:topLinePunct w:val="0"/>
              <w:autoSpaceDE/>
              <w:autoSpaceDN/>
              <w:bidi w:val="0"/>
              <w:adjustRightInd/>
              <w:snapToGrid/>
              <w:spacing w:beforeAutospacing="0" w:afterAutospacing="0" w:line="500" w:lineRule="exact"/>
              <w:ind w:firstLine="420" w:firstLineChars="200"/>
              <w:contextualSpacing/>
              <w:jc w:val="left"/>
              <w:textAlignment w:val="auto"/>
              <w:rPr>
                <w:rFonts w:hint="eastAsia" w:eastAsia="宋体"/>
                <w:szCs w:val="21"/>
                <w:lang w:val="en-US" w:eastAsia="zh-CN"/>
              </w:rPr>
            </w:pPr>
            <w:r>
              <w:rPr>
                <w:rFonts w:hint="eastAsia" w:eastAsia="宋体"/>
                <w:szCs w:val="21"/>
                <w:lang w:val="en-US" w:eastAsia="zh-CN"/>
              </w:rPr>
              <w:t>(1)锻造加热</w:t>
            </w:r>
            <w:r>
              <w:rPr>
                <w:rFonts w:hint="eastAsia"/>
                <w:szCs w:val="21"/>
                <w:lang w:val="en-US" w:eastAsia="zh-CN"/>
              </w:rPr>
              <w:t>：</w:t>
            </w:r>
            <w:r>
              <w:rPr>
                <w:rFonts w:hint="eastAsia" w:eastAsia="宋体"/>
                <w:szCs w:val="21"/>
                <w:lang w:val="en-US" w:eastAsia="zh-CN"/>
              </w:rPr>
              <w:t>将钢锭统一在锻造加热炉内锻造加热，锻造加热过程中使用天然气进行加热，温度控制在1220℃左右</w:t>
            </w:r>
            <w:r>
              <w:rPr>
                <w:rFonts w:hint="eastAsia"/>
                <w:szCs w:val="21"/>
                <w:lang w:val="en-US" w:eastAsia="zh-CN"/>
              </w:rPr>
              <w:t>，年加工时间为4800h</w:t>
            </w:r>
            <w:r>
              <w:rPr>
                <w:rFonts w:hint="eastAsia" w:eastAsia="宋体"/>
                <w:szCs w:val="21"/>
                <w:lang w:val="en-US" w:eastAsia="zh-CN"/>
              </w:rPr>
              <w:t>。锻造加热后镦粗、拔长、终锻成型三个工段。加热后的钢锭先进行镦粗，然后进行拔长，拔长过程中，如果未能拉成所需要的尺寸，则将拔长后的钢锭再次送入锻造加热炉中进行加热处理，加热后再次进行锻造，直达到设计尺寸，拔长至设计尺寸的钢锭最后在液压机中终锻成型。建设项目液压成型过程中会产生燃烧废气（G</w:t>
            </w:r>
            <w:r>
              <w:rPr>
                <w:rFonts w:hint="eastAsia"/>
                <w:szCs w:val="21"/>
                <w:lang w:val="en-US" w:eastAsia="zh-CN"/>
              </w:rPr>
              <w:t>1-1</w:t>
            </w:r>
            <w:r>
              <w:rPr>
                <w:rFonts w:hint="eastAsia" w:eastAsia="宋体"/>
                <w:szCs w:val="21"/>
                <w:lang w:val="en-US" w:eastAsia="zh-CN"/>
              </w:rPr>
              <w:t>）、氧化皮</w:t>
            </w:r>
            <w:r>
              <w:rPr>
                <w:rFonts w:hint="eastAsia"/>
                <w:szCs w:val="21"/>
                <w:lang w:val="en-US" w:eastAsia="zh-CN"/>
              </w:rPr>
              <w:t>（</w:t>
            </w:r>
            <w:r>
              <w:rPr>
                <w:rFonts w:hint="eastAsia" w:eastAsia="宋体"/>
                <w:szCs w:val="21"/>
                <w:lang w:val="en-US" w:eastAsia="zh-CN"/>
              </w:rPr>
              <w:t>S</w:t>
            </w:r>
            <w:r>
              <w:rPr>
                <w:rFonts w:hint="eastAsia"/>
                <w:szCs w:val="21"/>
                <w:lang w:val="en-US" w:eastAsia="zh-CN"/>
              </w:rPr>
              <w:t>1</w:t>
            </w:r>
            <w:r>
              <w:rPr>
                <w:rFonts w:hint="eastAsia" w:eastAsia="宋体"/>
                <w:szCs w:val="21"/>
                <w:lang w:val="en-US" w:eastAsia="zh-CN"/>
              </w:rPr>
              <w:t>-</w:t>
            </w:r>
            <w:r>
              <w:rPr>
                <w:rFonts w:hint="eastAsia"/>
                <w:szCs w:val="21"/>
                <w:lang w:val="en-US" w:eastAsia="zh-CN"/>
              </w:rPr>
              <w:t>1）、</w:t>
            </w:r>
            <w:r>
              <w:rPr>
                <w:rFonts w:hint="eastAsia" w:eastAsia="宋体"/>
                <w:szCs w:val="21"/>
                <w:lang w:val="en-US" w:eastAsia="zh-CN"/>
              </w:rPr>
              <w:t>边角料（S</w:t>
            </w:r>
            <w:r>
              <w:rPr>
                <w:rFonts w:hint="eastAsia"/>
                <w:szCs w:val="21"/>
                <w:lang w:val="en-US" w:eastAsia="zh-CN"/>
              </w:rPr>
              <w:t>1</w:t>
            </w:r>
            <w:r>
              <w:rPr>
                <w:rFonts w:hint="eastAsia" w:eastAsia="宋体"/>
                <w:szCs w:val="21"/>
                <w:lang w:val="en-US" w:eastAsia="zh-CN"/>
              </w:rPr>
              <w:t>-</w:t>
            </w:r>
            <w:r>
              <w:rPr>
                <w:rFonts w:hint="eastAsia"/>
                <w:szCs w:val="21"/>
                <w:lang w:val="en-US" w:eastAsia="zh-CN"/>
              </w:rPr>
              <w:t>2</w:t>
            </w:r>
            <w:r>
              <w:rPr>
                <w:rFonts w:hint="eastAsia" w:eastAsia="宋体"/>
                <w:szCs w:val="21"/>
                <w:lang w:val="en-US" w:eastAsia="zh-CN"/>
              </w:rPr>
              <w:t>）、</w:t>
            </w:r>
            <w:r>
              <w:rPr>
                <w:rFonts w:hint="eastAsia" w:ascii="Times New Roman" w:hAnsi="Times New Roman" w:eastAsia="宋体" w:cs="Times New Roman"/>
                <w:szCs w:val="21"/>
                <w:lang w:val="en-US" w:eastAsia="zh-CN"/>
              </w:rPr>
              <w:t>废液压油（</w:t>
            </w:r>
            <w:r>
              <w:rPr>
                <w:rFonts w:hint="eastAsia" w:eastAsia="宋体"/>
                <w:szCs w:val="21"/>
                <w:lang w:val="en-US" w:eastAsia="zh-CN"/>
              </w:rPr>
              <w:t>S</w:t>
            </w:r>
            <w:r>
              <w:rPr>
                <w:rFonts w:hint="eastAsia"/>
                <w:szCs w:val="21"/>
                <w:lang w:val="en-US" w:eastAsia="zh-CN"/>
              </w:rPr>
              <w:t>1</w:t>
            </w:r>
            <w:r>
              <w:rPr>
                <w:rFonts w:hint="eastAsia" w:eastAsia="宋体"/>
                <w:szCs w:val="21"/>
                <w:lang w:val="en-US" w:eastAsia="zh-CN"/>
              </w:rPr>
              <w:t>-3</w:t>
            </w:r>
            <w:r>
              <w:rPr>
                <w:rFonts w:hint="eastAsia" w:ascii="Times New Roman" w:hAnsi="Times New Roman" w:eastAsia="宋体" w:cs="Times New Roman"/>
                <w:szCs w:val="21"/>
                <w:lang w:val="en-US" w:eastAsia="zh-CN"/>
              </w:rPr>
              <w:t>）</w:t>
            </w:r>
            <w:r>
              <w:rPr>
                <w:rFonts w:hint="eastAsia" w:eastAsia="宋体"/>
                <w:szCs w:val="21"/>
                <w:lang w:val="en-US" w:eastAsia="zh-CN"/>
              </w:rPr>
              <w:t>、噪声</w:t>
            </w:r>
            <w:r>
              <w:rPr>
                <w:rFonts w:hint="eastAsia"/>
                <w:szCs w:val="21"/>
                <w:lang w:val="en-US" w:eastAsia="zh-CN"/>
              </w:rPr>
              <w:t>（N）</w:t>
            </w:r>
            <w:r>
              <w:rPr>
                <w:rFonts w:hint="eastAsia" w:eastAsia="宋体"/>
                <w:szCs w:val="21"/>
                <w:lang w:val="en-US" w:eastAsia="zh-CN"/>
              </w:rPr>
              <w:t>。</w:t>
            </w:r>
          </w:p>
          <w:p>
            <w:pPr>
              <w:keepNext w:val="0"/>
              <w:keepLines w:val="0"/>
              <w:pageBreakBefore w:val="0"/>
              <w:widowControl/>
              <w:kinsoku/>
              <w:wordWrap/>
              <w:overflowPunct/>
              <w:topLinePunct w:val="0"/>
              <w:autoSpaceDE/>
              <w:autoSpaceDN/>
              <w:bidi w:val="0"/>
              <w:adjustRightInd/>
              <w:snapToGrid/>
              <w:spacing w:beforeAutospacing="0" w:afterAutospacing="0" w:line="500" w:lineRule="exact"/>
              <w:ind w:firstLine="420" w:firstLineChars="200"/>
              <w:contextualSpacing/>
              <w:jc w:val="left"/>
              <w:textAlignment w:val="auto"/>
              <w:rPr>
                <w:rFonts w:hint="eastAsia" w:eastAsia="宋体"/>
                <w:szCs w:val="21"/>
                <w:lang w:val="en-US" w:eastAsia="zh-CN"/>
              </w:rPr>
            </w:pPr>
            <w:r>
              <w:rPr>
                <w:rFonts w:hint="eastAsia" w:eastAsia="宋体"/>
                <w:szCs w:val="21"/>
                <w:lang w:val="en-US" w:eastAsia="zh-CN"/>
              </w:rPr>
              <w:t>(</w:t>
            </w:r>
            <w:r>
              <w:rPr>
                <w:rFonts w:hint="eastAsia"/>
                <w:szCs w:val="21"/>
                <w:lang w:val="en-US" w:eastAsia="zh-CN"/>
              </w:rPr>
              <w:t>2</w:t>
            </w:r>
            <w:r>
              <w:rPr>
                <w:rFonts w:hint="eastAsia" w:eastAsia="宋体"/>
                <w:szCs w:val="21"/>
                <w:lang w:val="en-US" w:eastAsia="zh-CN"/>
              </w:rPr>
              <w:t>)锻后热处理</w:t>
            </w:r>
            <w:r>
              <w:rPr>
                <w:rFonts w:hint="eastAsia"/>
                <w:szCs w:val="21"/>
                <w:lang w:val="en-US" w:eastAsia="zh-CN"/>
              </w:rPr>
              <w:t>：</w:t>
            </w:r>
            <w:r>
              <w:rPr>
                <w:rFonts w:hint="eastAsia" w:eastAsia="宋体"/>
                <w:szCs w:val="21"/>
                <w:lang w:val="en-US" w:eastAsia="zh-CN"/>
              </w:rPr>
              <w:t>锻造后的钢锭进行锻后热处理，锻后热处理在热处理炉中进行</w:t>
            </w:r>
            <w:r>
              <w:rPr>
                <w:rFonts w:hint="eastAsia"/>
                <w:szCs w:val="21"/>
                <w:lang w:val="en-US" w:eastAsia="zh-CN"/>
              </w:rPr>
              <w:t>包含</w:t>
            </w:r>
            <w:r>
              <w:rPr>
                <w:rFonts w:hint="eastAsia" w:eastAsia="宋体"/>
                <w:szCs w:val="21"/>
                <w:lang w:val="en-US" w:eastAsia="zh-CN"/>
              </w:rPr>
              <w:t>‌正火、回火、淬火、回火，年加工时间为7200h。</w:t>
            </w:r>
          </w:p>
          <w:p>
            <w:pPr>
              <w:spacing w:line="500" w:lineRule="exact"/>
              <w:ind w:firstLine="42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b w:val="0"/>
                <w:bCs w:val="0"/>
                <w:color w:val="auto"/>
                <w:lang w:eastAsia="zh-CN"/>
              </w:rPr>
              <w:t>‌正火、回火</w:t>
            </w:r>
            <w:r>
              <w:rPr>
                <w:rFonts w:hint="eastAsia" w:cs="Times New Roman"/>
                <w:b w:val="0"/>
                <w:bCs w:val="0"/>
                <w:color w:val="auto"/>
                <w:lang w:eastAsia="zh-CN"/>
              </w:rPr>
              <w:t>：</w:t>
            </w:r>
            <w:r>
              <w:rPr>
                <w:rFonts w:hint="eastAsia" w:ascii="Times New Roman" w:hAnsi="Times New Roman" w:eastAsia="宋体" w:cs="Times New Roman"/>
                <w:color w:val="auto"/>
                <w:lang w:eastAsia="zh-CN"/>
              </w:rPr>
              <w:t>正火将金属加热至</w:t>
            </w:r>
            <w:r>
              <w:rPr>
                <w:rFonts w:hint="eastAsia" w:ascii="Times New Roman" w:hAnsi="Times New Roman" w:eastAsia="宋体" w:cs="Times New Roman"/>
                <w:color w:val="auto"/>
                <w:lang w:val="en-US" w:eastAsia="zh-CN"/>
              </w:rPr>
              <w:t>800~900</w:t>
            </w:r>
            <w:r>
              <w:rPr>
                <w:rFonts w:hint="eastAsia" w:ascii="Times New Roman" w:hAnsi="Times New Roman" w:eastAsia="宋体" w:cs="Times New Roman"/>
                <w:color w:val="auto"/>
                <w:lang w:eastAsia="zh-CN"/>
              </w:rPr>
              <w:t>℃‌，保温后通过空气、喷水或喷雾等方式冷却‌，回火使用</w:t>
            </w:r>
            <w:r>
              <w:rPr>
                <w:rFonts w:hint="eastAsia" w:ascii="Times New Roman" w:hAnsi="Times New Roman" w:eastAsia="宋体" w:cs="Times New Roman"/>
                <w:color w:val="auto"/>
                <w:lang w:val="en-US" w:eastAsia="zh-CN"/>
              </w:rPr>
              <w:t>退火炉</w:t>
            </w:r>
            <w:r>
              <w:rPr>
                <w:rFonts w:hint="eastAsia" w:ascii="Times New Roman" w:hAnsi="Times New Roman" w:eastAsia="宋体" w:cs="Times New Roman"/>
                <w:color w:val="auto"/>
                <w:lang w:eastAsia="zh-CN"/>
              </w:rPr>
              <w:t>加热，采用天然气加热，加热至</w:t>
            </w:r>
            <w:r>
              <w:rPr>
                <w:rFonts w:hint="eastAsia" w:ascii="Times New Roman" w:hAnsi="Times New Roman" w:eastAsia="宋体" w:cs="Times New Roman"/>
                <w:color w:val="auto"/>
                <w:lang w:val="en-US" w:eastAsia="zh-CN"/>
              </w:rPr>
              <w:t>500~700</w:t>
            </w:r>
            <w:r>
              <w:rPr>
                <w:rFonts w:hint="eastAsia" w:ascii="Times New Roman" w:hAnsi="Times New Roman" w:eastAsia="宋体" w:cs="Times New Roman"/>
                <w:color w:val="auto"/>
                <w:lang w:eastAsia="zh-CN"/>
              </w:rPr>
              <w:t>℃以下某一温度保温后炉冷</w:t>
            </w:r>
            <w:r>
              <w:rPr>
                <w:rFonts w:hint="eastAsia" w:ascii="Times New Roman" w:hAnsi="Times New Roman" w:eastAsia="宋体" w:cs="Times New Roman"/>
                <w:color w:val="auto"/>
                <w:lang w:val="en-US" w:eastAsia="zh-CN"/>
              </w:rPr>
              <w:t>。</w:t>
            </w:r>
          </w:p>
          <w:p>
            <w:pPr>
              <w:spacing w:line="500" w:lineRule="exact"/>
              <w:ind w:firstLine="420" w:firstLineChars="200"/>
              <w:rPr>
                <w:rFonts w:hint="eastAsia" w:ascii="Times New Roman" w:hAnsi="Times New Roman" w:eastAsia="宋体" w:cs="Times New Roman"/>
                <w:color w:val="auto"/>
                <w:lang w:eastAsia="zh-CN"/>
              </w:rPr>
            </w:pPr>
            <w:r>
              <w:rPr>
                <w:rFonts w:hint="eastAsia" w:cs="Times New Roman"/>
                <w:b w:val="0"/>
                <w:bCs w:val="0"/>
                <w:color w:val="auto"/>
                <w:lang w:val="en-US" w:eastAsia="zh-CN"/>
              </w:rPr>
              <w:t>淬火</w:t>
            </w:r>
            <w:r>
              <w:rPr>
                <w:rFonts w:hint="eastAsia" w:ascii="Times New Roman" w:hAnsi="Times New Roman" w:eastAsia="宋体" w:cs="Times New Roman"/>
                <w:b w:val="0"/>
                <w:bCs w:val="0"/>
                <w:color w:val="auto"/>
                <w:lang w:val="en-US" w:eastAsia="zh-CN"/>
              </w:rPr>
              <w:t>、回火</w:t>
            </w:r>
            <w:r>
              <w:rPr>
                <w:rFonts w:hint="eastAsia" w:cs="Times New Roman"/>
                <w:b w:val="0"/>
                <w:bCs w:val="0"/>
                <w:color w:val="auto"/>
                <w:lang w:val="en-US" w:eastAsia="zh-CN"/>
              </w:rPr>
              <w:t>：</w:t>
            </w:r>
            <w:r>
              <w:rPr>
                <w:rFonts w:hint="eastAsia" w:ascii="Times New Roman" w:hAnsi="Times New Roman" w:eastAsia="宋体" w:cs="Times New Roman"/>
                <w:color w:val="auto"/>
                <w:lang w:val="en-US" w:eastAsia="zh-CN"/>
              </w:rPr>
              <w:t>淬火冷却后的工件硬度高、耐磨性能好。</w:t>
            </w:r>
            <w:r>
              <w:rPr>
                <w:rFonts w:hint="eastAsia" w:ascii="Times New Roman" w:hAnsi="Times New Roman" w:eastAsia="宋体" w:cs="Times New Roman"/>
                <w:color w:val="auto"/>
                <w:lang w:eastAsia="zh-CN"/>
              </w:rPr>
              <w:t>企业淬火采用水淬</w:t>
            </w:r>
            <w:r>
              <w:rPr>
                <w:rFonts w:hint="eastAsia" w:ascii="Times New Roman" w:hAnsi="Times New Roman" w:eastAsia="宋体" w:cs="Times New Roman"/>
                <w:color w:val="auto"/>
                <w:lang w:val="en-US" w:eastAsia="zh-CN"/>
              </w:rPr>
              <w:t>使用的介质是水，</w:t>
            </w:r>
            <w:r>
              <w:rPr>
                <w:rFonts w:hint="eastAsia" w:ascii="Times New Roman" w:hAnsi="Times New Roman" w:eastAsia="宋体" w:cs="Times New Roman"/>
                <w:color w:val="auto"/>
                <w:lang w:eastAsia="zh-CN"/>
              </w:rPr>
              <w:t>经过淬火后的工件需要再加热至500-700℃回火，回火使淬火所得的不稳定组织转变为稳定组织，适当降低硬度及强度，并提高塑性和韧性，减小或消除残余应力，然后出炉空冷至室温，</w:t>
            </w:r>
            <w:r>
              <w:rPr>
                <w:rFonts w:hint="eastAsia" w:cs="Times New Roman"/>
                <w:color w:val="auto"/>
                <w:lang w:val="en-US" w:eastAsia="zh-CN"/>
              </w:rPr>
              <w:t>淬火</w:t>
            </w:r>
            <w:r>
              <w:rPr>
                <w:rFonts w:hint="eastAsia" w:ascii="Times New Roman" w:hAnsi="Times New Roman" w:eastAsia="宋体" w:cs="Times New Roman"/>
                <w:color w:val="auto"/>
                <w:lang w:val="en-US" w:eastAsia="zh-CN"/>
              </w:rPr>
              <w:t>、回火</w:t>
            </w:r>
            <w:r>
              <w:rPr>
                <w:rFonts w:hint="eastAsia" w:ascii="Times New Roman" w:hAnsi="Times New Roman" w:eastAsia="宋体" w:cs="Times New Roman"/>
                <w:color w:val="auto"/>
                <w:lang w:eastAsia="zh-CN"/>
              </w:rPr>
              <w:t>采用电加热。</w:t>
            </w:r>
          </w:p>
          <w:p>
            <w:pPr>
              <w:keepNext w:val="0"/>
              <w:keepLines w:val="0"/>
              <w:pageBreakBefore w:val="0"/>
              <w:widowControl/>
              <w:kinsoku/>
              <w:wordWrap/>
              <w:overflowPunct/>
              <w:topLinePunct w:val="0"/>
              <w:autoSpaceDE/>
              <w:autoSpaceDN/>
              <w:bidi w:val="0"/>
              <w:adjustRightInd/>
              <w:snapToGrid/>
              <w:spacing w:beforeAutospacing="0" w:afterAutospacing="0" w:line="500" w:lineRule="exact"/>
              <w:ind w:firstLine="420" w:firstLineChars="200"/>
              <w:contextualSpacing/>
              <w:jc w:val="left"/>
              <w:textAlignment w:val="auto"/>
              <w:rPr>
                <w:rFonts w:hint="default" w:eastAsia="宋体"/>
                <w:szCs w:val="21"/>
                <w:lang w:val="en-US" w:eastAsia="zh-CN"/>
              </w:rPr>
            </w:pPr>
            <w:r>
              <w:rPr>
                <w:rFonts w:hint="eastAsia" w:eastAsia="宋体"/>
                <w:szCs w:val="21"/>
                <w:lang w:val="en-US" w:eastAsia="zh-CN"/>
              </w:rPr>
              <w:t>锻后热处理过程中会产生燃烧废气(G</w:t>
            </w:r>
            <w:r>
              <w:rPr>
                <w:rFonts w:hint="eastAsia"/>
                <w:szCs w:val="21"/>
                <w:lang w:val="en-US" w:eastAsia="zh-CN"/>
              </w:rPr>
              <w:t>1</w:t>
            </w:r>
            <w:r>
              <w:rPr>
                <w:rFonts w:hint="eastAsia" w:eastAsia="宋体"/>
                <w:szCs w:val="21"/>
                <w:lang w:val="en-US" w:eastAsia="zh-CN"/>
              </w:rPr>
              <w:t>-2)</w:t>
            </w:r>
            <w:r>
              <w:rPr>
                <w:rFonts w:hint="eastAsia"/>
                <w:szCs w:val="21"/>
                <w:lang w:val="en-US" w:eastAsia="zh-CN"/>
              </w:rPr>
              <w:t>、冷却水（W1-1）</w:t>
            </w:r>
            <w:r>
              <w:rPr>
                <w:rFonts w:hint="eastAsia" w:eastAsia="宋体"/>
                <w:b w:val="0"/>
                <w:bCs w:val="0"/>
                <w:szCs w:val="21"/>
                <w:lang w:val="en-US" w:eastAsia="zh-CN"/>
              </w:rPr>
              <w:t>、</w:t>
            </w:r>
            <w:r>
              <w:rPr>
                <w:rFonts w:hint="eastAsia"/>
                <w:b w:val="0"/>
                <w:bCs w:val="0"/>
                <w:color w:val="auto"/>
                <w:lang w:val="en-US" w:eastAsia="zh-CN"/>
              </w:rPr>
              <w:t>淬火沉淀渣（</w:t>
            </w:r>
            <w:r>
              <w:rPr>
                <w:rFonts w:hint="eastAsia" w:cs="Times New Roman"/>
                <w:b w:val="0"/>
                <w:bCs w:val="0"/>
                <w:color w:val="auto"/>
                <w:lang w:val="en-US" w:eastAsia="zh-CN"/>
              </w:rPr>
              <w:t>S1-4</w:t>
            </w:r>
            <w:r>
              <w:rPr>
                <w:rFonts w:hint="eastAsia"/>
                <w:b w:val="0"/>
                <w:bCs w:val="0"/>
                <w:color w:val="auto"/>
                <w:lang w:val="en-US" w:eastAsia="zh-CN"/>
              </w:rPr>
              <w:t>）、</w:t>
            </w:r>
            <w:r>
              <w:rPr>
                <w:rFonts w:hint="eastAsia" w:eastAsia="宋体"/>
                <w:szCs w:val="21"/>
                <w:lang w:val="en-US" w:eastAsia="zh-CN"/>
              </w:rPr>
              <w:t>噪声</w:t>
            </w:r>
            <w:r>
              <w:rPr>
                <w:rFonts w:hint="eastAsia"/>
                <w:szCs w:val="21"/>
                <w:lang w:val="en-US" w:eastAsia="zh-CN"/>
              </w:rPr>
              <w:t>（N）</w:t>
            </w:r>
          </w:p>
          <w:p>
            <w:pPr>
              <w:spacing w:line="500" w:lineRule="exact"/>
              <w:ind w:firstLine="420" w:firstLineChars="200"/>
              <w:rPr>
                <w:rFonts w:hint="eastAsia" w:ascii="Times New Roman" w:hAnsi="Times New Roman" w:eastAsia="宋体" w:cs="Times New Roman"/>
                <w:color w:val="auto"/>
                <w:lang w:eastAsia="zh-CN"/>
              </w:rPr>
            </w:pPr>
            <w:r>
              <w:rPr>
                <w:rFonts w:hint="eastAsia" w:eastAsia="宋体"/>
                <w:color w:val="auto"/>
                <w:szCs w:val="21"/>
                <w:lang w:val="en-US" w:eastAsia="zh-CN"/>
              </w:rPr>
              <w:t>(</w:t>
            </w:r>
            <w:r>
              <w:rPr>
                <w:rFonts w:hint="eastAsia"/>
                <w:color w:val="auto"/>
                <w:szCs w:val="21"/>
                <w:lang w:val="en-US" w:eastAsia="zh-CN"/>
              </w:rPr>
              <w:t>3</w:t>
            </w:r>
            <w:r>
              <w:rPr>
                <w:rFonts w:hint="eastAsia" w:eastAsia="宋体"/>
                <w:color w:val="auto"/>
                <w:szCs w:val="21"/>
                <w:lang w:val="en-US" w:eastAsia="zh-CN"/>
              </w:rPr>
              <w:t>)</w:t>
            </w:r>
            <w:r>
              <w:rPr>
                <w:rFonts w:hint="eastAsia" w:ascii="Times New Roman" w:hAnsi="Times New Roman" w:eastAsia="宋体" w:cs="Times New Roman"/>
                <w:color w:val="auto"/>
                <w:lang w:eastAsia="zh-CN"/>
              </w:rPr>
              <w:t>金属加工：</w:t>
            </w:r>
            <w:r>
              <w:rPr>
                <w:rFonts w:hint="default" w:ascii="Times New Roman" w:hAnsi="Times New Roman" w:eastAsia="宋体" w:cs="Times New Roman"/>
                <w:color w:val="auto"/>
                <w:lang w:eastAsia="zh-CN"/>
              </w:rPr>
              <w:t>通过高精度机床加工至最终尺寸，表面粗糙度控制，满足装配要求‌。</w:t>
            </w:r>
            <w:r>
              <w:rPr>
                <w:rFonts w:hint="eastAsia"/>
                <w:color w:val="auto"/>
                <w:vertAlign w:val="baseline"/>
                <w:lang w:eastAsia="zh-CN"/>
              </w:rPr>
              <w:t>其中包含锯床</w:t>
            </w:r>
            <w:r>
              <w:rPr>
                <w:rFonts w:hint="eastAsia"/>
                <w:color w:val="auto"/>
                <w:vertAlign w:val="baseline"/>
                <w:lang w:val="en-US" w:eastAsia="zh-CN"/>
              </w:rPr>
              <w:t>下料过程会产生切割粉尘，需对有毛边的铸件进行打磨处理</w:t>
            </w:r>
            <w:r>
              <w:rPr>
                <w:rFonts w:hint="eastAsia"/>
                <w:color w:val="auto"/>
                <w:vertAlign w:val="baseline"/>
                <w:lang w:eastAsia="zh-CN"/>
              </w:rPr>
              <w:t>，在</w:t>
            </w:r>
            <w:r>
              <w:rPr>
                <w:rFonts w:hint="default"/>
                <w:color w:val="auto"/>
                <w:vertAlign w:val="baseline"/>
                <w:lang w:eastAsia="zh-CN"/>
              </w:rPr>
              <w:t>机床加工过程中</w:t>
            </w:r>
            <w:r>
              <w:rPr>
                <w:rFonts w:hint="eastAsia"/>
                <w:color w:val="auto"/>
                <w:vertAlign w:val="baseline"/>
                <w:lang w:eastAsia="zh-CN"/>
              </w:rPr>
              <w:t>则使用水性切削液、润滑油、乳化液进行</w:t>
            </w:r>
            <w:r>
              <w:rPr>
                <w:rFonts w:hint="default"/>
                <w:color w:val="auto"/>
                <w:vertAlign w:val="baseline"/>
                <w:lang w:eastAsia="zh-CN"/>
              </w:rPr>
              <w:t>降温、润滑工件与刀具</w:t>
            </w:r>
            <w:r>
              <w:rPr>
                <w:rFonts w:hint="eastAsia"/>
                <w:color w:val="auto"/>
                <w:vertAlign w:val="baseline"/>
                <w:lang w:eastAsia="zh-CN"/>
              </w:rPr>
              <w:t>。该过程会产生下料</w:t>
            </w:r>
            <w:r>
              <w:rPr>
                <w:rFonts w:hint="eastAsia"/>
                <w:color w:val="auto"/>
                <w:vertAlign w:val="baseline"/>
                <w:lang w:val="en-US" w:eastAsia="zh-CN"/>
              </w:rPr>
              <w:t>切割粉尘（G1-3）、</w:t>
            </w:r>
            <w:r>
              <w:rPr>
                <w:rFonts w:hint="eastAsia"/>
                <w:color w:val="auto"/>
                <w:vertAlign w:val="baseline"/>
                <w:lang w:eastAsia="zh-CN"/>
              </w:rPr>
              <w:t>打磨粉尘（</w:t>
            </w:r>
            <w:r>
              <w:rPr>
                <w:rFonts w:hint="eastAsia"/>
                <w:color w:val="auto"/>
                <w:vertAlign w:val="baseline"/>
                <w:lang w:val="en-US" w:eastAsia="zh-CN"/>
              </w:rPr>
              <w:t>G1-4</w:t>
            </w:r>
            <w:r>
              <w:rPr>
                <w:rFonts w:hint="eastAsia"/>
                <w:color w:val="auto"/>
                <w:vertAlign w:val="baseline"/>
                <w:lang w:eastAsia="zh-CN"/>
              </w:rPr>
              <w:t>）、</w:t>
            </w:r>
            <w:r>
              <w:rPr>
                <w:rFonts w:hint="eastAsia"/>
                <w:bCs/>
                <w:color w:val="auto"/>
                <w:spacing w:val="0"/>
                <w:kern w:val="0"/>
                <w:szCs w:val="24"/>
                <w:lang w:eastAsia="zh-CN"/>
              </w:rPr>
              <w:t>机加工</w:t>
            </w:r>
            <w:r>
              <w:rPr>
                <w:rFonts w:hint="eastAsia" w:ascii="Times New Roman" w:hAnsi="Times New Roman" w:eastAsia="宋体"/>
                <w:bCs/>
                <w:color w:val="auto"/>
                <w:spacing w:val="0"/>
                <w:kern w:val="0"/>
                <w:szCs w:val="24"/>
                <w:lang w:eastAsia="zh-CN"/>
              </w:rPr>
              <w:t>有机废气（</w:t>
            </w:r>
            <w:r>
              <w:rPr>
                <w:rFonts w:hint="eastAsia"/>
                <w:color w:val="auto"/>
                <w:sz w:val="21"/>
                <w:szCs w:val="21"/>
                <w:lang w:val="en-US" w:eastAsia="zh-CN"/>
              </w:rPr>
              <w:t>G</w:t>
            </w:r>
            <w:r>
              <w:rPr>
                <w:rFonts w:hint="eastAsia"/>
                <w:color w:val="auto"/>
                <w:lang w:val="en-US" w:eastAsia="zh-CN"/>
              </w:rPr>
              <w:t>1-5</w:t>
            </w:r>
            <w:r>
              <w:rPr>
                <w:rFonts w:hint="eastAsia" w:ascii="Times New Roman" w:hAnsi="Times New Roman" w:eastAsia="宋体"/>
                <w:bCs/>
                <w:color w:val="auto"/>
                <w:spacing w:val="0"/>
                <w:kern w:val="0"/>
                <w:szCs w:val="24"/>
                <w:lang w:eastAsia="zh-CN"/>
              </w:rPr>
              <w:t>）</w:t>
            </w:r>
            <w:r>
              <w:rPr>
                <w:rFonts w:hint="eastAsia"/>
                <w:color w:val="auto"/>
                <w:sz w:val="21"/>
                <w:szCs w:val="21"/>
                <w:lang w:eastAsia="zh-CN"/>
              </w:rPr>
              <w:t>、</w:t>
            </w:r>
            <w:r>
              <w:rPr>
                <w:rFonts w:hint="eastAsia"/>
                <w:color w:val="auto"/>
                <w:lang w:val="en-US" w:eastAsia="zh-CN"/>
              </w:rPr>
              <w:t>废</w:t>
            </w:r>
            <w:r>
              <w:rPr>
                <w:rFonts w:hint="eastAsia"/>
                <w:color w:val="auto"/>
                <w:vertAlign w:val="baseline"/>
                <w:lang w:eastAsia="zh-CN"/>
              </w:rPr>
              <w:t>金属屑（</w:t>
            </w:r>
            <w:r>
              <w:rPr>
                <w:rFonts w:hint="eastAsia"/>
                <w:color w:val="auto"/>
                <w:lang w:val="en-US" w:eastAsia="zh-CN"/>
              </w:rPr>
              <w:t>S1-5</w:t>
            </w:r>
            <w:r>
              <w:rPr>
                <w:rFonts w:hint="eastAsia"/>
                <w:color w:val="auto"/>
                <w:vertAlign w:val="baseline"/>
                <w:lang w:eastAsia="zh-CN"/>
              </w:rPr>
              <w:t>）</w:t>
            </w:r>
            <w:r>
              <w:rPr>
                <w:rFonts w:hint="eastAsia"/>
                <w:color w:val="auto"/>
                <w:lang w:val="en-US" w:eastAsia="zh-CN"/>
              </w:rPr>
              <w:t>、</w:t>
            </w:r>
            <w:r>
              <w:rPr>
                <w:rFonts w:hint="eastAsia" w:ascii="Times New Roman" w:hAnsi="Times New Roman" w:eastAsia="宋体"/>
                <w:bCs/>
                <w:color w:val="auto"/>
                <w:spacing w:val="0"/>
                <w:kern w:val="0"/>
                <w:szCs w:val="24"/>
              </w:rPr>
              <w:t>废切削液</w:t>
            </w:r>
            <w:r>
              <w:rPr>
                <w:rFonts w:hint="eastAsia" w:ascii="Times New Roman" w:hAnsi="Times New Roman" w:eastAsia="宋体"/>
                <w:bCs/>
                <w:color w:val="auto"/>
                <w:spacing w:val="0"/>
                <w:kern w:val="0"/>
                <w:szCs w:val="24"/>
                <w:lang w:eastAsia="zh-CN"/>
              </w:rPr>
              <w:t>（</w:t>
            </w:r>
            <w:r>
              <w:rPr>
                <w:rFonts w:hint="eastAsia"/>
                <w:color w:val="auto"/>
                <w:lang w:val="en-US" w:eastAsia="zh-CN"/>
              </w:rPr>
              <w:t>S1-6</w:t>
            </w:r>
            <w:r>
              <w:rPr>
                <w:rFonts w:hint="eastAsia" w:ascii="Times New Roman" w:hAnsi="Times New Roman" w:eastAsia="宋体"/>
                <w:bCs/>
                <w:color w:val="auto"/>
                <w:spacing w:val="0"/>
                <w:kern w:val="0"/>
                <w:szCs w:val="24"/>
                <w:lang w:eastAsia="zh-CN"/>
              </w:rPr>
              <w:t>）、废润滑油（</w:t>
            </w:r>
            <w:r>
              <w:rPr>
                <w:rFonts w:hint="eastAsia"/>
                <w:color w:val="auto"/>
                <w:lang w:val="en-US" w:eastAsia="zh-CN"/>
              </w:rPr>
              <w:t>S1-7</w:t>
            </w:r>
            <w:r>
              <w:rPr>
                <w:rFonts w:hint="eastAsia" w:ascii="Times New Roman" w:hAnsi="Times New Roman" w:eastAsia="宋体"/>
                <w:bCs/>
                <w:color w:val="auto"/>
                <w:spacing w:val="0"/>
                <w:kern w:val="0"/>
                <w:szCs w:val="24"/>
                <w:lang w:eastAsia="zh-CN"/>
              </w:rPr>
              <w:t>）、废乳化液（</w:t>
            </w:r>
            <w:r>
              <w:rPr>
                <w:rFonts w:hint="eastAsia"/>
                <w:color w:val="auto"/>
                <w:lang w:val="en-US" w:eastAsia="zh-CN"/>
              </w:rPr>
              <w:t>S1-8</w:t>
            </w:r>
            <w:r>
              <w:rPr>
                <w:rFonts w:hint="eastAsia" w:ascii="Times New Roman" w:hAnsi="Times New Roman" w:eastAsia="宋体"/>
                <w:bCs/>
                <w:color w:val="auto"/>
                <w:spacing w:val="0"/>
                <w:kern w:val="0"/>
                <w:szCs w:val="24"/>
                <w:lang w:eastAsia="zh-CN"/>
              </w:rPr>
              <w:t>）、</w:t>
            </w:r>
            <w:r>
              <w:rPr>
                <w:rFonts w:hint="eastAsia" w:eastAsia="宋体"/>
                <w:color w:val="auto"/>
                <w:szCs w:val="21"/>
                <w:lang w:val="en-US" w:eastAsia="zh-CN"/>
              </w:rPr>
              <w:t>噪声</w:t>
            </w:r>
            <w:r>
              <w:rPr>
                <w:rFonts w:hint="eastAsia"/>
                <w:color w:val="auto"/>
                <w:szCs w:val="21"/>
                <w:lang w:val="en-US" w:eastAsia="zh-CN"/>
              </w:rPr>
              <w:t>（N）</w:t>
            </w:r>
            <w:r>
              <w:rPr>
                <w:rFonts w:hint="eastAsia" w:ascii="Times New Roman" w:hAnsi="Times New Roman"/>
                <w:color w:val="auto"/>
                <w:sz w:val="21"/>
                <w:szCs w:val="21"/>
              </w:rPr>
              <w:t>。</w:t>
            </w:r>
          </w:p>
          <w:p>
            <w:pPr>
              <w:keepNext w:val="0"/>
              <w:keepLines w:val="0"/>
              <w:pageBreakBefore w:val="0"/>
              <w:widowControl/>
              <w:kinsoku/>
              <w:wordWrap/>
              <w:overflowPunct/>
              <w:topLinePunct w:val="0"/>
              <w:autoSpaceDE/>
              <w:autoSpaceDN/>
              <w:bidi w:val="0"/>
              <w:adjustRightInd/>
              <w:snapToGrid/>
              <w:spacing w:beforeAutospacing="0" w:afterAutospacing="0" w:line="500" w:lineRule="exact"/>
              <w:ind w:firstLine="420" w:firstLineChars="200"/>
              <w:contextualSpacing/>
              <w:jc w:val="left"/>
              <w:textAlignment w:val="auto"/>
              <w:rPr>
                <w:rFonts w:hint="eastAsia" w:eastAsia="宋体"/>
                <w:szCs w:val="21"/>
                <w:lang w:val="en-US" w:eastAsia="zh-CN"/>
              </w:rPr>
            </w:pPr>
            <w:r>
              <w:rPr>
                <w:rFonts w:hint="eastAsia" w:eastAsia="宋体"/>
                <w:szCs w:val="21"/>
                <w:lang w:val="en-US" w:eastAsia="zh-CN"/>
              </w:rPr>
              <w:t>设备维修：建设项目设备维修时必须使用气割</w:t>
            </w:r>
            <w:r>
              <w:rPr>
                <w:rFonts w:hint="eastAsia"/>
                <w:szCs w:val="21"/>
                <w:lang w:val="en-US" w:eastAsia="zh-CN"/>
              </w:rPr>
              <w:t>，</w:t>
            </w:r>
            <w:r>
              <w:rPr>
                <w:rFonts w:hint="eastAsia" w:eastAsia="宋体"/>
                <w:szCs w:val="21"/>
                <w:lang w:val="en-US" w:eastAsia="zh-CN"/>
              </w:rPr>
              <w:t>气割选用氧气和液化石油气气割的方式，气割过程中液化石油气燃烧产生二氧化碳和水，另外还会产生少量无组织排放的粉尘(G</w:t>
            </w:r>
            <w:r>
              <w:rPr>
                <w:rFonts w:hint="eastAsia"/>
                <w:szCs w:val="21"/>
                <w:lang w:val="en-US" w:eastAsia="zh-CN"/>
              </w:rPr>
              <w:t>1</w:t>
            </w:r>
            <w:r>
              <w:rPr>
                <w:rFonts w:hint="eastAsia" w:eastAsia="宋体"/>
                <w:szCs w:val="21"/>
                <w:lang w:val="en-US" w:eastAsia="zh-CN"/>
              </w:rPr>
              <w:t>-</w:t>
            </w:r>
            <w:r>
              <w:rPr>
                <w:rFonts w:hint="eastAsia"/>
                <w:szCs w:val="21"/>
                <w:lang w:val="en-US" w:eastAsia="zh-CN"/>
              </w:rPr>
              <w:t>6</w:t>
            </w:r>
            <w:r>
              <w:rPr>
                <w:rFonts w:hint="eastAsia" w:eastAsia="宋体"/>
                <w:szCs w:val="21"/>
                <w:lang w:val="en-US" w:eastAsia="zh-CN"/>
              </w:rPr>
              <w:t>)</w:t>
            </w:r>
            <w:r>
              <w:rPr>
                <w:rFonts w:hint="eastAsia"/>
                <w:szCs w:val="21"/>
                <w:lang w:val="en-US" w:eastAsia="zh-CN"/>
              </w:rPr>
              <w:t>、</w:t>
            </w:r>
            <w:r>
              <w:rPr>
                <w:rFonts w:hint="eastAsia" w:eastAsia="宋体"/>
                <w:szCs w:val="21"/>
                <w:lang w:val="en-US" w:eastAsia="zh-CN"/>
              </w:rPr>
              <w:t>噪声</w:t>
            </w:r>
            <w:r>
              <w:rPr>
                <w:rFonts w:hint="eastAsia"/>
                <w:szCs w:val="21"/>
                <w:lang w:val="en-US" w:eastAsia="zh-CN"/>
              </w:rPr>
              <w:t>（N）</w:t>
            </w:r>
            <w:r>
              <w:rPr>
                <w:rFonts w:hint="eastAsia" w:eastAsia="宋体"/>
                <w:szCs w:val="21"/>
                <w:lang w:val="en-US" w:eastAsia="zh-CN"/>
              </w:rPr>
              <w:t>。</w:t>
            </w:r>
          </w:p>
          <w:p>
            <w:pPr>
              <w:spacing w:line="360" w:lineRule="auto"/>
              <w:ind w:firstLine="422" w:firstLineChars="200"/>
              <w:rPr>
                <w:rFonts w:ascii="Times New Roman" w:hAnsi="Times New Roman"/>
                <w:b/>
                <w:bCs/>
                <w:szCs w:val="21"/>
              </w:rPr>
            </w:pPr>
            <w:r>
              <w:rPr>
                <w:rFonts w:hint="eastAsia" w:ascii="Times New Roman" w:hAnsi="Times New Roman"/>
                <w:b/>
                <w:bCs/>
                <w:szCs w:val="21"/>
              </w:rPr>
              <w:t>4、主要污染防治设施</w:t>
            </w:r>
          </w:p>
          <w:p>
            <w:pPr>
              <w:keepNext w:val="0"/>
              <w:keepLines w:val="0"/>
              <w:pageBreakBefore w:val="0"/>
              <w:widowControl/>
              <w:kinsoku/>
              <w:wordWrap/>
              <w:overflowPunct/>
              <w:topLinePunct w:val="0"/>
              <w:autoSpaceDE/>
              <w:autoSpaceDN/>
              <w:bidi w:val="0"/>
              <w:adjustRightInd/>
              <w:snapToGrid/>
              <w:spacing w:beforeAutospacing="0" w:afterAutospacing="0" w:line="500" w:lineRule="exact"/>
              <w:ind w:firstLine="420" w:firstLineChars="200"/>
              <w:contextualSpacing/>
              <w:jc w:val="left"/>
              <w:textAlignment w:val="auto"/>
              <w:rPr>
                <w:rFonts w:hint="eastAsia" w:eastAsia="宋体"/>
                <w:szCs w:val="21"/>
                <w:lang w:val="en-US" w:eastAsia="zh-CN"/>
              </w:rPr>
            </w:pPr>
            <w:r>
              <w:rPr>
                <w:rFonts w:hint="eastAsia" w:eastAsia="宋体"/>
                <w:szCs w:val="21"/>
                <w:lang w:val="en-US" w:eastAsia="zh-CN"/>
              </w:rPr>
              <w:t>（1）废气</w:t>
            </w:r>
          </w:p>
          <w:p>
            <w:pPr>
              <w:keepNext w:val="0"/>
              <w:keepLines w:val="0"/>
              <w:pageBreakBefore w:val="0"/>
              <w:widowControl/>
              <w:kinsoku/>
              <w:wordWrap/>
              <w:overflowPunct/>
              <w:topLinePunct w:val="0"/>
              <w:autoSpaceDE/>
              <w:autoSpaceDN/>
              <w:bidi w:val="0"/>
              <w:adjustRightInd/>
              <w:snapToGrid/>
              <w:spacing w:beforeAutospacing="0" w:afterAutospacing="0" w:line="500" w:lineRule="exact"/>
              <w:ind w:firstLine="420" w:firstLineChars="200"/>
              <w:contextualSpacing/>
              <w:jc w:val="left"/>
              <w:textAlignment w:val="auto"/>
              <w:rPr>
                <w:rFonts w:hint="eastAsia" w:eastAsia="宋体"/>
                <w:szCs w:val="21"/>
                <w:lang w:val="en-US" w:eastAsia="zh-CN"/>
              </w:rPr>
            </w:pPr>
            <w:r>
              <w:rPr>
                <w:rFonts w:hint="eastAsia" w:eastAsia="宋体"/>
                <w:szCs w:val="21"/>
                <w:lang w:val="en-US" w:eastAsia="zh-CN"/>
              </w:rPr>
              <w:t>退火炉及加热炉均使用天然气作燃料，燃烧尾气分别通过排气筒排放；生产车间设置通风系统，减轻少量无组织粉尘的影响。</w:t>
            </w:r>
          </w:p>
          <w:p>
            <w:pPr>
              <w:spacing w:line="500" w:lineRule="exact"/>
              <w:jc w:val="center"/>
              <w:rPr>
                <w:b/>
                <w:bCs/>
                <w:color w:val="auto"/>
                <w:szCs w:val="21"/>
              </w:rPr>
            </w:pPr>
            <w:r>
              <w:rPr>
                <w:b/>
                <w:bCs/>
                <w:color w:val="auto"/>
                <w:szCs w:val="21"/>
              </w:rPr>
              <w:t>表 2-</w:t>
            </w:r>
            <w:r>
              <w:rPr>
                <w:rFonts w:hint="eastAsia"/>
                <w:b/>
                <w:bCs/>
                <w:color w:val="auto"/>
                <w:szCs w:val="21"/>
                <w:lang w:val="en-US" w:eastAsia="zh-CN"/>
              </w:rPr>
              <w:t>21</w:t>
            </w:r>
            <w:r>
              <w:rPr>
                <w:b/>
                <w:bCs/>
                <w:color w:val="auto"/>
                <w:szCs w:val="21"/>
              </w:rPr>
              <w:t xml:space="preserve"> 现有项目有组织废气</w:t>
            </w:r>
            <w:r>
              <w:rPr>
                <w:rFonts w:hint="eastAsia"/>
                <w:b/>
                <w:bCs/>
                <w:color w:val="auto"/>
                <w:szCs w:val="21"/>
                <w:lang w:eastAsia="zh-CN"/>
              </w:rPr>
              <w:t>验收</w:t>
            </w:r>
            <w:r>
              <w:rPr>
                <w:b/>
                <w:bCs/>
                <w:color w:val="auto"/>
                <w:szCs w:val="21"/>
              </w:rPr>
              <w:t>监测数据</w:t>
            </w:r>
          </w:p>
          <w:tbl>
            <w:tblPr>
              <w:tblStyle w:val="2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74"/>
              <w:gridCol w:w="2588"/>
              <w:gridCol w:w="1524"/>
              <w:gridCol w:w="1215"/>
              <w:gridCol w:w="8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1674" w:type="dxa"/>
                  <w:vMerge w:val="restart"/>
                  <w:noWrap w:val="0"/>
                  <w:vAlign w:val="center"/>
                </w:tcPr>
                <w:p>
                  <w:pPr>
                    <w:jc w:val="center"/>
                    <w:rPr>
                      <w:rFonts w:hint="eastAsia" w:eastAsia="宋体"/>
                      <w:color w:val="auto"/>
                      <w:sz w:val="18"/>
                      <w:szCs w:val="18"/>
                      <w:lang w:eastAsia="zh-CN"/>
                    </w:rPr>
                  </w:pPr>
                  <w:r>
                    <w:rPr>
                      <w:rFonts w:hint="eastAsia"/>
                      <w:color w:val="auto"/>
                      <w:sz w:val="18"/>
                      <w:szCs w:val="18"/>
                      <w:lang w:eastAsia="zh-CN"/>
                    </w:rPr>
                    <w:t>排放口编号</w:t>
                  </w:r>
                </w:p>
              </w:tc>
              <w:tc>
                <w:tcPr>
                  <w:tcW w:w="2588" w:type="dxa"/>
                  <w:vMerge w:val="restart"/>
                  <w:noWrap w:val="0"/>
                  <w:vAlign w:val="center"/>
                </w:tcPr>
                <w:p>
                  <w:pPr>
                    <w:jc w:val="center"/>
                    <w:rPr>
                      <w:color w:val="auto"/>
                      <w:sz w:val="18"/>
                      <w:szCs w:val="18"/>
                    </w:rPr>
                  </w:pPr>
                  <w:r>
                    <w:rPr>
                      <w:color w:val="auto"/>
                      <w:sz w:val="18"/>
                      <w:szCs w:val="18"/>
                    </w:rPr>
                    <w:t>检测内容</w:t>
                  </w:r>
                </w:p>
              </w:tc>
              <w:tc>
                <w:tcPr>
                  <w:tcW w:w="1524" w:type="dxa"/>
                  <w:vMerge w:val="restart"/>
                  <w:noWrap w:val="0"/>
                  <w:vAlign w:val="center"/>
                </w:tcPr>
                <w:p>
                  <w:pPr>
                    <w:jc w:val="center"/>
                    <w:rPr>
                      <w:color w:val="auto"/>
                      <w:sz w:val="18"/>
                      <w:szCs w:val="18"/>
                    </w:rPr>
                  </w:pPr>
                  <w:r>
                    <w:rPr>
                      <w:color w:val="auto"/>
                      <w:sz w:val="18"/>
                      <w:szCs w:val="18"/>
                    </w:rPr>
                    <w:t>排放浓度（mg/m</w:t>
                  </w:r>
                  <w:r>
                    <w:rPr>
                      <w:color w:val="auto"/>
                      <w:sz w:val="18"/>
                      <w:szCs w:val="18"/>
                      <w:vertAlign w:val="superscript"/>
                    </w:rPr>
                    <w:t>3</w:t>
                  </w:r>
                  <w:r>
                    <w:rPr>
                      <w:color w:val="auto"/>
                      <w:sz w:val="18"/>
                      <w:szCs w:val="18"/>
                    </w:rPr>
                    <w:t>）</w:t>
                  </w:r>
                </w:p>
              </w:tc>
              <w:tc>
                <w:tcPr>
                  <w:tcW w:w="1215" w:type="dxa"/>
                  <w:vMerge w:val="restart"/>
                  <w:noWrap w:val="0"/>
                  <w:vAlign w:val="center"/>
                </w:tcPr>
                <w:p>
                  <w:pPr>
                    <w:jc w:val="center"/>
                  </w:pPr>
                  <w:r>
                    <w:rPr>
                      <w:color w:val="auto"/>
                      <w:sz w:val="18"/>
                      <w:szCs w:val="18"/>
                    </w:rPr>
                    <w:t>标准限值</w:t>
                  </w:r>
                </w:p>
                <w:p>
                  <w:pPr>
                    <w:jc w:val="center"/>
                    <w:rPr>
                      <w:rFonts w:hint="eastAsia" w:eastAsia="宋体"/>
                      <w:color w:val="auto"/>
                      <w:sz w:val="18"/>
                      <w:szCs w:val="18"/>
                      <w:lang w:eastAsia="zh-CN"/>
                    </w:rPr>
                  </w:pPr>
                  <w:r>
                    <w:rPr>
                      <w:rFonts w:hint="eastAsia"/>
                      <w:color w:val="auto"/>
                      <w:lang w:eastAsia="zh-CN"/>
                    </w:rPr>
                    <w:t>（</w:t>
                  </w:r>
                  <w:r>
                    <w:rPr>
                      <w:rFonts w:ascii="Times New Roman" w:hAnsi="Times New Roman"/>
                      <w:b w:val="0"/>
                      <w:bCs w:val="0"/>
                      <w:color w:val="auto"/>
                      <w:sz w:val="18"/>
                      <w:szCs w:val="18"/>
                    </w:rPr>
                    <w:t>mg/m</w:t>
                  </w:r>
                  <w:r>
                    <w:rPr>
                      <w:rFonts w:ascii="Times New Roman" w:hAnsi="Times New Roman"/>
                      <w:b w:val="0"/>
                      <w:bCs w:val="0"/>
                      <w:color w:val="auto"/>
                      <w:sz w:val="18"/>
                      <w:szCs w:val="18"/>
                      <w:vertAlign w:val="superscript"/>
                    </w:rPr>
                    <w:t>3</w:t>
                  </w:r>
                  <w:r>
                    <w:rPr>
                      <w:rFonts w:hint="eastAsia"/>
                      <w:color w:val="auto"/>
                      <w:lang w:eastAsia="zh-CN"/>
                    </w:rPr>
                    <w:t>）</w:t>
                  </w:r>
                </w:p>
              </w:tc>
              <w:tc>
                <w:tcPr>
                  <w:tcW w:w="817" w:type="dxa"/>
                  <w:vMerge w:val="restart"/>
                  <w:noWrap w:val="0"/>
                  <w:vAlign w:val="center"/>
                </w:tcPr>
                <w:p>
                  <w:pPr>
                    <w:jc w:val="center"/>
                    <w:rPr>
                      <w:color w:val="auto"/>
                      <w:sz w:val="18"/>
                      <w:szCs w:val="18"/>
                    </w:rPr>
                  </w:pPr>
                  <w:r>
                    <w:rPr>
                      <w:color w:val="auto"/>
                      <w:sz w:val="18"/>
                      <w:szCs w:val="18"/>
                    </w:rPr>
                    <w:t>结论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674" w:type="dxa"/>
                  <w:vMerge w:val="continue"/>
                  <w:noWrap w:val="0"/>
                  <w:vAlign w:val="center"/>
                </w:tcPr>
                <w:p>
                  <w:pPr>
                    <w:jc w:val="center"/>
                    <w:rPr>
                      <w:color w:val="auto"/>
                      <w:sz w:val="18"/>
                      <w:szCs w:val="18"/>
                    </w:rPr>
                  </w:pPr>
                </w:p>
              </w:tc>
              <w:tc>
                <w:tcPr>
                  <w:tcW w:w="2588" w:type="dxa"/>
                  <w:vMerge w:val="continue"/>
                  <w:noWrap w:val="0"/>
                  <w:vAlign w:val="center"/>
                </w:tcPr>
                <w:p>
                  <w:pPr>
                    <w:jc w:val="center"/>
                    <w:rPr>
                      <w:color w:val="auto"/>
                      <w:sz w:val="18"/>
                      <w:szCs w:val="18"/>
                    </w:rPr>
                  </w:pPr>
                </w:p>
              </w:tc>
              <w:tc>
                <w:tcPr>
                  <w:tcW w:w="1524" w:type="dxa"/>
                  <w:vMerge w:val="continue"/>
                  <w:noWrap w:val="0"/>
                  <w:vAlign w:val="center"/>
                </w:tcPr>
                <w:p>
                  <w:pPr>
                    <w:jc w:val="center"/>
                    <w:rPr>
                      <w:color w:val="auto"/>
                      <w:sz w:val="18"/>
                      <w:szCs w:val="18"/>
                    </w:rPr>
                  </w:pPr>
                </w:p>
              </w:tc>
              <w:tc>
                <w:tcPr>
                  <w:tcW w:w="1215" w:type="dxa"/>
                  <w:vMerge w:val="continue"/>
                  <w:noWrap w:val="0"/>
                  <w:vAlign w:val="center"/>
                </w:tcPr>
                <w:p>
                  <w:pPr>
                    <w:jc w:val="center"/>
                    <w:rPr>
                      <w:color w:val="auto"/>
                      <w:sz w:val="18"/>
                      <w:szCs w:val="18"/>
                    </w:rPr>
                  </w:pPr>
                </w:p>
              </w:tc>
              <w:tc>
                <w:tcPr>
                  <w:tcW w:w="817" w:type="dxa"/>
                  <w:vMerge w:val="continue"/>
                  <w:noWrap w:val="0"/>
                  <w:vAlign w:val="center"/>
                </w:tcPr>
                <w:p>
                  <w:pPr>
                    <w:jc w:val="center"/>
                    <w:rPr>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674" w:type="dxa"/>
                  <w:vMerge w:val="restart"/>
                  <w:noWrap w:val="0"/>
                  <w:vAlign w:val="center"/>
                </w:tcPr>
                <w:p>
                  <w:pPr>
                    <w:jc w:val="center"/>
                    <w:rPr>
                      <w:rFonts w:hint="default" w:eastAsia="宋体"/>
                      <w:color w:val="auto"/>
                      <w:sz w:val="18"/>
                      <w:szCs w:val="18"/>
                      <w:lang w:val="en-US" w:eastAsia="zh-CN"/>
                    </w:rPr>
                  </w:pPr>
                  <w:r>
                    <w:rPr>
                      <w:rFonts w:hint="eastAsia"/>
                      <w:color w:val="auto"/>
                      <w:sz w:val="18"/>
                      <w:szCs w:val="18"/>
                      <w:lang w:val="en-US" w:eastAsia="zh-CN"/>
                    </w:rPr>
                    <w:t>1#排气筒、2#排气筒、3#排气筒、4#排气筒</w:t>
                  </w:r>
                </w:p>
              </w:tc>
              <w:tc>
                <w:tcPr>
                  <w:tcW w:w="2588" w:type="dxa"/>
                  <w:noWrap w:val="0"/>
                  <w:vAlign w:val="center"/>
                </w:tcPr>
                <w:p>
                  <w:pPr>
                    <w:jc w:val="center"/>
                    <w:rPr>
                      <w:rFonts w:hint="eastAsia" w:eastAsia="宋体"/>
                      <w:color w:val="auto"/>
                      <w:sz w:val="18"/>
                      <w:szCs w:val="18"/>
                      <w:lang w:eastAsia="zh-CN"/>
                    </w:rPr>
                  </w:pPr>
                  <w:r>
                    <w:rPr>
                      <w:rFonts w:hint="eastAsia"/>
                      <w:color w:val="auto"/>
                      <w:sz w:val="18"/>
                      <w:szCs w:val="18"/>
                      <w:lang w:eastAsia="zh-CN"/>
                    </w:rPr>
                    <w:t>颗粒物</w:t>
                  </w:r>
                </w:p>
              </w:tc>
              <w:tc>
                <w:tcPr>
                  <w:tcW w:w="1524" w:type="dxa"/>
                  <w:noWrap w:val="0"/>
                  <w:vAlign w:val="center"/>
                </w:tcPr>
                <w:p>
                  <w:pPr>
                    <w:jc w:val="center"/>
                    <w:rPr>
                      <w:rFonts w:hint="default" w:eastAsia="宋体"/>
                      <w:color w:val="auto"/>
                      <w:sz w:val="18"/>
                      <w:szCs w:val="18"/>
                      <w:lang w:val="en-US" w:eastAsia="zh-CN"/>
                    </w:rPr>
                  </w:pPr>
                  <w:r>
                    <w:rPr>
                      <w:rFonts w:hint="eastAsia"/>
                      <w:color w:val="auto"/>
                      <w:sz w:val="18"/>
                      <w:szCs w:val="18"/>
                      <w:lang w:val="en-US" w:eastAsia="zh-CN"/>
                    </w:rPr>
                    <w:t>17.6</w:t>
                  </w:r>
                </w:p>
              </w:tc>
              <w:tc>
                <w:tcPr>
                  <w:tcW w:w="1215" w:type="dxa"/>
                  <w:noWrap w:val="0"/>
                  <w:vAlign w:val="center"/>
                </w:tcPr>
                <w:p>
                  <w:pPr>
                    <w:pStyle w:val="5"/>
                    <w:adjustRightInd w:val="0"/>
                    <w:snapToGrid w:val="0"/>
                    <w:spacing w:line="320" w:lineRule="exact"/>
                    <w:ind w:firstLine="16" w:firstLineChars="9"/>
                    <w:jc w:val="center"/>
                    <w:rPr>
                      <w:color w:val="auto"/>
                      <w:sz w:val="18"/>
                      <w:szCs w:val="18"/>
                    </w:rPr>
                  </w:pPr>
                  <w:r>
                    <w:rPr>
                      <w:rFonts w:hint="eastAsia"/>
                      <w:sz w:val="18"/>
                      <w:szCs w:val="18"/>
                      <w:lang w:val="en-US" w:eastAsia="zh-CN"/>
                    </w:rPr>
                    <w:t>20</w:t>
                  </w:r>
                </w:p>
              </w:tc>
              <w:tc>
                <w:tcPr>
                  <w:tcW w:w="817" w:type="dxa"/>
                  <w:noWrap w:val="0"/>
                  <w:vAlign w:val="center"/>
                </w:tcPr>
                <w:p>
                  <w:pPr>
                    <w:jc w:val="center"/>
                    <w:rPr>
                      <w:color w:val="auto"/>
                      <w:sz w:val="18"/>
                      <w:szCs w:val="18"/>
                    </w:rPr>
                  </w:pPr>
                  <w:r>
                    <w:rPr>
                      <w:color w:val="auto"/>
                      <w:sz w:val="18"/>
                      <w:szCs w:val="18"/>
                    </w:rPr>
                    <w:t>未超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4" w:type="dxa"/>
                  <w:vMerge w:val="continue"/>
                  <w:noWrap w:val="0"/>
                  <w:vAlign w:val="center"/>
                </w:tcPr>
                <w:p>
                  <w:pPr>
                    <w:jc w:val="center"/>
                    <w:rPr>
                      <w:color w:val="auto"/>
                      <w:sz w:val="18"/>
                      <w:szCs w:val="18"/>
                    </w:rPr>
                  </w:pPr>
                </w:p>
              </w:tc>
              <w:tc>
                <w:tcPr>
                  <w:tcW w:w="2588" w:type="dxa"/>
                  <w:noWrap w:val="0"/>
                  <w:vAlign w:val="center"/>
                </w:tcPr>
                <w:p>
                  <w:pPr>
                    <w:jc w:val="center"/>
                    <w:rPr>
                      <w:rFonts w:hint="eastAsia" w:eastAsia="宋体"/>
                      <w:color w:val="auto"/>
                      <w:sz w:val="18"/>
                      <w:szCs w:val="18"/>
                      <w:lang w:eastAsia="zh-CN"/>
                    </w:rPr>
                  </w:pPr>
                  <w:r>
                    <w:rPr>
                      <w:rFonts w:hint="eastAsia"/>
                      <w:color w:val="auto"/>
                      <w:sz w:val="18"/>
                      <w:szCs w:val="18"/>
                      <w:lang w:eastAsia="zh-CN"/>
                    </w:rPr>
                    <w:t>二氧化硫</w:t>
                  </w:r>
                </w:p>
              </w:tc>
              <w:tc>
                <w:tcPr>
                  <w:tcW w:w="1524" w:type="dxa"/>
                  <w:noWrap w:val="0"/>
                  <w:vAlign w:val="center"/>
                </w:tcPr>
                <w:p>
                  <w:pPr>
                    <w:jc w:val="center"/>
                    <w:rPr>
                      <w:rFonts w:hint="default" w:eastAsia="宋体"/>
                      <w:color w:val="auto"/>
                      <w:sz w:val="18"/>
                      <w:szCs w:val="18"/>
                      <w:lang w:val="en-US" w:eastAsia="zh-CN"/>
                    </w:rPr>
                  </w:pPr>
                  <w:r>
                    <w:rPr>
                      <w:rFonts w:hint="eastAsia"/>
                      <w:color w:val="auto"/>
                      <w:sz w:val="18"/>
                      <w:szCs w:val="18"/>
                      <w:lang w:val="en-US" w:eastAsia="zh-CN"/>
                    </w:rPr>
                    <w:t>ND</w:t>
                  </w:r>
                </w:p>
              </w:tc>
              <w:tc>
                <w:tcPr>
                  <w:tcW w:w="1215" w:type="dxa"/>
                  <w:noWrap w:val="0"/>
                  <w:vAlign w:val="center"/>
                </w:tcPr>
                <w:p>
                  <w:pPr>
                    <w:pStyle w:val="5"/>
                    <w:adjustRightInd w:val="0"/>
                    <w:snapToGrid w:val="0"/>
                    <w:spacing w:line="320" w:lineRule="exact"/>
                    <w:ind w:firstLine="16" w:firstLineChars="9"/>
                    <w:jc w:val="center"/>
                    <w:rPr>
                      <w:color w:val="auto"/>
                      <w:sz w:val="18"/>
                      <w:szCs w:val="18"/>
                    </w:rPr>
                  </w:pPr>
                  <w:r>
                    <w:rPr>
                      <w:rFonts w:hint="eastAsia"/>
                      <w:sz w:val="18"/>
                      <w:szCs w:val="18"/>
                      <w:lang w:val="en-US" w:eastAsia="zh-CN"/>
                    </w:rPr>
                    <w:t>80</w:t>
                  </w:r>
                </w:p>
              </w:tc>
              <w:tc>
                <w:tcPr>
                  <w:tcW w:w="817" w:type="dxa"/>
                  <w:noWrap w:val="0"/>
                  <w:vAlign w:val="center"/>
                </w:tcPr>
                <w:p>
                  <w:pPr>
                    <w:jc w:val="center"/>
                    <w:rPr>
                      <w:color w:val="auto"/>
                      <w:sz w:val="18"/>
                      <w:szCs w:val="18"/>
                    </w:rPr>
                  </w:pPr>
                  <w:r>
                    <w:rPr>
                      <w:color w:val="auto"/>
                      <w:sz w:val="18"/>
                      <w:szCs w:val="18"/>
                    </w:rPr>
                    <w:t>未超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674" w:type="dxa"/>
                  <w:vMerge w:val="continue"/>
                  <w:noWrap w:val="0"/>
                  <w:vAlign w:val="center"/>
                </w:tcPr>
                <w:p>
                  <w:pPr>
                    <w:jc w:val="center"/>
                    <w:rPr>
                      <w:color w:val="auto"/>
                      <w:sz w:val="18"/>
                      <w:szCs w:val="18"/>
                    </w:rPr>
                  </w:pPr>
                </w:p>
              </w:tc>
              <w:tc>
                <w:tcPr>
                  <w:tcW w:w="2588" w:type="dxa"/>
                  <w:noWrap w:val="0"/>
                  <w:vAlign w:val="center"/>
                </w:tcPr>
                <w:p>
                  <w:pPr>
                    <w:jc w:val="center"/>
                    <w:rPr>
                      <w:rFonts w:hint="eastAsia" w:eastAsia="宋体"/>
                      <w:color w:val="auto"/>
                      <w:sz w:val="18"/>
                      <w:szCs w:val="18"/>
                      <w:lang w:eastAsia="zh-CN"/>
                    </w:rPr>
                  </w:pPr>
                  <w:r>
                    <w:rPr>
                      <w:rFonts w:hint="eastAsia"/>
                      <w:color w:val="auto"/>
                      <w:sz w:val="18"/>
                      <w:szCs w:val="18"/>
                      <w:lang w:eastAsia="zh-CN"/>
                    </w:rPr>
                    <w:t>氮氧化物</w:t>
                  </w:r>
                </w:p>
              </w:tc>
              <w:tc>
                <w:tcPr>
                  <w:tcW w:w="1524" w:type="dxa"/>
                  <w:noWrap w:val="0"/>
                  <w:vAlign w:val="center"/>
                </w:tcPr>
                <w:p>
                  <w:pPr>
                    <w:jc w:val="center"/>
                    <w:rPr>
                      <w:rFonts w:hint="default" w:eastAsia="宋体"/>
                      <w:color w:val="auto"/>
                      <w:sz w:val="18"/>
                      <w:szCs w:val="18"/>
                      <w:lang w:val="en-US" w:eastAsia="zh-CN"/>
                    </w:rPr>
                  </w:pPr>
                  <w:r>
                    <w:rPr>
                      <w:rFonts w:hint="eastAsia"/>
                      <w:color w:val="auto"/>
                      <w:sz w:val="18"/>
                      <w:szCs w:val="18"/>
                      <w:lang w:val="en-US" w:eastAsia="zh-CN"/>
                    </w:rPr>
                    <w:t>163</w:t>
                  </w:r>
                </w:p>
              </w:tc>
              <w:tc>
                <w:tcPr>
                  <w:tcW w:w="1215" w:type="dxa"/>
                  <w:noWrap w:val="0"/>
                  <w:vAlign w:val="center"/>
                </w:tcPr>
                <w:p>
                  <w:pPr>
                    <w:pStyle w:val="5"/>
                    <w:adjustRightInd w:val="0"/>
                    <w:snapToGrid w:val="0"/>
                    <w:spacing w:line="320" w:lineRule="exact"/>
                    <w:ind w:firstLine="16" w:firstLineChars="9"/>
                    <w:jc w:val="center"/>
                    <w:rPr>
                      <w:color w:val="auto"/>
                      <w:sz w:val="18"/>
                      <w:szCs w:val="18"/>
                    </w:rPr>
                  </w:pPr>
                  <w:r>
                    <w:rPr>
                      <w:rFonts w:hint="eastAsia"/>
                      <w:sz w:val="18"/>
                      <w:szCs w:val="18"/>
                      <w:lang w:val="en-US" w:eastAsia="zh-CN"/>
                    </w:rPr>
                    <w:t>180</w:t>
                  </w:r>
                </w:p>
              </w:tc>
              <w:tc>
                <w:tcPr>
                  <w:tcW w:w="817" w:type="dxa"/>
                  <w:noWrap w:val="0"/>
                  <w:vAlign w:val="center"/>
                </w:tcPr>
                <w:p>
                  <w:pPr>
                    <w:jc w:val="center"/>
                    <w:rPr>
                      <w:color w:val="auto"/>
                      <w:sz w:val="18"/>
                      <w:szCs w:val="18"/>
                    </w:rPr>
                  </w:pPr>
                  <w:r>
                    <w:rPr>
                      <w:color w:val="auto"/>
                      <w:sz w:val="18"/>
                      <w:szCs w:val="18"/>
                    </w:rPr>
                    <w:t>未超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4" w:type="dxa"/>
                  <w:vMerge w:val="restart"/>
                  <w:noWrap w:val="0"/>
                  <w:vAlign w:val="center"/>
                </w:tcPr>
                <w:p>
                  <w:pPr>
                    <w:jc w:val="center"/>
                    <w:rPr>
                      <w:color w:val="auto"/>
                      <w:sz w:val="18"/>
                      <w:szCs w:val="18"/>
                    </w:rPr>
                  </w:pPr>
                  <w:r>
                    <w:rPr>
                      <w:rFonts w:hint="eastAsia"/>
                      <w:color w:val="auto"/>
                      <w:sz w:val="18"/>
                      <w:szCs w:val="18"/>
                      <w:lang w:val="en-US" w:eastAsia="zh-CN"/>
                    </w:rPr>
                    <w:t>5#排气筒、6#排气筒</w:t>
                  </w:r>
                </w:p>
              </w:tc>
              <w:tc>
                <w:tcPr>
                  <w:tcW w:w="2588" w:type="dxa"/>
                  <w:noWrap w:val="0"/>
                  <w:vAlign w:val="center"/>
                </w:tcPr>
                <w:p>
                  <w:pPr>
                    <w:jc w:val="center"/>
                    <w:rPr>
                      <w:color w:val="auto"/>
                      <w:sz w:val="18"/>
                      <w:szCs w:val="18"/>
                    </w:rPr>
                  </w:pPr>
                  <w:r>
                    <w:rPr>
                      <w:rFonts w:hint="eastAsia"/>
                      <w:color w:val="auto"/>
                      <w:sz w:val="18"/>
                      <w:szCs w:val="18"/>
                      <w:lang w:eastAsia="zh-CN"/>
                    </w:rPr>
                    <w:t>颗粒物</w:t>
                  </w:r>
                </w:p>
              </w:tc>
              <w:tc>
                <w:tcPr>
                  <w:tcW w:w="1524" w:type="dxa"/>
                  <w:noWrap w:val="0"/>
                  <w:vAlign w:val="center"/>
                </w:tcPr>
                <w:p>
                  <w:pPr>
                    <w:jc w:val="center"/>
                    <w:rPr>
                      <w:rFonts w:hint="default" w:eastAsia="宋体"/>
                      <w:color w:val="auto"/>
                      <w:sz w:val="18"/>
                      <w:szCs w:val="18"/>
                      <w:lang w:val="en-US" w:eastAsia="zh-CN"/>
                    </w:rPr>
                  </w:pPr>
                  <w:r>
                    <w:rPr>
                      <w:rFonts w:hint="eastAsia"/>
                      <w:color w:val="auto"/>
                      <w:sz w:val="18"/>
                      <w:szCs w:val="18"/>
                      <w:lang w:val="en-US" w:eastAsia="zh-CN"/>
                    </w:rPr>
                    <w:t>16.6</w:t>
                  </w:r>
                </w:p>
              </w:tc>
              <w:tc>
                <w:tcPr>
                  <w:tcW w:w="1215" w:type="dxa"/>
                  <w:noWrap w:val="0"/>
                  <w:vAlign w:val="center"/>
                </w:tcPr>
                <w:p>
                  <w:pPr>
                    <w:pStyle w:val="5"/>
                    <w:adjustRightInd w:val="0"/>
                    <w:snapToGrid w:val="0"/>
                    <w:spacing w:line="320" w:lineRule="exact"/>
                    <w:ind w:firstLine="16" w:firstLineChars="9"/>
                    <w:jc w:val="center"/>
                    <w:rPr>
                      <w:color w:val="auto"/>
                      <w:sz w:val="18"/>
                      <w:szCs w:val="18"/>
                    </w:rPr>
                  </w:pPr>
                  <w:r>
                    <w:rPr>
                      <w:rFonts w:hint="eastAsia"/>
                      <w:sz w:val="18"/>
                      <w:szCs w:val="18"/>
                      <w:lang w:val="en-US" w:eastAsia="zh-CN"/>
                    </w:rPr>
                    <w:t>20</w:t>
                  </w:r>
                </w:p>
              </w:tc>
              <w:tc>
                <w:tcPr>
                  <w:tcW w:w="817" w:type="dxa"/>
                  <w:noWrap w:val="0"/>
                  <w:vAlign w:val="center"/>
                </w:tcPr>
                <w:p>
                  <w:pPr>
                    <w:jc w:val="center"/>
                    <w:rPr>
                      <w:color w:val="auto"/>
                      <w:sz w:val="18"/>
                      <w:szCs w:val="18"/>
                    </w:rPr>
                  </w:pPr>
                  <w:r>
                    <w:rPr>
                      <w:color w:val="auto"/>
                      <w:sz w:val="18"/>
                      <w:szCs w:val="18"/>
                    </w:rPr>
                    <w:t>未超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4" w:type="dxa"/>
                  <w:vMerge w:val="continue"/>
                  <w:noWrap w:val="0"/>
                  <w:vAlign w:val="center"/>
                </w:tcPr>
                <w:p>
                  <w:pPr>
                    <w:jc w:val="center"/>
                    <w:rPr>
                      <w:color w:val="auto"/>
                      <w:sz w:val="18"/>
                      <w:szCs w:val="18"/>
                    </w:rPr>
                  </w:pPr>
                </w:p>
              </w:tc>
              <w:tc>
                <w:tcPr>
                  <w:tcW w:w="2588" w:type="dxa"/>
                  <w:noWrap w:val="0"/>
                  <w:vAlign w:val="center"/>
                </w:tcPr>
                <w:p>
                  <w:pPr>
                    <w:jc w:val="center"/>
                    <w:rPr>
                      <w:color w:val="auto"/>
                      <w:sz w:val="18"/>
                      <w:szCs w:val="18"/>
                    </w:rPr>
                  </w:pPr>
                  <w:r>
                    <w:rPr>
                      <w:rFonts w:hint="eastAsia"/>
                      <w:color w:val="auto"/>
                      <w:sz w:val="18"/>
                      <w:szCs w:val="18"/>
                      <w:lang w:eastAsia="zh-CN"/>
                    </w:rPr>
                    <w:t>二氧化硫</w:t>
                  </w:r>
                </w:p>
              </w:tc>
              <w:tc>
                <w:tcPr>
                  <w:tcW w:w="1524" w:type="dxa"/>
                  <w:noWrap w:val="0"/>
                  <w:vAlign w:val="center"/>
                </w:tcPr>
                <w:p>
                  <w:pPr>
                    <w:jc w:val="center"/>
                    <w:rPr>
                      <w:rFonts w:hint="default" w:eastAsia="宋体"/>
                      <w:color w:val="auto"/>
                      <w:sz w:val="18"/>
                      <w:szCs w:val="18"/>
                      <w:lang w:val="en-US" w:eastAsia="zh-CN"/>
                    </w:rPr>
                  </w:pPr>
                  <w:r>
                    <w:rPr>
                      <w:rFonts w:hint="eastAsia"/>
                      <w:color w:val="auto"/>
                      <w:sz w:val="18"/>
                      <w:szCs w:val="18"/>
                      <w:lang w:val="en-US" w:eastAsia="zh-CN"/>
                    </w:rPr>
                    <w:t>ND</w:t>
                  </w:r>
                </w:p>
              </w:tc>
              <w:tc>
                <w:tcPr>
                  <w:tcW w:w="1215" w:type="dxa"/>
                  <w:noWrap w:val="0"/>
                  <w:vAlign w:val="center"/>
                </w:tcPr>
                <w:p>
                  <w:pPr>
                    <w:pStyle w:val="5"/>
                    <w:adjustRightInd w:val="0"/>
                    <w:snapToGrid w:val="0"/>
                    <w:spacing w:line="320" w:lineRule="exact"/>
                    <w:ind w:firstLine="16" w:firstLineChars="9"/>
                    <w:jc w:val="center"/>
                    <w:rPr>
                      <w:color w:val="auto"/>
                      <w:sz w:val="18"/>
                      <w:szCs w:val="18"/>
                    </w:rPr>
                  </w:pPr>
                  <w:r>
                    <w:rPr>
                      <w:rFonts w:hint="eastAsia"/>
                      <w:sz w:val="18"/>
                      <w:szCs w:val="18"/>
                      <w:lang w:val="en-US" w:eastAsia="zh-CN"/>
                    </w:rPr>
                    <w:t>80</w:t>
                  </w:r>
                </w:p>
              </w:tc>
              <w:tc>
                <w:tcPr>
                  <w:tcW w:w="817" w:type="dxa"/>
                  <w:noWrap w:val="0"/>
                  <w:vAlign w:val="center"/>
                </w:tcPr>
                <w:p>
                  <w:pPr>
                    <w:jc w:val="center"/>
                    <w:rPr>
                      <w:color w:val="auto"/>
                      <w:sz w:val="18"/>
                      <w:szCs w:val="18"/>
                    </w:rPr>
                  </w:pPr>
                  <w:r>
                    <w:rPr>
                      <w:color w:val="auto"/>
                      <w:sz w:val="18"/>
                      <w:szCs w:val="18"/>
                    </w:rPr>
                    <w:t>未超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674" w:type="dxa"/>
                  <w:vMerge w:val="continue"/>
                  <w:noWrap w:val="0"/>
                  <w:vAlign w:val="center"/>
                </w:tcPr>
                <w:p>
                  <w:pPr>
                    <w:jc w:val="center"/>
                    <w:rPr>
                      <w:color w:val="auto"/>
                      <w:sz w:val="18"/>
                      <w:szCs w:val="18"/>
                    </w:rPr>
                  </w:pPr>
                </w:p>
              </w:tc>
              <w:tc>
                <w:tcPr>
                  <w:tcW w:w="2588" w:type="dxa"/>
                  <w:noWrap w:val="0"/>
                  <w:vAlign w:val="center"/>
                </w:tcPr>
                <w:p>
                  <w:pPr>
                    <w:jc w:val="center"/>
                    <w:rPr>
                      <w:color w:val="auto"/>
                      <w:sz w:val="18"/>
                      <w:szCs w:val="18"/>
                    </w:rPr>
                  </w:pPr>
                  <w:r>
                    <w:rPr>
                      <w:rFonts w:hint="eastAsia"/>
                      <w:color w:val="auto"/>
                      <w:sz w:val="18"/>
                      <w:szCs w:val="18"/>
                      <w:lang w:eastAsia="zh-CN"/>
                    </w:rPr>
                    <w:t>氮氧化物</w:t>
                  </w:r>
                </w:p>
              </w:tc>
              <w:tc>
                <w:tcPr>
                  <w:tcW w:w="1524" w:type="dxa"/>
                  <w:noWrap w:val="0"/>
                  <w:vAlign w:val="center"/>
                </w:tcPr>
                <w:p>
                  <w:pPr>
                    <w:jc w:val="center"/>
                    <w:rPr>
                      <w:rFonts w:hint="default" w:eastAsia="宋体"/>
                      <w:color w:val="auto"/>
                      <w:sz w:val="18"/>
                      <w:szCs w:val="18"/>
                      <w:lang w:val="en-US" w:eastAsia="zh-CN"/>
                    </w:rPr>
                  </w:pPr>
                  <w:r>
                    <w:rPr>
                      <w:rFonts w:hint="eastAsia"/>
                      <w:color w:val="auto"/>
                      <w:sz w:val="18"/>
                      <w:szCs w:val="18"/>
                      <w:lang w:val="en-US" w:eastAsia="zh-CN"/>
                    </w:rPr>
                    <w:t>136</w:t>
                  </w:r>
                </w:p>
              </w:tc>
              <w:tc>
                <w:tcPr>
                  <w:tcW w:w="1215" w:type="dxa"/>
                  <w:noWrap w:val="0"/>
                  <w:vAlign w:val="center"/>
                </w:tcPr>
                <w:p>
                  <w:pPr>
                    <w:pStyle w:val="5"/>
                    <w:adjustRightInd w:val="0"/>
                    <w:snapToGrid w:val="0"/>
                    <w:spacing w:line="320" w:lineRule="exact"/>
                    <w:ind w:firstLine="16" w:firstLineChars="9"/>
                    <w:jc w:val="center"/>
                    <w:rPr>
                      <w:color w:val="auto"/>
                      <w:sz w:val="18"/>
                      <w:szCs w:val="18"/>
                    </w:rPr>
                  </w:pPr>
                  <w:r>
                    <w:rPr>
                      <w:rFonts w:hint="eastAsia"/>
                      <w:sz w:val="18"/>
                      <w:szCs w:val="18"/>
                      <w:lang w:val="en-US" w:eastAsia="zh-CN"/>
                    </w:rPr>
                    <w:t>180</w:t>
                  </w:r>
                </w:p>
              </w:tc>
              <w:tc>
                <w:tcPr>
                  <w:tcW w:w="817" w:type="dxa"/>
                  <w:noWrap w:val="0"/>
                  <w:vAlign w:val="center"/>
                </w:tcPr>
                <w:p>
                  <w:pPr>
                    <w:jc w:val="center"/>
                    <w:rPr>
                      <w:color w:val="auto"/>
                      <w:sz w:val="18"/>
                      <w:szCs w:val="18"/>
                    </w:rPr>
                  </w:pPr>
                  <w:r>
                    <w:rPr>
                      <w:color w:val="auto"/>
                      <w:sz w:val="18"/>
                      <w:szCs w:val="18"/>
                    </w:rPr>
                    <w:t>未超</w:t>
                  </w:r>
                </w:p>
              </w:tc>
            </w:tr>
          </w:tbl>
          <w:p>
            <w:pPr>
              <w:adjustRightInd w:val="0"/>
              <w:snapToGrid w:val="0"/>
              <w:spacing w:line="360" w:lineRule="auto"/>
              <w:jc w:val="both"/>
              <w:rPr>
                <w:color w:val="auto"/>
              </w:rPr>
            </w:pPr>
            <w:r>
              <w:rPr>
                <w:rFonts w:hint="eastAsia" w:cs="Times New Roman"/>
                <w:b/>
                <w:bCs/>
                <w:color w:val="auto"/>
                <w:sz w:val="18"/>
                <w:szCs w:val="18"/>
                <w:lang w:eastAsia="zh-CN"/>
              </w:rPr>
              <w:t>注：“</w:t>
            </w:r>
            <w:r>
              <w:rPr>
                <w:rFonts w:hint="eastAsia" w:cs="Times New Roman"/>
                <w:b/>
                <w:bCs/>
                <w:color w:val="auto"/>
                <w:sz w:val="18"/>
                <w:szCs w:val="18"/>
                <w:lang w:val="en-US" w:eastAsia="zh-CN"/>
              </w:rPr>
              <w:t>ND</w:t>
            </w:r>
            <w:r>
              <w:rPr>
                <w:rFonts w:hint="eastAsia" w:cs="Times New Roman"/>
                <w:b/>
                <w:bCs/>
                <w:color w:val="auto"/>
                <w:sz w:val="18"/>
                <w:szCs w:val="18"/>
                <w:lang w:eastAsia="zh-CN"/>
              </w:rPr>
              <w:t>”表示未检出，二氧化硫检出限：</w:t>
            </w:r>
            <w:r>
              <w:rPr>
                <w:rFonts w:hint="eastAsia" w:cs="Times New Roman"/>
                <w:b/>
                <w:bCs/>
                <w:color w:val="auto"/>
                <w:sz w:val="18"/>
                <w:szCs w:val="18"/>
                <w:lang w:val="en-US" w:eastAsia="zh-CN"/>
              </w:rPr>
              <w:t>3.0mg/m</w:t>
            </w:r>
            <w:r>
              <w:rPr>
                <w:rFonts w:hint="eastAsia" w:cs="Times New Roman"/>
                <w:b/>
                <w:bCs/>
                <w:color w:val="auto"/>
                <w:sz w:val="18"/>
                <w:szCs w:val="18"/>
                <w:vertAlign w:val="superscript"/>
                <w:lang w:val="en-US" w:eastAsia="zh-CN"/>
              </w:rPr>
              <w:t>3</w:t>
            </w:r>
            <w:r>
              <w:rPr>
                <w:rFonts w:hint="eastAsia" w:cs="Times New Roman"/>
                <w:b/>
                <w:bCs/>
                <w:color w:val="auto"/>
                <w:sz w:val="18"/>
                <w:szCs w:val="18"/>
                <w:vertAlign w:val="baseline"/>
                <w:lang w:val="en-US" w:eastAsia="zh-CN"/>
              </w:rPr>
              <w:t>。</w:t>
            </w:r>
            <w:r>
              <w:rPr>
                <w:b/>
                <w:bCs/>
                <w:color w:val="auto"/>
                <w:sz w:val="18"/>
                <w:szCs w:val="18"/>
              </w:rPr>
              <w:t>根据建设单位提供的资料，</w:t>
            </w:r>
            <w:r>
              <w:rPr>
                <w:rFonts w:hint="eastAsia"/>
                <w:b/>
                <w:bCs/>
                <w:color w:val="auto"/>
                <w:sz w:val="18"/>
                <w:szCs w:val="18"/>
                <w:lang w:val="en-US" w:eastAsia="zh-CN"/>
              </w:rPr>
              <w:t>2017年</w:t>
            </w:r>
            <w:r>
              <w:rPr>
                <w:b/>
                <w:bCs/>
                <w:color w:val="auto"/>
                <w:sz w:val="18"/>
                <w:szCs w:val="18"/>
              </w:rPr>
              <w:t>监测时满</w:t>
            </w:r>
            <w:r>
              <w:rPr>
                <w:rFonts w:hint="eastAsia"/>
                <w:b/>
                <w:bCs/>
                <w:color w:val="auto"/>
                <w:sz w:val="18"/>
                <w:szCs w:val="18"/>
                <w:lang w:eastAsia="zh-CN"/>
              </w:rPr>
              <w:t>负荷</w:t>
            </w:r>
            <w:r>
              <w:rPr>
                <w:b/>
                <w:bCs/>
                <w:color w:val="auto"/>
                <w:sz w:val="18"/>
                <w:szCs w:val="18"/>
              </w:rPr>
              <w:t>工况</w:t>
            </w:r>
            <w:r>
              <w:rPr>
                <w:rFonts w:hint="eastAsia"/>
                <w:b/>
                <w:bCs/>
                <w:color w:val="auto"/>
                <w:sz w:val="18"/>
                <w:szCs w:val="18"/>
                <w:lang w:eastAsia="zh-CN"/>
              </w:rPr>
              <w:t>不用进行折算，天然气燃烧废气</w:t>
            </w:r>
            <w:r>
              <w:rPr>
                <w:rFonts w:hint="eastAsia" w:ascii="Times New Roman" w:hAnsi="Times New Roman" w:eastAsia="宋体" w:cs="Times New Roman"/>
                <w:b/>
                <w:bCs/>
                <w:color w:val="auto"/>
                <w:sz w:val="18"/>
                <w:szCs w:val="18"/>
                <w:lang w:val="en-US" w:eastAsia="zh-CN"/>
              </w:rPr>
              <w:t>工序工作时间约</w:t>
            </w:r>
            <w:r>
              <w:rPr>
                <w:rFonts w:hint="eastAsia" w:cs="Times New Roman"/>
                <w:b/>
                <w:bCs/>
                <w:color w:val="auto"/>
                <w:sz w:val="18"/>
                <w:szCs w:val="18"/>
                <w:lang w:val="en-US" w:eastAsia="zh-CN"/>
              </w:rPr>
              <w:t>48</w:t>
            </w:r>
            <w:r>
              <w:rPr>
                <w:rFonts w:hint="eastAsia" w:ascii="Times New Roman" w:hAnsi="Times New Roman" w:eastAsia="宋体" w:cs="Times New Roman"/>
                <w:b/>
                <w:bCs/>
                <w:color w:val="auto"/>
                <w:sz w:val="18"/>
                <w:szCs w:val="18"/>
                <w:lang w:val="en-US" w:eastAsia="zh-CN"/>
              </w:rPr>
              <w:t>00h，“</w:t>
            </w:r>
            <w:r>
              <w:rPr>
                <w:rFonts w:hint="eastAsia" w:cs="Times New Roman"/>
                <w:b/>
                <w:bCs/>
                <w:color w:val="auto"/>
                <w:sz w:val="18"/>
                <w:szCs w:val="18"/>
                <w:lang w:val="en-US" w:eastAsia="zh-CN"/>
              </w:rPr>
              <w:t>ND</w:t>
            </w:r>
            <w:r>
              <w:rPr>
                <w:rFonts w:hint="eastAsia" w:ascii="Times New Roman" w:hAnsi="Times New Roman" w:eastAsia="宋体" w:cs="Times New Roman"/>
                <w:b/>
                <w:bCs/>
                <w:color w:val="auto"/>
                <w:sz w:val="18"/>
                <w:szCs w:val="18"/>
                <w:lang w:val="en-US" w:eastAsia="zh-CN"/>
              </w:rPr>
              <w:t>”用检出限一半计算。</w:t>
            </w:r>
            <w:r>
              <w:rPr>
                <w:rFonts w:ascii="Arial" w:hAnsi="Arial" w:eastAsia="Arial" w:cs="Arial"/>
                <w:i w:val="0"/>
                <w:iCs w:val="0"/>
                <w:caps w:val="0"/>
                <w:color w:val="auto"/>
                <w:spacing w:val="0"/>
                <w:sz w:val="24"/>
                <w:szCs w:val="24"/>
                <w:shd w:val="clear" w:color="auto" w:fill="FFFFFF"/>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361" w:firstLineChars="200"/>
              <w:jc w:val="both"/>
              <w:textAlignment w:val="auto"/>
              <w:rPr>
                <w:rFonts w:hint="eastAsia" w:ascii="Times New Roman" w:hAnsi="Times New Roman" w:eastAsia="宋体" w:cs="Times New Roman"/>
                <w:b/>
                <w:bCs/>
                <w:color w:val="auto"/>
                <w:sz w:val="18"/>
                <w:szCs w:val="18"/>
                <w:vertAlign w:val="superscript"/>
              </w:rPr>
            </w:pPr>
            <w:r>
              <w:rPr>
                <w:rFonts w:hint="eastAsia" w:ascii="Times New Roman" w:hAnsi="Times New Roman" w:eastAsia="宋体" w:cs="Times New Roman"/>
                <w:b/>
                <w:bCs/>
                <w:color w:val="auto"/>
                <w:sz w:val="18"/>
                <w:szCs w:val="18"/>
              </w:rPr>
              <w:t>废</w:t>
            </w:r>
            <w:r>
              <w:rPr>
                <w:rFonts w:hint="eastAsia" w:cs="Times New Roman"/>
                <w:b/>
                <w:bCs/>
                <w:color w:val="auto"/>
                <w:sz w:val="18"/>
                <w:szCs w:val="18"/>
                <w:lang w:eastAsia="zh-CN"/>
              </w:rPr>
              <w:t>气</w:t>
            </w:r>
            <w:r>
              <w:rPr>
                <w:rFonts w:hint="eastAsia" w:ascii="Times New Roman" w:hAnsi="Times New Roman" w:eastAsia="宋体" w:cs="Times New Roman"/>
                <w:b/>
                <w:bCs/>
                <w:color w:val="auto"/>
                <w:sz w:val="18"/>
                <w:szCs w:val="18"/>
              </w:rPr>
              <w:t>污染物实际排放量（t/a）=污染物浓度(mg/L)/10</w:t>
            </w:r>
            <w:r>
              <w:rPr>
                <w:rFonts w:hint="eastAsia" w:ascii="Times New Roman" w:hAnsi="Times New Roman" w:eastAsia="宋体" w:cs="Times New Roman"/>
                <w:b/>
                <w:bCs/>
                <w:color w:val="auto"/>
                <w:sz w:val="18"/>
                <w:szCs w:val="18"/>
                <w:vertAlign w:val="superscript"/>
              </w:rPr>
              <w:t>6</w:t>
            </w:r>
            <w:r>
              <w:rPr>
                <w:rFonts w:hint="eastAsia" w:ascii="Times New Roman" w:hAnsi="Times New Roman" w:eastAsia="宋体" w:cs="Times New Roman"/>
                <w:b/>
                <w:bCs/>
                <w:color w:val="auto"/>
                <w:sz w:val="18"/>
                <w:szCs w:val="18"/>
              </w:rPr>
              <w:t>*</w:t>
            </w:r>
            <w:r>
              <w:rPr>
                <w:rFonts w:hint="eastAsia" w:cs="Times New Roman"/>
                <w:b/>
                <w:bCs/>
                <w:color w:val="auto"/>
                <w:sz w:val="18"/>
                <w:szCs w:val="18"/>
                <w:lang w:eastAsia="zh-CN"/>
              </w:rPr>
              <w:t>风量（</w:t>
            </w:r>
            <w:r>
              <w:rPr>
                <w:rFonts w:hint="eastAsia" w:cs="Times New Roman"/>
                <w:b/>
                <w:bCs/>
                <w:color w:val="auto"/>
                <w:sz w:val="18"/>
                <w:szCs w:val="18"/>
                <w:lang w:val="en-US" w:eastAsia="zh-CN"/>
              </w:rPr>
              <w:t>m</w:t>
            </w:r>
            <w:r>
              <w:rPr>
                <w:rFonts w:hint="eastAsia" w:cs="Times New Roman"/>
                <w:b/>
                <w:bCs/>
                <w:color w:val="auto"/>
                <w:sz w:val="18"/>
                <w:szCs w:val="18"/>
                <w:vertAlign w:val="superscript"/>
                <w:lang w:val="en-US" w:eastAsia="zh-CN"/>
              </w:rPr>
              <w:t>3</w:t>
            </w:r>
            <w:r>
              <w:rPr>
                <w:rFonts w:hint="eastAsia" w:cs="Times New Roman"/>
                <w:b/>
                <w:bCs/>
                <w:color w:val="auto"/>
                <w:sz w:val="18"/>
                <w:szCs w:val="18"/>
                <w:lang w:val="en-US" w:eastAsia="zh-CN"/>
              </w:rPr>
              <w:t>/h</w:t>
            </w:r>
            <w:r>
              <w:rPr>
                <w:rFonts w:hint="eastAsia" w:cs="Times New Roman"/>
                <w:b/>
                <w:bCs/>
                <w:color w:val="auto"/>
                <w:sz w:val="18"/>
                <w:szCs w:val="18"/>
                <w:lang w:eastAsia="zh-CN"/>
              </w:rPr>
              <w:t>）</w:t>
            </w:r>
            <w:r>
              <w:rPr>
                <w:rFonts w:hint="eastAsia" w:ascii="Times New Roman" w:hAnsi="Times New Roman" w:eastAsia="宋体" w:cs="Times New Roman"/>
                <w:b/>
                <w:bCs/>
                <w:color w:val="auto"/>
                <w:sz w:val="18"/>
                <w:szCs w:val="18"/>
              </w:rPr>
              <w:t>/10</w:t>
            </w:r>
            <w:r>
              <w:rPr>
                <w:rFonts w:hint="eastAsia" w:cs="Times New Roman"/>
                <w:b/>
                <w:bCs/>
                <w:color w:val="auto"/>
                <w:sz w:val="18"/>
                <w:szCs w:val="18"/>
                <w:vertAlign w:val="superscript"/>
                <w:lang w:val="en-US" w:eastAsia="zh-CN"/>
              </w:rPr>
              <w:t>3</w:t>
            </w:r>
            <w:r>
              <w:rPr>
                <w:rFonts w:hint="eastAsia" w:cs="Times New Roman"/>
                <w:b/>
                <w:bCs/>
                <w:color w:val="auto"/>
                <w:sz w:val="18"/>
                <w:szCs w:val="18"/>
                <w:lang w:val="en-US" w:eastAsia="zh-CN"/>
              </w:rPr>
              <w:t>*</w:t>
            </w:r>
            <w:r>
              <w:rPr>
                <w:rFonts w:hint="eastAsia" w:cs="Times New Roman"/>
                <w:b/>
                <w:bCs/>
                <w:color w:val="auto"/>
                <w:sz w:val="18"/>
                <w:szCs w:val="18"/>
                <w:lang w:eastAsia="zh-CN"/>
              </w:rPr>
              <w:t>工作时间</w:t>
            </w:r>
            <w:r>
              <w:rPr>
                <w:rFonts w:hint="eastAsia" w:ascii="Times New Roman" w:hAnsi="Times New Roman" w:eastAsia="宋体" w:cs="Times New Roman"/>
                <w:b/>
                <w:bCs/>
                <w:color w:val="auto"/>
                <w:sz w:val="18"/>
                <w:szCs w:val="18"/>
              </w:rPr>
              <w:t>（</w:t>
            </w:r>
            <w:r>
              <w:rPr>
                <w:rFonts w:hint="eastAsia" w:cs="Times New Roman"/>
                <w:b/>
                <w:bCs/>
                <w:color w:val="auto"/>
                <w:sz w:val="18"/>
                <w:szCs w:val="18"/>
                <w:lang w:val="en-US" w:eastAsia="zh-CN"/>
              </w:rPr>
              <w:t>h</w:t>
            </w:r>
            <w:r>
              <w:rPr>
                <w:rFonts w:hint="eastAsia" w:ascii="Times New Roman" w:hAnsi="Times New Roman" w:eastAsia="宋体" w:cs="Times New Roman"/>
                <w:b/>
                <w:bCs/>
                <w:color w:val="auto"/>
                <w:sz w:val="18"/>
                <w:szCs w:val="18"/>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361" w:firstLineChars="200"/>
              <w:jc w:val="both"/>
              <w:textAlignment w:val="auto"/>
              <w:rPr>
                <w:rFonts w:hint="eastAsia" w:cs="Times New Roman"/>
                <w:b/>
                <w:bCs/>
                <w:color w:val="auto"/>
                <w:sz w:val="18"/>
                <w:szCs w:val="18"/>
                <w:lang w:val="en-US" w:eastAsia="zh-CN"/>
              </w:rPr>
            </w:pPr>
            <w:r>
              <w:rPr>
                <w:rFonts w:hint="eastAsia" w:cs="Times New Roman"/>
                <w:b/>
                <w:bCs/>
                <w:color w:val="auto"/>
                <w:sz w:val="18"/>
                <w:szCs w:val="18"/>
                <w:lang w:val="en-US" w:eastAsia="zh-CN"/>
              </w:rPr>
              <w:t>1#排气筒颗粒物=17.6/1000/1000*12000/1000*4800=1.0138t/a</w:t>
            </w:r>
          </w:p>
          <w:p>
            <w:pPr>
              <w:keepNext w:val="0"/>
              <w:keepLines w:val="0"/>
              <w:pageBreakBefore w:val="0"/>
              <w:widowControl w:val="0"/>
              <w:kinsoku/>
              <w:wordWrap/>
              <w:overflowPunct/>
              <w:topLinePunct w:val="0"/>
              <w:autoSpaceDE/>
              <w:autoSpaceDN/>
              <w:bidi w:val="0"/>
              <w:adjustRightInd w:val="0"/>
              <w:snapToGrid w:val="0"/>
              <w:spacing w:line="360" w:lineRule="auto"/>
              <w:ind w:firstLine="361" w:firstLineChars="200"/>
              <w:jc w:val="both"/>
              <w:textAlignment w:val="auto"/>
              <w:rPr>
                <w:rFonts w:hint="eastAsia" w:cs="Times New Roman"/>
                <w:b/>
                <w:bCs/>
                <w:color w:val="auto"/>
                <w:sz w:val="18"/>
                <w:szCs w:val="18"/>
                <w:lang w:val="en-US" w:eastAsia="zh-CN"/>
              </w:rPr>
            </w:pPr>
            <w:r>
              <w:rPr>
                <w:rFonts w:hint="eastAsia" w:cs="Times New Roman"/>
                <w:b/>
                <w:bCs/>
                <w:color w:val="auto"/>
                <w:sz w:val="18"/>
                <w:szCs w:val="18"/>
                <w:lang w:val="en-US" w:eastAsia="zh-CN"/>
              </w:rPr>
              <w:t>1#排气筒二氧化硫=1.5/1000/1000*12000/1000*4800=0.0864t/a</w:t>
            </w:r>
          </w:p>
          <w:p>
            <w:pPr>
              <w:keepNext w:val="0"/>
              <w:keepLines w:val="0"/>
              <w:pageBreakBefore w:val="0"/>
              <w:widowControl w:val="0"/>
              <w:kinsoku/>
              <w:wordWrap/>
              <w:overflowPunct/>
              <w:topLinePunct w:val="0"/>
              <w:autoSpaceDE/>
              <w:autoSpaceDN/>
              <w:bidi w:val="0"/>
              <w:adjustRightInd w:val="0"/>
              <w:snapToGrid w:val="0"/>
              <w:spacing w:line="360" w:lineRule="auto"/>
              <w:ind w:firstLine="361" w:firstLineChars="200"/>
              <w:jc w:val="both"/>
              <w:textAlignment w:val="auto"/>
              <w:rPr>
                <w:rFonts w:hint="default" w:cs="Times New Roman"/>
                <w:b/>
                <w:bCs/>
                <w:color w:val="auto"/>
                <w:sz w:val="18"/>
                <w:szCs w:val="18"/>
                <w:lang w:val="en-US" w:eastAsia="zh-CN"/>
              </w:rPr>
            </w:pPr>
            <w:r>
              <w:rPr>
                <w:rFonts w:hint="eastAsia" w:cs="Times New Roman"/>
                <w:b/>
                <w:bCs/>
                <w:color w:val="auto"/>
                <w:sz w:val="18"/>
                <w:szCs w:val="18"/>
                <w:lang w:val="en-US" w:eastAsia="zh-CN"/>
              </w:rPr>
              <w:t>1#排气筒氮氧化物=163/1000/1000*12000/1000*4800=9.3888t/a</w:t>
            </w:r>
          </w:p>
          <w:p>
            <w:pPr>
              <w:keepNext w:val="0"/>
              <w:keepLines w:val="0"/>
              <w:pageBreakBefore w:val="0"/>
              <w:widowControl w:val="0"/>
              <w:kinsoku/>
              <w:wordWrap/>
              <w:overflowPunct/>
              <w:topLinePunct w:val="0"/>
              <w:autoSpaceDE/>
              <w:autoSpaceDN/>
              <w:bidi w:val="0"/>
              <w:adjustRightInd w:val="0"/>
              <w:snapToGrid w:val="0"/>
              <w:spacing w:line="360" w:lineRule="auto"/>
              <w:ind w:firstLine="361" w:firstLineChars="200"/>
              <w:jc w:val="both"/>
              <w:textAlignment w:val="auto"/>
              <w:rPr>
                <w:rFonts w:hint="eastAsia" w:cs="Times New Roman"/>
                <w:b/>
                <w:bCs/>
                <w:color w:val="auto"/>
                <w:sz w:val="18"/>
                <w:szCs w:val="18"/>
                <w:lang w:val="en-US" w:eastAsia="zh-CN"/>
              </w:rPr>
            </w:pPr>
            <w:r>
              <w:rPr>
                <w:rFonts w:hint="eastAsia" w:cs="Times New Roman"/>
                <w:b/>
                <w:bCs/>
                <w:color w:val="auto"/>
                <w:sz w:val="18"/>
                <w:szCs w:val="18"/>
                <w:lang w:val="en-US" w:eastAsia="zh-CN"/>
              </w:rPr>
              <w:t>2#排气筒颗粒物=17.6/1000/1000*10000/1000*4800=0.8448t/a</w:t>
            </w:r>
          </w:p>
          <w:p>
            <w:pPr>
              <w:keepNext w:val="0"/>
              <w:keepLines w:val="0"/>
              <w:pageBreakBefore w:val="0"/>
              <w:widowControl w:val="0"/>
              <w:kinsoku/>
              <w:wordWrap/>
              <w:overflowPunct/>
              <w:topLinePunct w:val="0"/>
              <w:autoSpaceDE/>
              <w:autoSpaceDN/>
              <w:bidi w:val="0"/>
              <w:adjustRightInd w:val="0"/>
              <w:snapToGrid w:val="0"/>
              <w:spacing w:line="360" w:lineRule="auto"/>
              <w:ind w:firstLine="361" w:firstLineChars="200"/>
              <w:jc w:val="both"/>
              <w:textAlignment w:val="auto"/>
              <w:rPr>
                <w:rFonts w:hint="eastAsia" w:cs="Times New Roman"/>
                <w:b/>
                <w:bCs/>
                <w:color w:val="auto"/>
                <w:sz w:val="18"/>
                <w:szCs w:val="18"/>
                <w:lang w:val="en-US" w:eastAsia="zh-CN"/>
              </w:rPr>
            </w:pPr>
            <w:r>
              <w:rPr>
                <w:rFonts w:hint="eastAsia" w:cs="Times New Roman"/>
                <w:b/>
                <w:bCs/>
                <w:color w:val="auto"/>
                <w:sz w:val="18"/>
                <w:szCs w:val="18"/>
                <w:lang w:val="en-US" w:eastAsia="zh-CN"/>
              </w:rPr>
              <w:t>2#排气筒二氧化硫=1.5/1000/1000*10000/1000*4800=0.072t/a</w:t>
            </w:r>
          </w:p>
          <w:p>
            <w:pPr>
              <w:keepNext w:val="0"/>
              <w:keepLines w:val="0"/>
              <w:pageBreakBefore w:val="0"/>
              <w:widowControl w:val="0"/>
              <w:kinsoku/>
              <w:wordWrap/>
              <w:overflowPunct/>
              <w:topLinePunct w:val="0"/>
              <w:autoSpaceDE/>
              <w:autoSpaceDN/>
              <w:bidi w:val="0"/>
              <w:adjustRightInd w:val="0"/>
              <w:snapToGrid w:val="0"/>
              <w:spacing w:line="360" w:lineRule="auto"/>
              <w:ind w:firstLine="361" w:firstLineChars="200"/>
              <w:jc w:val="both"/>
              <w:textAlignment w:val="auto"/>
              <w:rPr>
                <w:rFonts w:hint="default" w:cs="Times New Roman"/>
                <w:b/>
                <w:bCs/>
                <w:color w:val="auto"/>
                <w:sz w:val="18"/>
                <w:szCs w:val="18"/>
                <w:lang w:val="en-US" w:eastAsia="zh-CN"/>
              </w:rPr>
            </w:pPr>
            <w:r>
              <w:rPr>
                <w:rFonts w:hint="eastAsia" w:cs="Times New Roman"/>
                <w:b/>
                <w:bCs/>
                <w:color w:val="auto"/>
                <w:sz w:val="18"/>
                <w:szCs w:val="18"/>
                <w:lang w:val="en-US" w:eastAsia="zh-CN"/>
              </w:rPr>
              <w:t>2#排气筒氮氧化物=163/1000/1000*10000/1000*4800=7.824t/a</w:t>
            </w:r>
          </w:p>
          <w:p>
            <w:pPr>
              <w:keepNext w:val="0"/>
              <w:keepLines w:val="0"/>
              <w:pageBreakBefore w:val="0"/>
              <w:widowControl w:val="0"/>
              <w:kinsoku/>
              <w:wordWrap/>
              <w:overflowPunct/>
              <w:topLinePunct w:val="0"/>
              <w:autoSpaceDE/>
              <w:autoSpaceDN/>
              <w:bidi w:val="0"/>
              <w:adjustRightInd w:val="0"/>
              <w:snapToGrid w:val="0"/>
              <w:spacing w:line="360" w:lineRule="auto"/>
              <w:ind w:firstLine="361" w:firstLineChars="200"/>
              <w:jc w:val="both"/>
              <w:textAlignment w:val="auto"/>
              <w:rPr>
                <w:rFonts w:hint="eastAsia" w:cs="Times New Roman"/>
                <w:b/>
                <w:bCs/>
                <w:color w:val="auto"/>
                <w:sz w:val="18"/>
                <w:szCs w:val="18"/>
                <w:lang w:val="en-US" w:eastAsia="zh-CN"/>
              </w:rPr>
            </w:pPr>
            <w:r>
              <w:rPr>
                <w:rFonts w:hint="eastAsia" w:cs="Times New Roman"/>
                <w:b/>
                <w:bCs/>
                <w:color w:val="auto"/>
                <w:sz w:val="18"/>
                <w:szCs w:val="18"/>
                <w:lang w:val="en-US" w:eastAsia="zh-CN"/>
              </w:rPr>
              <w:t>3#排气筒颗粒物=17.6/1000/1000*28000/1000*4800=2.3654t/a</w:t>
            </w:r>
          </w:p>
          <w:p>
            <w:pPr>
              <w:keepNext w:val="0"/>
              <w:keepLines w:val="0"/>
              <w:pageBreakBefore w:val="0"/>
              <w:widowControl w:val="0"/>
              <w:kinsoku/>
              <w:wordWrap/>
              <w:overflowPunct/>
              <w:topLinePunct w:val="0"/>
              <w:autoSpaceDE/>
              <w:autoSpaceDN/>
              <w:bidi w:val="0"/>
              <w:adjustRightInd w:val="0"/>
              <w:snapToGrid w:val="0"/>
              <w:spacing w:line="360" w:lineRule="auto"/>
              <w:ind w:firstLine="361" w:firstLineChars="200"/>
              <w:jc w:val="both"/>
              <w:textAlignment w:val="auto"/>
              <w:rPr>
                <w:rFonts w:hint="eastAsia" w:cs="Times New Roman"/>
                <w:b/>
                <w:bCs/>
                <w:color w:val="auto"/>
                <w:sz w:val="18"/>
                <w:szCs w:val="18"/>
                <w:lang w:val="en-US" w:eastAsia="zh-CN"/>
              </w:rPr>
            </w:pPr>
            <w:r>
              <w:rPr>
                <w:rFonts w:hint="eastAsia" w:cs="Times New Roman"/>
                <w:b/>
                <w:bCs/>
                <w:color w:val="auto"/>
                <w:sz w:val="18"/>
                <w:szCs w:val="18"/>
                <w:lang w:val="en-US" w:eastAsia="zh-CN"/>
              </w:rPr>
              <w:t>3#排气筒二氧化硫=1.5/1000/1000*28000/1000*4800=0.2016t/a</w:t>
            </w:r>
          </w:p>
          <w:p>
            <w:pPr>
              <w:keepNext w:val="0"/>
              <w:keepLines w:val="0"/>
              <w:pageBreakBefore w:val="0"/>
              <w:widowControl w:val="0"/>
              <w:kinsoku/>
              <w:wordWrap/>
              <w:overflowPunct/>
              <w:topLinePunct w:val="0"/>
              <w:autoSpaceDE/>
              <w:autoSpaceDN/>
              <w:bidi w:val="0"/>
              <w:adjustRightInd w:val="0"/>
              <w:snapToGrid w:val="0"/>
              <w:spacing w:line="360" w:lineRule="auto"/>
              <w:ind w:firstLine="361" w:firstLineChars="200"/>
              <w:jc w:val="both"/>
              <w:textAlignment w:val="auto"/>
              <w:rPr>
                <w:rFonts w:hint="default" w:cs="Times New Roman"/>
                <w:b/>
                <w:bCs/>
                <w:color w:val="auto"/>
                <w:sz w:val="18"/>
                <w:szCs w:val="18"/>
                <w:lang w:val="en-US" w:eastAsia="zh-CN"/>
              </w:rPr>
            </w:pPr>
            <w:r>
              <w:rPr>
                <w:rFonts w:hint="eastAsia" w:cs="Times New Roman"/>
                <w:b/>
                <w:bCs/>
                <w:color w:val="auto"/>
                <w:sz w:val="18"/>
                <w:szCs w:val="18"/>
                <w:lang w:val="en-US" w:eastAsia="zh-CN"/>
              </w:rPr>
              <w:t>3#排气筒氮氧化物=163/1000/1000*28000/1000*4800=21.9072t/a</w:t>
            </w:r>
          </w:p>
          <w:p>
            <w:pPr>
              <w:keepNext w:val="0"/>
              <w:keepLines w:val="0"/>
              <w:pageBreakBefore w:val="0"/>
              <w:widowControl w:val="0"/>
              <w:kinsoku/>
              <w:wordWrap/>
              <w:overflowPunct/>
              <w:topLinePunct w:val="0"/>
              <w:autoSpaceDE/>
              <w:autoSpaceDN/>
              <w:bidi w:val="0"/>
              <w:adjustRightInd w:val="0"/>
              <w:snapToGrid w:val="0"/>
              <w:spacing w:line="360" w:lineRule="auto"/>
              <w:ind w:firstLine="361" w:firstLineChars="200"/>
              <w:jc w:val="both"/>
              <w:textAlignment w:val="auto"/>
              <w:rPr>
                <w:rFonts w:hint="eastAsia" w:cs="Times New Roman"/>
                <w:b/>
                <w:bCs/>
                <w:color w:val="auto"/>
                <w:sz w:val="18"/>
                <w:szCs w:val="18"/>
                <w:lang w:val="en-US" w:eastAsia="zh-CN"/>
              </w:rPr>
            </w:pPr>
            <w:r>
              <w:rPr>
                <w:rFonts w:hint="eastAsia" w:cs="Times New Roman"/>
                <w:b/>
                <w:bCs/>
                <w:color w:val="auto"/>
                <w:sz w:val="18"/>
                <w:szCs w:val="18"/>
                <w:lang w:val="en-US" w:eastAsia="zh-CN"/>
              </w:rPr>
              <w:t>4#排气筒颗粒物=17.6/1000/1000*18000/1000*4800=1.2672t/a</w:t>
            </w:r>
          </w:p>
          <w:p>
            <w:pPr>
              <w:keepNext w:val="0"/>
              <w:keepLines w:val="0"/>
              <w:pageBreakBefore w:val="0"/>
              <w:widowControl w:val="0"/>
              <w:kinsoku/>
              <w:wordWrap/>
              <w:overflowPunct/>
              <w:topLinePunct w:val="0"/>
              <w:autoSpaceDE/>
              <w:autoSpaceDN/>
              <w:bidi w:val="0"/>
              <w:adjustRightInd w:val="0"/>
              <w:snapToGrid w:val="0"/>
              <w:spacing w:line="360" w:lineRule="auto"/>
              <w:ind w:firstLine="361" w:firstLineChars="200"/>
              <w:jc w:val="both"/>
              <w:textAlignment w:val="auto"/>
              <w:rPr>
                <w:rFonts w:hint="eastAsia" w:cs="Times New Roman"/>
                <w:b/>
                <w:bCs/>
                <w:color w:val="auto"/>
                <w:sz w:val="18"/>
                <w:szCs w:val="18"/>
                <w:lang w:val="en-US" w:eastAsia="zh-CN"/>
              </w:rPr>
            </w:pPr>
            <w:r>
              <w:rPr>
                <w:rFonts w:hint="eastAsia" w:cs="Times New Roman"/>
                <w:b/>
                <w:bCs/>
                <w:color w:val="auto"/>
                <w:sz w:val="18"/>
                <w:szCs w:val="18"/>
                <w:lang w:val="en-US" w:eastAsia="zh-CN"/>
              </w:rPr>
              <w:t>4#排气筒二氧化硫=1.5/1000/1000*18000/1000*4800=0.1296t/a</w:t>
            </w:r>
          </w:p>
          <w:p>
            <w:pPr>
              <w:keepNext w:val="0"/>
              <w:keepLines w:val="0"/>
              <w:pageBreakBefore w:val="0"/>
              <w:widowControl w:val="0"/>
              <w:kinsoku/>
              <w:wordWrap/>
              <w:overflowPunct/>
              <w:topLinePunct w:val="0"/>
              <w:autoSpaceDE/>
              <w:autoSpaceDN/>
              <w:bidi w:val="0"/>
              <w:adjustRightInd w:val="0"/>
              <w:snapToGrid w:val="0"/>
              <w:spacing w:line="360" w:lineRule="auto"/>
              <w:ind w:firstLine="361" w:firstLineChars="200"/>
              <w:jc w:val="both"/>
              <w:textAlignment w:val="auto"/>
              <w:rPr>
                <w:rFonts w:hint="default" w:cs="Times New Roman"/>
                <w:b/>
                <w:bCs/>
                <w:color w:val="auto"/>
                <w:sz w:val="18"/>
                <w:szCs w:val="18"/>
                <w:lang w:val="en-US" w:eastAsia="zh-CN"/>
              </w:rPr>
            </w:pPr>
            <w:r>
              <w:rPr>
                <w:rFonts w:hint="eastAsia" w:cs="Times New Roman"/>
                <w:b/>
                <w:bCs/>
                <w:color w:val="auto"/>
                <w:sz w:val="18"/>
                <w:szCs w:val="18"/>
                <w:lang w:val="en-US" w:eastAsia="zh-CN"/>
              </w:rPr>
              <w:t>4#排气筒氮氧化物=163/1000/1000*18000/1000*4800=14.0832t/a</w:t>
            </w:r>
          </w:p>
          <w:p>
            <w:pPr>
              <w:keepNext w:val="0"/>
              <w:keepLines w:val="0"/>
              <w:pageBreakBefore w:val="0"/>
              <w:widowControl w:val="0"/>
              <w:kinsoku/>
              <w:wordWrap/>
              <w:overflowPunct/>
              <w:topLinePunct w:val="0"/>
              <w:autoSpaceDE/>
              <w:autoSpaceDN/>
              <w:bidi w:val="0"/>
              <w:adjustRightInd w:val="0"/>
              <w:snapToGrid w:val="0"/>
              <w:spacing w:line="360" w:lineRule="auto"/>
              <w:ind w:firstLine="361" w:firstLineChars="200"/>
              <w:jc w:val="both"/>
              <w:textAlignment w:val="auto"/>
              <w:rPr>
                <w:rFonts w:hint="eastAsia" w:cs="Times New Roman"/>
                <w:b/>
                <w:bCs/>
                <w:color w:val="auto"/>
                <w:sz w:val="18"/>
                <w:szCs w:val="18"/>
                <w:lang w:val="en-US" w:eastAsia="zh-CN"/>
              </w:rPr>
            </w:pPr>
            <w:r>
              <w:rPr>
                <w:rFonts w:hint="eastAsia" w:cs="Times New Roman"/>
                <w:b/>
                <w:bCs/>
                <w:color w:val="auto"/>
                <w:sz w:val="18"/>
                <w:szCs w:val="18"/>
                <w:lang w:val="en-US" w:eastAsia="zh-CN"/>
              </w:rPr>
              <w:t>5#排气筒颗粒物=16.6/1000/1000*15000/1000*4800=1.1952t/a</w:t>
            </w:r>
          </w:p>
          <w:p>
            <w:pPr>
              <w:keepNext w:val="0"/>
              <w:keepLines w:val="0"/>
              <w:pageBreakBefore w:val="0"/>
              <w:widowControl w:val="0"/>
              <w:kinsoku/>
              <w:wordWrap/>
              <w:overflowPunct/>
              <w:topLinePunct w:val="0"/>
              <w:autoSpaceDE/>
              <w:autoSpaceDN/>
              <w:bidi w:val="0"/>
              <w:adjustRightInd w:val="0"/>
              <w:snapToGrid w:val="0"/>
              <w:spacing w:line="360" w:lineRule="auto"/>
              <w:ind w:firstLine="361" w:firstLineChars="200"/>
              <w:jc w:val="both"/>
              <w:textAlignment w:val="auto"/>
              <w:rPr>
                <w:rFonts w:hint="eastAsia" w:cs="Times New Roman"/>
                <w:b/>
                <w:bCs/>
                <w:color w:val="auto"/>
                <w:sz w:val="18"/>
                <w:szCs w:val="18"/>
                <w:lang w:val="en-US" w:eastAsia="zh-CN"/>
              </w:rPr>
            </w:pPr>
            <w:r>
              <w:rPr>
                <w:rFonts w:hint="eastAsia" w:cs="Times New Roman"/>
                <w:b/>
                <w:bCs/>
                <w:color w:val="auto"/>
                <w:sz w:val="18"/>
                <w:szCs w:val="18"/>
                <w:lang w:val="en-US" w:eastAsia="zh-CN"/>
              </w:rPr>
              <w:t>5#排气筒二氧化硫=1.5/1000/1000*15000/1000*4800=0.108t/a</w:t>
            </w:r>
          </w:p>
          <w:p>
            <w:pPr>
              <w:keepNext w:val="0"/>
              <w:keepLines w:val="0"/>
              <w:pageBreakBefore w:val="0"/>
              <w:widowControl w:val="0"/>
              <w:kinsoku/>
              <w:wordWrap/>
              <w:overflowPunct/>
              <w:topLinePunct w:val="0"/>
              <w:autoSpaceDE/>
              <w:autoSpaceDN/>
              <w:bidi w:val="0"/>
              <w:adjustRightInd w:val="0"/>
              <w:snapToGrid w:val="0"/>
              <w:spacing w:line="360" w:lineRule="auto"/>
              <w:ind w:firstLine="361" w:firstLineChars="200"/>
              <w:jc w:val="both"/>
              <w:textAlignment w:val="auto"/>
              <w:rPr>
                <w:rFonts w:hint="default" w:cs="Times New Roman"/>
                <w:b/>
                <w:bCs/>
                <w:color w:val="auto"/>
                <w:sz w:val="18"/>
                <w:szCs w:val="18"/>
                <w:lang w:val="en-US" w:eastAsia="zh-CN"/>
              </w:rPr>
            </w:pPr>
            <w:r>
              <w:rPr>
                <w:rFonts w:hint="eastAsia" w:cs="Times New Roman"/>
                <w:b/>
                <w:bCs/>
                <w:color w:val="auto"/>
                <w:sz w:val="18"/>
                <w:szCs w:val="18"/>
                <w:lang w:val="en-US" w:eastAsia="zh-CN"/>
              </w:rPr>
              <w:t>5#排气筒氮氧化物=136/1000/1000*15000/1000*4800=9.792t/a</w:t>
            </w:r>
          </w:p>
          <w:p>
            <w:pPr>
              <w:keepNext w:val="0"/>
              <w:keepLines w:val="0"/>
              <w:pageBreakBefore w:val="0"/>
              <w:widowControl w:val="0"/>
              <w:kinsoku/>
              <w:wordWrap/>
              <w:overflowPunct/>
              <w:topLinePunct w:val="0"/>
              <w:autoSpaceDE/>
              <w:autoSpaceDN/>
              <w:bidi w:val="0"/>
              <w:adjustRightInd w:val="0"/>
              <w:snapToGrid w:val="0"/>
              <w:spacing w:line="360" w:lineRule="auto"/>
              <w:ind w:firstLine="361" w:firstLineChars="200"/>
              <w:jc w:val="both"/>
              <w:textAlignment w:val="auto"/>
              <w:rPr>
                <w:rFonts w:hint="eastAsia" w:cs="Times New Roman"/>
                <w:b/>
                <w:bCs/>
                <w:color w:val="auto"/>
                <w:sz w:val="18"/>
                <w:szCs w:val="18"/>
                <w:lang w:val="en-US" w:eastAsia="zh-CN"/>
              </w:rPr>
            </w:pPr>
            <w:r>
              <w:rPr>
                <w:rFonts w:hint="eastAsia" w:cs="Times New Roman"/>
                <w:b/>
                <w:bCs/>
                <w:color w:val="auto"/>
                <w:sz w:val="18"/>
                <w:szCs w:val="18"/>
                <w:lang w:val="en-US" w:eastAsia="zh-CN"/>
              </w:rPr>
              <w:t>6#排气筒颗粒物=16.6/1000/1000*15000/1000*4800=1.1952t/a</w:t>
            </w:r>
          </w:p>
          <w:p>
            <w:pPr>
              <w:keepNext w:val="0"/>
              <w:keepLines w:val="0"/>
              <w:pageBreakBefore w:val="0"/>
              <w:widowControl w:val="0"/>
              <w:kinsoku/>
              <w:wordWrap/>
              <w:overflowPunct/>
              <w:topLinePunct w:val="0"/>
              <w:autoSpaceDE/>
              <w:autoSpaceDN/>
              <w:bidi w:val="0"/>
              <w:adjustRightInd w:val="0"/>
              <w:snapToGrid w:val="0"/>
              <w:spacing w:line="360" w:lineRule="auto"/>
              <w:ind w:firstLine="361" w:firstLineChars="200"/>
              <w:jc w:val="both"/>
              <w:textAlignment w:val="auto"/>
              <w:rPr>
                <w:rFonts w:hint="eastAsia" w:cs="Times New Roman"/>
                <w:b/>
                <w:bCs/>
                <w:color w:val="auto"/>
                <w:sz w:val="18"/>
                <w:szCs w:val="18"/>
                <w:lang w:val="en-US" w:eastAsia="zh-CN"/>
              </w:rPr>
            </w:pPr>
            <w:r>
              <w:rPr>
                <w:rFonts w:hint="eastAsia" w:cs="Times New Roman"/>
                <w:b/>
                <w:bCs/>
                <w:color w:val="auto"/>
                <w:sz w:val="18"/>
                <w:szCs w:val="18"/>
                <w:lang w:val="en-US" w:eastAsia="zh-CN"/>
              </w:rPr>
              <w:t>6#排气筒二氧化硫=1.5/1000/1000*15000/1000*4800=0.108t/a</w:t>
            </w:r>
          </w:p>
          <w:p>
            <w:pPr>
              <w:keepNext w:val="0"/>
              <w:keepLines w:val="0"/>
              <w:pageBreakBefore w:val="0"/>
              <w:widowControl w:val="0"/>
              <w:kinsoku/>
              <w:wordWrap/>
              <w:overflowPunct/>
              <w:topLinePunct w:val="0"/>
              <w:autoSpaceDE/>
              <w:autoSpaceDN/>
              <w:bidi w:val="0"/>
              <w:adjustRightInd w:val="0"/>
              <w:snapToGrid w:val="0"/>
              <w:spacing w:line="360" w:lineRule="auto"/>
              <w:ind w:firstLine="361" w:firstLineChars="200"/>
              <w:jc w:val="both"/>
              <w:textAlignment w:val="auto"/>
              <w:rPr>
                <w:rFonts w:hint="default" w:cs="Times New Roman"/>
                <w:b/>
                <w:bCs/>
                <w:color w:val="auto"/>
                <w:sz w:val="18"/>
                <w:szCs w:val="18"/>
                <w:lang w:val="en-US" w:eastAsia="zh-CN"/>
              </w:rPr>
            </w:pPr>
            <w:r>
              <w:rPr>
                <w:rFonts w:hint="eastAsia" w:cs="Times New Roman"/>
                <w:b/>
                <w:bCs/>
                <w:color w:val="auto"/>
                <w:sz w:val="18"/>
                <w:szCs w:val="18"/>
                <w:lang w:val="en-US" w:eastAsia="zh-CN"/>
              </w:rPr>
              <w:t>6#排气筒氮氧化物=136/1000/1000*15000/1000*4800=9.792t/a</w:t>
            </w:r>
          </w:p>
          <w:p>
            <w:pPr>
              <w:keepNext w:val="0"/>
              <w:keepLines w:val="0"/>
              <w:pageBreakBefore w:val="0"/>
              <w:widowControl w:val="0"/>
              <w:kinsoku/>
              <w:wordWrap/>
              <w:overflowPunct/>
              <w:topLinePunct w:val="0"/>
              <w:autoSpaceDE/>
              <w:autoSpaceDN/>
              <w:bidi w:val="0"/>
              <w:ind w:firstLine="361" w:firstLineChars="200"/>
              <w:textAlignment w:val="auto"/>
              <w:rPr>
                <w:rFonts w:hint="default"/>
                <w:color w:val="auto"/>
                <w:lang w:val="en-US" w:eastAsia="zh-CN"/>
              </w:rPr>
            </w:pPr>
            <w:r>
              <w:rPr>
                <w:rFonts w:hint="eastAsia" w:cs="Times New Roman"/>
                <w:b/>
                <w:bCs/>
                <w:color w:val="auto"/>
                <w:sz w:val="18"/>
                <w:szCs w:val="18"/>
                <w:lang w:val="en-US" w:eastAsia="zh-CN"/>
              </w:rPr>
              <w:t>则颗粒物总量为8.135t/a，二氧化硫总量0.7056t/a，氮氧化物总量72.7872t/a</w:t>
            </w:r>
          </w:p>
          <w:p>
            <w:pPr>
              <w:spacing w:line="500" w:lineRule="exact"/>
              <w:ind w:firstLine="420" w:firstLineChars="200"/>
              <w:rPr>
                <w:rFonts w:ascii="Times New Roman" w:hAnsi="Times New Roman" w:eastAsia="宋体" w:cs="Times New Roman"/>
                <w:color w:val="auto"/>
                <w:szCs w:val="21"/>
              </w:rPr>
            </w:pPr>
            <w:r>
              <w:rPr>
                <w:rFonts w:hint="eastAsia"/>
                <w:lang w:val="en-US" w:eastAsia="zh-CN"/>
              </w:rPr>
              <w:t>根据</w:t>
            </w:r>
            <w:r>
              <w:rPr>
                <w:rFonts w:hint="eastAsia" w:ascii="Times New Roman" w:hAnsi="Times New Roman" w:eastAsia="宋体" w:cs="Times New Roman"/>
                <w:color w:val="000000"/>
                <w:szCs w:val="21"/>
                <w:lang w:val="en-US" w:eastAsia="zh-CN"/>
              </w:rPr>
              <w:t>新建5000T快锻机组生产线</w:t>
            </w:r>
            <w:r>
              <w:rPr>
                <w:rFonts w:hint="eastAsia"/>
                <w:lang w:val="en-US" w:eastAsia="zh-CN"/>
              </w:rPr>
              <w:t>项目竣工环保验收检测数据（检测时间</w:t>
            </w:r>
            <w:r>
              <w:rPr>
                <w:rFonts w:hint="eastAsia"/>
                <w:color w:val="auto"/>
                <w:lang w:val="en-US" w:eastAsia="zh-CN"/>
              </w:rPr>
              <w:t>2017.02.03）</w:t>
            </w:r>
            <w:r>
              <w:rPr>
                <w:rFonts w:ascii="Times New Roman" w:hAnsi="Times New Roman" w:eastAsia="宋体" w:cs="Times New Roman"/>
                <w:color w:val="auto"/>
                <w:szCs w:val="21"/>
              </w:rPr>
              <w:t>并比对</w:t>
            </w:r>
            <w:r>
              <w:rPr>
                <w:rFonts w:hint="eastAsia" w:ascii="Times New Roman" w:hAnsi="Times New Roman" w:eastAsia="宋体" w:cs="Times New Roman"/>
                <w:color w:val="000000"/>
                <w:szCs w:val="21"/>
                <w:lang w:val="en-US" w:eastAsia="zh-CN"/>
              </w:rPr>
              <w:t>《工业炉窑大气污染物排放标准》（DB32/3728—20</w:t>
            </w:r>
            <w:r>
              <w:rPr>
                <w:rFonts w:hint="eastAsia" w:cs="Times New Roman"/>
                <w:color w:val="000000"/>
                <w:szCs w:val="21"/>
                <w:lang w:val="en-US" w:eastAsia="zh-CN"/>
              </w:rPr>
              <w:t>20</w:t>
            </w:r>
            <w:r>
              <w:rPr>
                <w:rFonts w:hint="eastAsia" w:ascii="Times New Roman" w:hAnsi="Times New Roman" w:eastAsia="宋体" w:cs="Times New Roman"/>
                <w:color w:val="000000"/>
                <w:szCs w:val="21"/>
                <w:lang w:val="en-US" w:eastAsia="zh-CN"/>
              </w:rPr>
              <w:t>）</w:t>
            </w:r>
            <w:r>
              <w:rPr>
                <w:rFonts w:hint="eastAsia"/>
                <w:szCs w:val="21"/>
              </w:rPr>
              <w:t>表1中</w:t>
            </w:r>
            <w:r>
              <w:rPr>
                <w:szCs w:val="21"/>
              </w:rPr>
              <w:t>相关标准</w:t>
            </w:r>
            <w:r>
              <w:rPr>
                <w:rFonts w:ascii="Times New Roman" w:hAnsi="Times New Roman" w:eastAsia="宋体" w:cs="Times New Roman"/>
                <w:color w:val="auto"/>
                <w:szCs w:val="21"/>
              </w:rPr>
              <w:t>可知</w:t>
            </w:r>
            <w:r>
              <w:rPr>
                <w:rFonts w:hint="eastAsia" w:ascii="Times New Roman" w:hAnsi="Times New Roman" w:eastAsia="宋体" w:cs="Times New Roman"/>
                <w:color w:val="auto"/>
                <w:szCs w:val="21"/>
              </w:rPr>
              <w:t>，</w:t>
            </w:r>
            <w:r>
              <w:rPr>
                <w:rFonts w:hint="eastAsia" w:ascii="Times New Roman" w:hAnsi="Times New Roman" w:eastAsia="宋体" w:cs="Times New Roman"/>
                <w:color w:val="auto"/>
                <w:szCs w:val="21"/>
                <w:lang w:val="en-US" w:eastAsia="zh-CN"/>
              </w:rPr>
              <w:t>1#、</w:t>
            </w:r>
            <w:r>
              <w:rPr>
                <w:rFonts w:ascii="Times New Roman" w:hAnsi="Times New Roman" w:eastAsia="宋体" w:cs="Times New Roman"/>
                <w:color w:val="auto"/>
                <w:szCs w:val="21"/>
              </w:rPr>
              <w:t>2#</w:t>
            </w:r>
            <w:r>
              <w:rPr>
                <w:rFonts w:hint="eastAsia" w:ascii="Times New Roman" w:hAnsi="Times New Roman" w:eastAsia="宋体" w:cs="Times New Roman"/>
                <w:color w:val="auto"/>
                <w:szCs w:val="21"/>
                <w:lang w:eastAsia="zh-CN"/>
              </w:rPr>
              <w:t>、</w:t>
            </w:r>
            <w:r>
              <w:rPr>
                <w:rFonts w:hint="eastAsia" w:ascii="Times New Roman" w:hAnsi="Times New Roman" w:eastAsia="宋体" w:cs="Times New Roman"/>
                <w:color w:val="auto"/>
                <w:szCs w:val="21"/>
                <w:lang w:val="en-US" w:eastAsia="zh-CN"/>
              </w:rPr>
              <w:t>3</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lang w:eastAsia="zh-CN"/>
              </w:rPr>
              <w:t>、</w:t>
            </w:r>
            <w:r>
              <w:rPr>
                <w:rFonts w:hint="eastAsia" w:ascii="Times New Roman" w:hAnsi="Times New Roman" w:eastAsia="宋体" w:cs="Times New Roman"/>
                <w:color w:val="auto"/>
                <w:szCs w:val="21"/>
                <w:lang w:val="en-US" w:eastAsia="zh-CN"/>
              </w:rPr>
              <w:t>4</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lang w:eastAsia="zh-CN"/>
              </w:rPr>
              <w:t>、</w:t>
            </w:r>
            <w:r>
              <w:rPr>
                <w:rFonts w:hint="eastAsia" w:ascii="Times New Roman" w:hAnsi="Times New Roman" w:eastAsia="宋体" w:cs="Times New Roman"/>
                <w:color w:val="auto"/>
                <w:szCs w:val="21"/>
                <w:lang w:val="en-US" w:eastAsia="zh-CN"/>
              </w:rPr>
              <w:t>5</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lang w:eastAsia="zh-CN"/>
              </w:rPr>
              <w:t>、</w:t>
            </w:r>
            <w:r>
              <w:rPr>
                <w:rFonts w:hint="eastAsia" w:ascii="Times New Roman" w:hAnsi="Times New Roman" w:eastAsia="宋体" w:cs="Times New Roman"/>
                <w:color w:val="auto"/>
                <w:szCs w:val="21"/>
                <w:lang w:val="en-US" w:eastAsia="zh-CN"/>
              </w:rPr>
              <w:t>6</w:t>
            </w:r>
            <w:r>
              <w:rPr>
                <w:rFonts w:ascii="Times New Roman" w:hAnsi="Times New Roman" w:eastAsia="宋体" w:cs="Times New Roman"/>
                <w:color w:val="auto"/>
                <w:szCs w:val="21"/>
              </w:rPr>
              <w:t>#废气有组织排放浓度均可满足相关标准要求。</w:t>
            </w:r>
          </w:p>
          <w:p>
            <w:pPr>
              <w:keepNext w:val="0"/>
              <w:keepLines w:val="0"/>
              <w:pageBreakBefore w:val="0"/>
              <w:widowControl/>
              <w:kinsoku/>
              <w:wordWrap/>
              <w:overflowPunct/>
              <w:topLinePunct w:val="0"/>
              <w:autoSpaceDE/>
              <w:autoSpaceDN/>
              <w:bidi w:val="0"/>
              <w:adjustRightInd/>
              <w:snapToGrid/>
              <w:spacing w:beforeAutospacing="0" w:afterAutospacing="0" w:line="500" w:lineRule="exact"/>
              <w:ind w:firstLine="420" w:firstLineChars="200"/>
              <w:contextualSpacing/>
              <w:jc w:val="left"/>
              <w:textAlignment w:val="auto"/>
              <w:rPr>
                <w:rFonts w:hint="eastAsia" w:eastAsia="宋体"/>
                <w:szCs w:val="21"/>
                <w:lang w:val="en-US" w:eastAsia="zh-CN"/>
              </w:rPr>
            </w:pPr>
            <w:r>
              <w:rPr>
                <w:rFonts w:hint="eastAsia" w:eastAsia="宋体"/>
                <w:szCs w:val="21"/>
                <w:lang w:val="en-US" w:eastAsia="zh-CN"/>
              </w:rPr>
              <w:t>（</w:t>
            </w:r>
            <w:r>
              <w:rPr>
                <w:rFonts w:hint="eastAsia"/>
                <w:szCs w:val="21"/>
                <w:lang w:val="en-US" w:eastAsia="zh-CN"/>
              </w:rPr>
              <w:t>2</w:t>
            </w:r>
            <w:r>
              <w:rPr>
                <w:rFonts w:hint="eastAsia" w:eastAsia="宋体"/>
                <w:szCs w:val="21"/>
                <w:lang w:val="en-US" w:eastAsia="zh-CN"/>
              </w:rPr>
              <w:t>）废水</w:t>
            </w:r>
          </w:p>
          <w:p>
            <w:pPr>
              <w:keepNext w:val="0"/>
              <w:keepLines w:val="0"/>
              <w:pageBreakBefore w:val="0"/>
              <w:widowControl/>
              <w:kinsoku/>
              <w:wordWrap/>
              <w:overflowPunct/>
              <w:topLinePunct w:val="0"/>
              <w:autoSpaceDE/>
              <w:autoSpaceDN/>
              <w:bidi w:val="0"/>
              <w:adjustRightInd/>
              <w:snapToGrid/>
              <w:spacing w:beforeAutospacing="0" w:afterAutospacing="0" w:line="500" w:lineRule="exact"/>
              <w:ind w:firstLine="420" w:firstLineChars="200"/>
              <w:contextualSpacing/>
              <w:jc w:val="left"/>
              <w:textAlignment w:val="auto"/>
              <w:rPr>
                <w:rFonts w:hint="eastAsia" w:eastAsia="宋体"/>
                <w:szCs w:val="21"/>
                <w:lang w:val="en-US" w:eastAsia="zh-CN"/>
              </w:rPr>
            </w:pPr>
            <w:r>
              <w:rPr>
                <w:rFonts w:hint="eastAsia" w:eastAsia="宋体"/>
                <w:szCs w:val="21"/>
                <w:lang w:val="en-US" w:eastAsia="zh-CN"/>
              </w:rPr>
              <w:t>现有项目地面冲洗水经沉淀池</w:t>
            </w:r>
            <w:r>
              <w:rPr>
                <w:rFonts w:hint="eastAsia"/>
                <w:color w:val="auto"/>
                <w:vertAlign w:val="baseline"/>
                <w:lang w:eastAsia="zh-CN"/>
              </w:rPr>
              <w:t>依托宏茂铸钢有限公司</w:t>
            </w:r>
            <w:r>
              <w:rPr>
                <w:rFonts w:hint="eastAsia" w:eastAsia="宋体"/>
                <w:szCs w:val="21"/>
                <w:lang w:val="en-US" w:eastAsia="zh-CN"/>
              </w:rPr>
              <w:t>处理后和生活污水一起接至</w:t>
            </w:r>
            <w:r>
              <w:rPr>
                <w:rFonts w:hint="eastAsia" w:ascii="Times New Roman" w:hAnsi="Times New Roman" w:cs="Times New Roman"/>
                <w:color w:val="auto"/>
                <w:highlight w:val="none"/>
                <w:lang w:eastAsia="zh-CN"/>
              </w:rPr>
              <w:t>如皋市富港水处理有限公司</w:t>
            </w:r>
            <w:r>
              <w:rPr>
                <w:rFonts w:hint="eastAsia" w:eastAsia="宋体"/>
                <w:szCs w:val="21"/>
                <w:lang w:val="en-US" w:eastAsia="zh-CN"/>
              </w:rPr>
              <w:t>。</w:t>
            </w:r>
          </w:p>
          <w:p>
            <w:pPr>
              <w:spacing w:line="500" w:lineRule="exact"/>
              <w:jc w:val="center"/>
              <w:rPr>
                <w:b/>
                <w:bCs/>
                <w:color w:val="auto"/>
                <w:szCs w:val="21"/>
              </w:rPr>
            </w:pPr>
            <w:r>
              <w:rPr>
                <w:b/>
                <w:bCs/>
                <w:color w:val="auto"/>
                <w:szCs w:val="21"/>
              </w:rPr>
              <w:t>表2-</w:t>
            </w:r>
            <w:r>
              <w:rPr>
                <w:rFonts w:hint="eastAsia"/>
                <w:b/>
                <w:bCs/>
                <w:color w:val="auto"/>
                <w:szCs w:val="21"/>
                <w:lang w:val="en-US" w:eastAsia="zh-CN"/>
              </w:rPr>
              <w:t>22</w:t>
            </w:r>
            <w:r>
              <w:rPr>
                <w:b/>
                <w:bCs/>
                <w:color w:val="auto"/>
                <w:szCs w:val="21"/>
              </w:rPr>
              <w:t xml:space="preserve"> 现有项目废水</w:t>
            </w:r>
            <w:r>
              <w:rPr>
                <w:rFonts w:hint="eastAsia"/>
                <w:b/>
                <w:bCs/>
                <w:color w:val="auto"/>
                <w:szCs w:val="21"/>
                <w:lang w:eastAsia="zh-CN"/>
              </w:rPr>
              <w:t>验收</w:t>
            </w:r>
            <w:r>
              <w:rPr>
                <w:b/>
                <w:bCs/>
                <w:color w:val="auto"/>
                <w:szCs w:val="21"/>
              </w:rPr>
              <w:t>监测数据</w:t>
            </w:r>
          </w:p>
          <w:tbl>
            <w:tblPr>
              <w:tblStyle w:val="21"/>
              <w:tblW w:w="781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28"/>
              <w:gridCol w:w="876"/>
              <w:gridCol w:w="1208"/>
              <w:gridCol w:w="625"/>
              <w:gridCol w:w="1505"/>
              <w:gridCol w:w="1349"/>
              <w:gridCol w:w="10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785" w:type="pct"/>
                  <w:noWrap w:val="0"/>
                  <w:vAlign w:val="center"/>
                </w:tcPr>
                <w:p>
                  <w:pPr>
                    <w:jc w:val="center"/>
                    <w:rPr>
                      <w:color w:val="auto"/>
                      <w:sz w:val="18"/>
                      <w:szCs w:val="18"/>
                    </w:rPr>
                  </w:pPr>
                  <w:r>
                    <w:rPr>
                      <w:color w:val="auto"/>
                      <w:sz w:val="18"/>
                      <w:szCs w:val="18"/>
                    </w:rPr>
                    <w:t>监测点位</w:t>
                  </w:r>
                </w:p>
              </w:tc>
              <w:tc>
                <w:tcPr>
                  <w:tcW w:w="560" w:type="pct"/>
                  <w:noWrap w:val="0"/>
                  <w:vAlign w:val="center"/>
                </w:tcPr>
                <w:p>
                  <w:pPr>
                    <w:jc w:val="center"/>
                    <w:rPr>
                      <w:rFonts w:hint="default" w:eastAsia="宋体"/>
                      <w:color w:val="auto"/>
                      <w:sz w:val="18"/>
                      <w:szCs w:val="18"/>
                      <w:lang w:val="en-US" w:eastAsia="zh-CN"/>
                    </w:rPr>
                  </w:pPr>
                  <w:r>
                    <w:rPr>
                      <w:rFonts w:hint="eastAsia"/>
                      <w:color w:val="auto"/>
                      <w:sz w:val="18"/>
                      <w:szCs w:val="18"/>
                      <w:lang w:eastAsia="zh-CN"/>
                    </w:rPr>
                    <w:t>水量</w:t>
                  </w:r>
                  <w:r>
                    <w:rPr>
                      <w:rFonts w:hint="eastAsia"/>
                      <w:color w:val="auto"/>
                      <w:sz w:val="18"/>
                      <w:szCs w:val="18"/>
                      <w:lang w:val="en-US" w:eastAsia="zh-CN"/>
                    </w:rPr>
                    <w:t>t/a</w:t>
                  </w:r>
                </w:p>
              </w:tc>
              <w:tc>
                <w:tcPr>
                  <w:tcW w:w="772" w:type="pct"/>
                  <w:noWrap w:val="0"/>
                  <w:vAlign w:val="center"/>
                </w:tcPr>
                <w:p>
                  <w:pPr>
                    <w:jc w:val="center"/>
                    <w:rPr>
                      <w:color w:val="auto"/>
                      <w:sz w:val="18"/>
                      <w:szCs w:val="18"/>
                    </w:rPr>
                  </w:pPr>
                  <w:r>
                    <w:rPr>
                      <w:color w:val="auto"/>
                      <w:sz w:val="18"/>
                      <w:szCs w:val="18"/>
                    </w:rPr>
                    <w:t>检测项目</w:t>
                  </w:r>
                </w:p>
              </w:tc>
              <w:tc>
                <w:tcPr>
                  <w:tcW w:w="399" w:type="pct"/>
                  <w:noWrap w:val="0"/>
                  <w:vAlign w:val="center"/>
                </w:tcPr>
                <w:p>
                  <w:pPr>
                    <w:jc w:val="center"/>
                    <w:rPr>
                      <w:color w:val="auto"/>
                      <w:sz w:val="18"/>
                      <w:szCs w:val="18"/>
                    </w:rPr>
                  </w:pPr>
                  <w:r>
                    <w:rPr>
                      <w:color w:val="auto"/>
                      <w:sz w:val="18"/>
                      <w:szCs w:val="18"/>
                    </w:rPr>
                    <w:t>单位</w:t>
                  </w:r>
                </w:p>
              </w:tc>
              <w:tc>
                <w:tcPr>
                  <w:tcW w:w="962" w:type="pct"/>
                  <w:noWrap w:val="0"/>
                  <w:vAlign w:val="center"/>
                </w:tcPr>
                <w:p>
                  <w:pPr>
                    <w:jc w:val="center"/>
                    <w:rPr>
                      <w:color w:val="auto"/>
                      <w:sz w:val="18"/>
                      <w:szCs w:val="18"/>
                    </w:rPr>
                  </w:pPr>
                  <w:r>
                    <w:rPr>
                      <w:rFonts w:hint="eastAsia"/>
                      <w:color w:val="auto"/>
                      <w:sz w:val="18"/>
                      <w:szCs w:val="18"/>
                    </w:rPr>
                    <w:t>检测结果</w:t>
                  </w:r>
                </w:p>
              </w:tc>
              <w:tc>
                <w:tcPr>
                  <w:tcW w:w="862" w:type="pct"/>
                  <w:noWrap w:val="0"/>
                  <w:vAlign w:val="center"/>
                </w:tcPr>
                <w:p>
                  <w:pPr>
                    <w:jc w:val="center"/>
                    <w:rPr>
                      <w:color w:val="auto"/>
                      <w:sz w:val="18"/>
                      <w:szCs w:val="18"/>
                    </w:rPr>
                  </w:pPr>
                  <w:r>
                    <w:rPr>
                      <w:color w:val="auto"/>
                      <w:sz w:val="18"/>
                      <w:szCs w:val="18"/>
                    </w:rPr>
                    <w:t>标准限值</w:t>
                  </w:r>
                </w:p>
              </w:tc>
              <w:tc>
                <w:tcPr>
                  <w:tcW w:w="656" w:type="pct"/>
                  <w:noWrap w:val="0"/>
                  <w:vAlign w:val="center"/>
                </w:tcPr>
                <w:p>
                  <w:pPr>
                    <w:jc w:val="center"/>
                    <w:rPr>
                      <w:color w:val="auto"/>
                      <w:sz w:val="18"/>
                      <w:szCs w:val="18"/>
                    </w:rPr>
                  </w:pPr>
                  <w:r>
                    <w:rPr>
                      <w:color w:val="auto"/>
                      <w:sz w:val="18"/>
                      <w:szCs w:val="18"/>
                    </w:rPr>
                    <w:t>判定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785" w:type="pct"/>
                  <w:vMerge w:val="restart"/>
                  <w:noWrap w:val="0"/>
                  <w:vAlign w:val="center"/>
                </w:tcPr>
                <w:p>
                  <w:pPr>
                    <w:jc w:val="center"/>
                    <w:rPr>
                      <w:rFonts w:hint="eastAsia" w:eastAsia="宋体"/>
                      <w:color w:val="auto"/>
                      <w:sz w:val="18"/>
                      <w:szCs w:val="18"/>
                      <w:lang w:eastAsia="zh-CN"/>
                    </w:rPr>
                  </w:pPr>
                  <w:r>
                    <w:rPr>
                      <w:rFonts w:hint="eastAsia"/>
                      <w:color w:val="auto"/>
                      <w:sz w:val="18"/>
                      <w:szCs w:val="18"/>
                      <w:lang w:eastAsia="zh-CN"/>
                    </w:rPr>
                    <w:t>废水排放口</w:t>
                  </w:r>
                </w:p>
              </w:tc>
              <w:tc>
                <w:tcPr>
                  <w:tcW w:w="560" w:type="pct"/>
                  <w:vMerge w:val="restart"/>
                  <w:noWrap w:val="0"/>
                  <w:vAlign w:val="center"/>
                </w:tcPr>
                <w:p>
                  <w:pPr>
                    <w:jc w:val="center"/>
                    <w:rPr>
                      <w:rFonts w:hint="default"/>
                      <w:color w:val="auto"/>
                      <w:sz w:val="18"/>
                      <w:szCs w:val="18"/>
                      <w:lang w:val="en-US" w:eastAsia="zh-CN"/>
                    </w:rPr>
                  </w:pPr>
                  <w:r>
                    <w:rPr>
                      <w:rFonts w:hint="eastAsia"/>
                      <w:color w:val="auto"/>
                      <w:sz w:val="18"/>
                      <w:szCs w:val="18"/>
                      <w:lang w:val="en-US" w:eastAsia="zh-CN"/>
                    </w:rPr>
                    <w:t>2400</w:t>
                  </w:r>
                </w:p>
              </w:tc>
              <w:tc>
                <w:tcPr>
                  <w:tcW w:w="772" w:type="pct"/>
                  <w:noWrap w:val="0"/>
                  <w:vAlign w:val="center"/>
                </w:tcPr>
                <w:p>
                  <w:pPr>
                    <w:jc w:val="center"/>
                    <w:rPr>
                      <w:color w:val="auto"/>
                      <w:sz w:val="18"/>
                      <w:szCs w:val="18"/>
                    </w:rPr>
                  </w:pPr>
                  <w:r>
                    <w:rPr>
                      <w:color w:val="auto"/>
                      <w:sz w:val="18"/>
                      <w:szCs w:val="18"/>
                    </w:rPr>
                    <w:t>化学需氧量</w:t>
                  </w:r>
                </w:p>
              </w:tc>
              <w:tc>
                <w:tcPr>
                  <w:tcW w:w="399" w:type="pct"/>
                  <w:noWrap w:val="0"/>
                  <w:vAlign w:val="center"/>
                </w:tcPr>
                <w:p>
                  <w:pPr>
                    <w:jc w:val="center"/>
                    <w:rPr>
                      <w:color w:val="auto"/>
                      <w:sz w:val="18"/>
                      <w:szCs w:val="18"/>
                    </w:rPr>
                  </w:pPr>
                  <w:r>
                    <w:rPr>
                      <w:color w:val="auto"/>
                      <w:sz w:val="18"/>
                      <w:szCs w:val="18"/>
                    </w:rPr>
                    <w:t>mg/L</w:t>
                  </w:r>
                </w:p>
              </w:tc>
              <w:tc>
                <w:tcPr>
                  <w:tcW w:w="962" w:type="pct"/>
                  <w:noWrap w:val="0"/>
                  <w:vAlign w:val="center"/>
                </w:tcPr>
                <w:p>
                  <w:pPr>
                    <w:jc w:val="center"/>
                    <w:rPr>
                      <w:rFonts w:hint="default" w:eastAsia="宋体"/>
                      <w:color w:val="auto"/>
                      <w:sz w:val="18"/>
                      <w:szCs w:val="18"/>
                      <w:lang w:val="en-US" w:eastAsia="zh-CN"/>
                    </w:rPr>
                  </w:pPr>
                  <w:r>
                    <w:rPr>
                      <w:rFonts w:hint="eastAsia"/>
                      <w:color w:val="auto"/>
                      <w:sz w:val="18"/>
                      <w:szCs w:val="18"/>
                      <w:lang w:val="en-US" w:eastAsia="zh-CN"/>
                    </w:rPr>
                    <w:t>30</w:t>
                  </w:r>
                </w:p>
              </w:tc>
              <w:tc>
                <w:tcPr>
                  <w:tcW w:w="862" w:type="pct"/>
                  <w:noWrap w:val="0"/>
                  <w:vAlign w:val="center"/>
                </w:tcPr>
                <w:p>
                  <w:pPr>
                    <w:jc w:val="center"/>
                    <w:rPr>
                      <w:rFonts w:hint="default"/>
                      <w:color w:val="auto"/>
                      <w:sz w:val="18"/>
                      <w:szCs w:val="18"/>
                      <w:lang w:val="en-US"/>
                    </w:rPr>
                  </w:pPr>
                  <w:r>
                    <w:rPr>
                      <w:rFonts w:hint="eastAsia"/>
                      <w:color w:val="auto"/>
                      <w:sz w:val="18"/>
                      <w:szCs w:val="18"/>
                      <w:lang w:val="en-US" w:eastAsia="zh-CN"/>
                    </w:rPr>
                    <w:t>500</w:t>
                  </w:r>
                </w:p>
              </w:tc>
              <w:tc>
                <w:tcPr>
                  <w:tcW w:w="656" w:type="pct"/>
                  <w:noWrap w:val="0"/>
                  <w:vAlign w:val="center"/>
                </w:tcPr>
                <w:p>
                  <w:pPr>
                    <w:jc w:val="center"/>
                    <w:rPr>
                      <w:color w:val="auto"/>
                      <w:sz w:val="18"/>
                      <w:szCs w:val="18"/>
                    </w:rPr>
                  </w:pPr>
                  <w:r>
                    <w:rPr>
                      <w:color w:val="auto"/>
                      <w:sz w:val="18"/>
                      <w:szCs w:val="18"/>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85" w:type="pct"/>
                  <w:vMerge w:val="continue"/>
                  <w:noWrap w:val="0"/>
                  <w:vAlign w:val="center"/>
                </w:tcPr>
                <w:p>
                  <w:pPr>
                    <w:jc w:val="center"/>
                    <w:rPr>
                      <w:color w:val="auto"/>
                      <w:sz w:val="18"/>
                      <w:szCs w:val="18"/>
                    </w:rPr>
                  </w:pPr>
                </w:p>
              </w:tc>
              <w:tc>
                <w:tcPr>
                  <w:tcW w:w="560" w:type="pct"/>
                  <w:vMerge w:val="continue"/>
                  <w:noWrap w:val="0"/>
                  <w:vAlign w:val="center"/>
                </w:tcPr>
                <w:p>
                  <w:pPr>
                    <w:jc w:val="center"/>
                    <w:rPr>
                      <w:color w:val="auto"/>
                      <w:sz w:val="18"/>
                      <w:szCs w:val="18"/>
                    </w:rPr>
                  </w:pPr>
                </w:p>
              </w:tc>
              <w:tc>
                <w:tcPr>
                  <w:tcW w:w="772" w:type="pct"/>
                  <w:noWrap w:val="0"/>
                  <w:vAlign w:val="center"/>
                </w:tcPr>
                <w:p>
                  <w:pPr>
                    <w:jc w:val="center"/>
                    <w:rPr>
                      <w:color w:val="auto"/>
                      <w:sz w:val="18"/>
                      <w:szCs w:val="18"/>
                    </w:rPr>
                  </w:pPr>
                  <w:r>
                    <w:rPr>
                      <w:rFonts w:hint="eastAsia"/>
                      <w:color w:val="auto"/>
                      <w:sz w:val="18"/>
                      <w:szCs w:val="18"/>
                    </w:rPr>
                    <w:t>氨氮</w:t>
                  </w:r>
                </w:p>
              </w:tc>
              <w:tc>
                <w:tcPr>
                  <w:tcW w:w="399" w:type="pct"/>
                  <w:noWrap w:val="0"/>
                  <w:vAlign w:val="center"/>
                </w:tcPr>
                <w:p>
                  <w:pPr>
                    <w:jc w:val="center"/>
                    <w:rPr>
                      <w:color w:val="auto"/>
                      <w:sz w:val="18"/>
                      <w:szCs w:val="18"/>
                    </w:rPr>
                  </w:pPr>
                  <w:r>
                    <w:rPr>
                      <w:color w:val="auto"/>
                      <w:sz w:val="18"/>
                      <w:szCs w:val="18"/>
                    </w:rPr>
                    <w:t>mg/L</w:t>
                  </w:r>
                </w:p>
              </w:tc>
              <w:tc>
                <w:tcPr>
                  <w:tcW w:w="962" w:type="pct"/>
                  <w:noWrap w:val="0"/>
                  <w:vAlign w:val="center"/>
                </w:tcPr>
                <w:p>
                  <w:pPr>
                    <w:jc w:val="center"/>
                    <w:rPr>
                      <w:rFonts w:hint="default" w:eastAsia="宋体"/>
                      <w:color w:val="auto"/>
                      <w:sz w:val="18"/>
                      <w:szCs w:val="18"/>
                      <w:lang w:val="en-US" w:eastAsia="zh-CN"/>
                    </w:rPr>
                  </w:pPr>
                  <w:r>
                    <w:rPr>
                      <w:rFonts w:hint="eastAsia"/>
                      <w:color w:val="auto"/>
                      <w:sz w:val="18"/>
                      <w:szCs w:val="18"/>
                      <w:lang w:val="en-US" w:eastAsia="zh-CN"/>
                    </w:rPr>
                    <w:t>2.06</w:t>
                  </w:r>
                </w:p>
              </w:tc>
              <w:tc>
                <w:tcPr>
                  <w:tcW w:w="862" w:type="pct"/>
                  <w:noWrap w:val="0"/>
                  <w:vAlign w:val="center"/>
                </w:tcPr>
                <w:p>
                  <w:pPr>
                    <w:jc w:val="center"/>
                    <w:rPr>
                      <w:rFonts w:hint="default"/>
                      <w:color w:val="auto"/>
                      <w:sz w:val="18"/>
                      <w:szCs w:val="18"/>
                      <w:lang w:val="en-US"/>
                    </w:rPr>
                  </w:pPr>
                  <w:r>
                    <w:rPr>
                      <w:rFonts w:hint="eastAsia"/>
                      <w:color w:val="auto"/>
                      <w:sz w:val="18"/>
                      <w:szCs w:val="18"/>
                      <w:lang w:val="en-US" w:eastAsia="zh-CN"/>
                    </w:rPr>
                    <w:t>45</w:t>
                  </w:r>
                </w:p>
              </w:tc>
              <w:tc>
                <w:tcPr>
                  <w:tcW w:w="656" w:type="pct"/>
                  <w:noWrap w:val="0"/>
                  <w:vAlign w:val="center"/>
                </w:tcPr>
                <w:p>
                  <w:pPr>
                    <w:jc w:val="center"/>
                    <w:rPr>
                      <w:color w:val="auto"/>
                      <w:sz w:val="18"/>
                      <w:szCs w:val="18"/>
                    </w:rPr>
                  </w:pPr>
                  <w:r>
                    <w:rPr>
                      <w:color w:val="auto"/>
                      <w:sz w:val="18"/>
                      <w:szCs w:val="18"/>
                    </w:rPr>
                    <w:t>合格</w:t>
                  </w:r>
                </w:p>
              </w:tc>
            </w:tr>
          </w:tbl>
          <w:p>
            <w:pPr>
              <w:adjustRightInd w:val="0"/>
              <w:snapToGrid w:val="0"/>
              <w:spacing w:line="360" w:lineRule="auto"/>
              <w:jc w:val="both"/>
              <w:rPr>
                <w:rFonts w:hint="eastAsia" w:ascii="Times New Roman" w:hAnsi="Times New Roman" w:eastAsia="宋体" w:cs="Times New Roman"/>
                <w:b/>
                <w:bCs/>
                <w:color w:val="auto"/>
                <w:sz w:val="18"/>
                <w:szCs w:val="18"/>
              </w:rPr>
            </w:pPr>
            <w:r>
              <w:rPr>
                <w:b/>
                <w:bCs/>
                <w:color w:val="auto"/>
                <w:sz w:val="18"/>
                <w:szCs w:val="18"/>
              </w:rPr>
              <w:t>注：</w:t>
            </w:r>
            <w:r>
              <w:rPr>
                <w:rFonts w:hint="eastAsia" w:ascii="Times New Roman" w:hAnsi="Times New Roman" w:eastAsia="宋体" w:cs="Times New Roman"/>
                <w:b/>
                <w:bCs/>
                <w:color w:val="auto"/>
                <w:sz w:val="18"/>
                <w:szCs w:val="18"/>
              </w:rPr>
              <w:t>废水污染物实际排放量（t/a）=污染物浓度(mg/L)*</w:t>
            </w:r>
            <w:r>
              <w:rPr>
                <w:rFonts w:hint="eastAsia" w:ascii="Times New Roman" w:hAnsi="Times New Roman" w:eastAsia="宋体" w:cs="Times New Roman"/>
                <w:b/>
                <w:bCs/>
                <w:color w:val="auto"/>
                <w:sz w:val="18"/>
                <w:szCs w:val="18"/>
                <w:lang w:eastAsia="zh-CN"/>
              </w:rPr>
              <w:t>实际</w:t>
            </w:r>
            <w:r>
              <w:rPr>
                <w:rFonts w:hint="eastAsia" w:ascii="Times New Roman" w:hAnsi="Times New Roman" w:eastAsia="宋体" w:cs="Times New Roman"/>
                <w:b/>
                <w:bCs/>
                <w:color w:val="auto"/>
                <w:sz w:val="18"/>
                <w:szCs w:val="18"/>
              </w:rPr>
              <w:t>排水量（m</w:t>
            </w:r>
            <w:r>
              <w:rPr>
                <w:rFonts w:hint="eastAsia" w:ascii="Times New Roman" w:hAnsi="Times New Roman" w:eastAsia="宋体" w:cs="Times New Roman"/>
                <w:b/>
                <w:bCs/>
                <w:color w:val="auto"/>
                <w:sz w:val="18"/>
                <w:szCs w:val="18"/>
                <w:vertAlign w:val="superscript"/>
              </w:rPr>
              <w:t>3</w:t>
            </w:r>
            <w:r>
              <w:rPr>
                <w:rFonts w:hint="eastAsia" w:ascii="Times New Roman" w:hAnsi="Times New Roman" w:eastAsia="宋体" w:cs="Times New Roman"/>
                <w:b/>
                <w:bCs/>
                <w:color w:val="auto"/>
                <w:sz w:val="18"/>
                <w:szCs w:val="18"/>
              </w:rPr>
              <w:t>/a）/10</w:t>
            </w:r>
            <w:r>
              <w:rPr>
                <w:rFonts w:hint="eastAsia" w:ascii="Times New Roman" w:hAnsi="Times New Roman" w:eastAsia="宋体" w:cs="Times New Roman"/>
                <w:b/>
                <w:bCs/>
                <w:color w:val="auto"/>
                <w:sz w:val="18"/>
                <w:szCs w:val="18"/>
                <w:vertAlign w:val="superscript"/>
              </w:rPr>
              <w:t>6</w:t>
            </w:r>
          </w:p>
          <w:p>
            <w:pPr>
              <w:keepNext w:val="0"/>
              <w:keepLines w:val="0"/>
              <w:pageBreakBefore w:val="0"/>
              <w:widowControl w:val="0"/>
              <w:kinsoku/>
              <w:wordWrap/>
              <w:overflowPunct/>
              <w:topLinePunct w:val="0"/>
              <w:autoSpaceDE/>
              <w:autoSpaceDN/>
              <w:bidi w:val="0"/>
              <w:adjustRightInd w:val="0"/>
              <w:snapToGrid w:val="0"/>
              <w:spacing w:line="360" w:lineRule="auto"/>
              <w:ind w:firstLine="361" w:firstLineChars="200"/>
              <w:jc w:val="both"/>
              <w:textAlignment w:val="auto"/>
              <w:rPr>
                <w:rFonts w:hint="eastAsia"/>
                <w:b/>
                <w:bCs/>
                <w:color w:val="auto"/>
                <w:sz w:val="18"/>
                <w:szCs w:val="18"/>
                <w:lang w:val="en-US" w:eastAsia="zh-CN"/>
              </w:rPr>
            </w:pPr>
            <w:r>
              <w:rPr>
                <w:b/>
                <w:bCs/>
                <w:color w:val="auto"/>
                <w:sz w:val="18"/>
                <w:szCs w:val="18"/>
              </w:rPr>
              <w:t>化学需氧量</w:t>
            </w:r>
            <w:r>
              <w:rPr>
                <w:rFonts w:hint="eastAsia"/>
                <w:b/>
                <w:bCs/>
                <w:color w:val="auto"/>
                <w:sz w:val="18"/>
                <w:szCs w:val="18"/>
                <w:lang w:val="en-US" w:eastAsia="zh-CN"/>
              </w:rPr>
              <w:t>=30*2400</w:t>
            </w:r>
            <w:r>
              <w:rPr>
                <w:rFonts w:hint="eastAsia"/>
                <w:b/>
                <w:bCs/>
                <w:color w:val="auto"/>
                <w:sz w:val="18"/>
                <w:szCs w:val="18"/>
              </w:rPr>
              <w:t>/10</w:t>
            </w:r>
            <w:r>
              <w:rPr>
                <w:rFonts w:hint="eastAsia"/>
                <w:b/>
                <w:bCs/>
                <w:color w:val="auto"/>
                <w:sz w:val="18"/>
                <w:szCs w:val="18"/>
                <w:vertAlign w:val="superscript"/>
              </w:rPr>
              <w:t>6</w:t>
            </w:r>
            <w:r>
              <w:rPr>
                <w:rFonts w:hint="eastAsia"/>
                <w:b/>
                <w:bCs/>
                <w:color w:val="auto"/>
                <w:sz w:val="18"/>
                <w:szCs w:val="18"/>
                <w:lang w:val="en-US" w:eastAsia="zh-CN"/>
              </w:rPr>
              <w:t>=0.072t/a</w:t>
            </w:r>
          </w:p>
          <w:p>
            <w:pPr>
              <w:keepNext w:val="0"/>
              <w:keepLines w:val="0"/>
              <w:pageBreakBefore w:val="0"/>
              <w:widowControl w:val="0"/>
              <w:kinsoku/>
              <w:wordWrap/>
              <w:overflowPunct/>
              <w:topLinePunct w:val="0"/>
              <w:autoSpaceDE/>
              <w:autoSpaceDN/>
              <w:bidi w:val="0"/>
              <w:adjustRightInd w:val="0"/>
              <w:snapToGrid w:val="0"/>
              <w:spacing w:line="360" w:lineRule="auto"/>
              <w:ind w:firstLine="361" w:firstLineChars="200"/>
              <w:jc w:val="both"/>
              <w:textAlignment w:val="auto"/>
              <w:rPr>
                <w:rFonts w:hint="default"/>
                <w:b/>
                <w:bCs/>
                <w:color w:val="auto"/>
                <w:sz w:val="18"/>
                <w:szCs w:val="18"/>
                <w:lang w:val="en-US" w:eastAsia="zh-CN"/>
              </w:rPr>
            </w:pPr>
            <w:r>
              <w:rPr>
                <w:rFonts w:hint="eastAsia"/>
                <w:b/>
                <w:bCs/>
                <w:color w:val="auto"/>
                <w:sz w:val="18"/>
                <w:szCs w:val="18"/>
              </w:rPr>
              <w:t>氨氮</w:t>
            </w:r>
            <w:r>
              <w:rPr>
                <w:rFonts w:hint="eastAsia"/>
                <w:b/>
                <w:bCs/>
                <w:color w:val="auto"/>
                <w:sz w:val="18"/>
                <w:szCs w:val="18"/>
                <w:lang w:val="en-US" w:eastAsia="zh-CN"/>
              </w:rPr>
              <w:t>=2.06*2400</w:t>
            </w:r>
            <w:r>
              <w:rPr>
                <w:rFonts w:hint="eastAsia"/>
                <w:b/>
                <w:bCs/>
                <w:color w:val="auto"/>
                <w:sz w:val="18"/>
                <w:szCs w:val="18"/>
              </w:rPr>
              <w:t>/10</w:t>
            </w:r>
            <w:r>
              <w:rPr>
                <w:rFonts w:hint="eastAsia"/>
                <w:b/>
                <w:bCs/>
                <w:color w:val="auto"/>
                <w:sz w:val="18"/>
                <w:szCs w:val="18"/>
                <w:vertAlign w:val="superscript"/>
              </w:rPr>
              <w:t>6</w:t>
            </w:r>
            <w:r>
              <w:rPr>
                <w:rFonts w:hint="eastAsia"/>
                <w:b/>
                <w:bCs/>
                <w:color w:val="auto"/>
                <w:sz w:val="18"/>
                <w:szCs w:val="18"/>
                <w:lang w:val="en-US" w:eastAsia="zh-CN"/>
              </w:rPr>
              <w:t>=0.0049t/a</w:t>
            </w:r>
          </w:p>
          <w:p>
            <w:pPr>
              <w:spacing w:line="500" w:lineRule="exact"/>
              <w:ind w:firstLine="420" w:firstLineChars="200"/>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根据</w:t>
            </w:r>
            <w:r>
              <w:rPr>
                <w:rFonts w:hint="eastAsia" w:ascii="Times New Roman" w:hAnsi="Times New Roman" w:eastAsia="宋体" w:cs="Times New Roman"/>
                <w:color w:val="auto"/>
                <w:szCs w:val="21"/>
                <w:lang w:val="en-US" w:eastAsia="zh-CN"/>
              </w:rPr>
              <w:t>新建5000T快锻机组生产线</w:t>
            </w:r>
            <w:r>
              <w:rPr>
                <w:rFonts w:hint="eastAsia" w:cs="Times New Roman"/>
                <w:color w:val="auto"/>
                <w:szCs w:val="21"/>
                <w:lang w:val="en-US" w:eastAsia="zh-CN"/>
              </w:rPr>
              <w:t>项目竣工环保验收检测数据（检测时间</w:t>
            </w:r>
            <w:r>
              <w:rPr>
                <w:rFonts w:hint="eastAsia" w:ascii="Times New Roman" w:hAnsi="Times New Roman" w:eastAsia="宋体" w:cs="Times New Roman"/>
                <w:color w:val="auto"/>
                <w:szCs w:val="21"/>
                <w:lang w:val="en-US" w:eastAsia="zh-CN"/>
              </w:rPr>
              <w:t>2017.02.03</w:t>
            </w:r>
            <w:r>
              <w:rPr>
                <w:rFonts w:hint="eastAsia" w:cs="Times New Roman"/>
                <w:color w:val="auto"/>
                <w:szCs w:val="21"/>
                <w:lang w:val="en-US" w:eastAsia="zh-CN"/>
              </w:rPr>
              <w:t>）</w:t>
            </w:r>
            <w:r>
              <w:rPr>
                <w:rFonts w:hint="eastAsia" w:ascii="Times New Roman" w:hAnsi="Times New Roman" w:eastAsia="宋体" w:cs="Times New Roman"/>
                <w:color w:val="auto"/>
                <w:szCs w:val="21"/>
                <w:lang w:eastAsia="zh-CN"/>
              </w:rPr>
              <w:t>显示，废水排放口</w:t>
            </w:r>
            <w:r>
              <w:rPr>
                <w:rFonts w:hint="eastAsia" w:ascii="Times New Roman" w:hAnsi="Times New Roman" w:eastAsia="宋体" w:cs="Times New Roman"/>
                <w:color w:val="auto"/>
                <w:szCs w:val="21"/>
              </w:rPr>
              <w:t>中各污染因子排放浓度均满足</w:t>
            </w:r>
            <w:r>
              <w:rPr>
                <w:rFonts w:hint="eastAsia" w:ascii="Times New Roman" w:hAnsi="Times New Roman" w:eastAsia="宋体" w:cs="Times New Roman"/>
                <w:color w:val="auto"/>
                <w:szCs w:val="21"/>
                <w:lang w:eastAsia="zh-CN"/>
              </w:rPr>
              <w:t>如皋市富港水处理有限公司接管标准实现达标排放。</w:t>
            </w:r>
          </w:p>
          <w:p>
            <w:pPr>
              <w:keepNext w:val="0"/>
              <w:keepLines w:val="0"/>
              <w:pageBreakBefore w:val="0"/>
              <w:widowControl/>
              <w:kinsoku/>
              <w:wordWrap/>
              <w:overflowPunct/>
              <w:topLinePunct w:val="0"/>
              <w:autoSpaceDE/>
              <w:autoSpaceDN/>
              <w:bidi w:val="0"/>
              <w:adjustRightInd/>
              <w:snapToGrid/>
              <w:spacing w:beforeAutospacing="0" w:afterAutospacing="0" w:line="500" w:lineRule="exact"/>
              <w:ind w:firstLine="420" w:firstLineChars="200"/>
              <w:contextualSpacing/>
              <w:jc w:val="left"/>
              <w:textAlignment w:val="auto"/>
              <w:rPr>
                <w:rFonts w:hint="eastAsia" w:eastAsia="宋体"/>
                <w:szCs w:val="21"/>
                <w:lang w:val="en-US" w:eastAsia="zh-CN"/>
              </w:rPr>
            </w:pPr>
            <w:r>
              <w:rPr>
                <w:rFonts w:hint="eastAsia" w:eastAsia="宋体"/>
                <w:szCs w:val="21"/>
                <w:lang w:val="en-US" w:eastAsia="zh-CN"/>
              </w:rPr>
              <w:t>（</w:t>
            </w:r>
            <w:r>
              <w:rPr>
                <w:rFonts w:hint="eastAsia"/>
                <w:szCs w:val="21"/>
                <w:lang w:val="en-US" w:eastAsia="zh-CN"/>
              </w:rPr>
              <w:t>3</w:t>
            </w:r>
            <w:r>
              <w:rPr>
                <w:rFonts w:hint="eastAsia" w:eastAsia="宋体"/>
                <w:szCs w:val="21"/>
                <w:lang w:val="en-US" w:eastAsia="zh-CN"/>
              </w:rPr>
              <w:t>）噪声</w:t>
            </w:r>
          </w:p>
          <w:p>
            <w:pPr>
              <w:keepNext w:val="0"/>
              <w:keepLines w:val="0"/>
              <w:pageBreakBefore w:val="0"/>
              <w:widowControl/>
              <w:kinsoku/>
              <w:wordWrap/>
              <w:overflowPunct/>
              <w:topLinePunct w:val="0"/>
              <w:autoSpaceDE/>
              <w:autoSpaceDN/>
              <w:bidi w:val="0"/>
              <w:adjustRightInd/>
              <w:snapToGrid/>
              <w:spacing w:beforeAutospacing="0" w:afterAutospacing="0" w:line="500" w:lineRule="exact"/>
              <w:ind w:firstLine="420" w:firstLineChars="200"/>
              <w:contextualSpacing/>
              <w:jc w:val="left"/>
              <w:textAlignment w:val="auto"/>
              <w:rPr>
                <w:rFonts w:hint="eastAsia" w:eastAsia="宋体"/>
                <w:szCs w:val="21"/>
                <w:lang w:val="en-US" w:eastAsia="zh-CN"/>
              </w:rPr>
            </w:pPr>
            <w:r>
              <w:rPr>
                <w:rFonts w:hint="eastAsia" w:eastAsia="宋体"/>
                <w:szCs w:val="21"/>
                <w:lang w:val="en-US" w:eastAsia="zh-CN"/>
              </w:rPr>
              <w:t>现有项目噪声源主要为各类车床等生产过程中产生的噪声，噪声值为</w:t>
            </w:r>
            <w:r>
              <w:rPr>
                <w:rFonts w:hint="eastAsia"/>
                <w:szCs w:val="21"/>
                <w:lang w:val="en-US" w:eastAsia="zh-CN"/>
              </w:rPr>
              <w:t>50.1</w:t>
            </w:r>
            <w:r>
              <w:rPr>
                <w:rFonts w:hint="eastAsia" w:eastAsia="宋体"/>
                <w:szCs w:val="21"/>
                <w:lang w:val="en-US" w:eastAsia="zh-CN"/>
              </w:rPr>
              <w:t>～</w:t>
            </w:r>
            <w:r>
              <w:rPr>
                <w:rFonts w:hint="eastAsia"/>
                <w:szCs w:val="21"/>
                <w:lang w:val="en-US" w:eastAsia="zh-CN"/>
              </w:rPr>
              <w:t>72.1</w:t>
            </w:r>
            <w:r>
              <w:rPr>
                <w:rFonts w:hint="eastAsia" w:eastAsia="宋体"/>
                <w:szCs w:val="21"/>
                <w:lang w:val="en-US" w:eastAsia="zh-CN"/>
              </w:rPr>
              <w:t>dB（A），通过合理设置车间布局，厂房隔声、减振及距离衰减后起到较好的降噪效果，从而降低噪声对周围环境的影响。</w:t>
            </w:r>
          </w:p>
          <w:p>
            <w:pPr>
              <w:spacing w:line="500" w:lineRule="exact"/>
              <w:jc w:val="center"/>
              <w:rPr>
                <w:b/>
                <w:bCs/>
                <w:color w:val="auto"/>
                <w:szCs w:val="21"/>
              </w:rPr>
            </w:pPr>
            <w:r>
              <w:rPr>
                <w:b/>
                <w:bCs/>
                <w:color w:val="auto"/>
                <w:szCs w:val="21"/>
              </w:rPr>
              <w:t>表 2-</w:t>
            </w:r>
            <w:r>
              <w:rPr>
                <w:rFonts w:hint="eastAsia"/>
                <w:b/>
                <w:bCs/>
                <w:color w:val="auto"/>
                <w:szCs w:val="21"/>
                <w:lang w:val="en-US" w:eastAsia="zh-CN"/>
              </w:rPr>
              <w:t>23</w:t>
            </w:r>
            <w:r>
              <w:rPr>
                <w:b/>
                <w:bCs/>
                <w:color w:val="auto"/>
                <w:szCs w:val="21"/>
              </w:rPr>
              <w:t xml:space="preserve"> 现有项目噪声</w:t>
            </w:r>
            <w:r>
              <w:rPr>
                <w:rFonts w:hint="eastAsia"/>
                <w:b/>
                <w:bCs/>
                <w:color w:val="auto"/>
                <w:szCs w:val="21"/>
                <w:lang w:eastAsia="zh-CN"/>
              </w:rPr>
              <w:t>验收</w:t>
            </w:r>
            <w:r>
              <w:rPr>
                <w:b/>
                <w:bCs/>
                <w:color w:val="auto"/>
                <w:szCs w:val="21"/>
              </w:rPr>
              <w:t>监测数据</w:t>
            </w:r>
          </w:p>
          <w:tbl>
            <w:tblPr>
              <w:tblStyle w:val="21"/>
              <w:tblW w:w="496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89"/>
              <w:gridCol w:w="2780"/>
              <w:gridCol w:w="1317"/>
              <w:gridCol w:w="23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881" w:type="pct"/>
                  <w:vAlign w:val="center"/>
                </w:tcPr>
                <w:p>
                  <w:pPr>
                    <w:autoSpaceDE w:val="0"/>
                    <w:autoSpaceDN w:val="0"/>
                    <w:snapToGrid w:val="0"/>
                    <w:jc w:val="center"/>
                    <w:rPr>
                      <w:rFonts w:hAnsi="宋体"/>
                      <w:color w:val="auto"/>
                      <w:sz w:val="18"/>
                      <w:szCs w:val="18"/>
                    </w:rPr>
                  </w:pPr>
                  <w:r>
                    <w:rPr>
                      <w:rFonts w:hAnsi="宋体"/>
                      <w:color w:val="auto"/>
                      <w:sz w:val="18"/>
                      <w:szCs w:val="18"/>
                    </w:rPr>
                    <w:t>测点</w:t>
                  </w:r>
                </w:p>
                <w:p>
                  <w:pPr>
                    <w:autoSpaceDE w:val="0"/>
                    <w:autoSpaceDN w:val="0"/>
                    <w:snapToGrid w:val="0"/>
                    <w:jc w:val="center"/>
                    <w:rPr>
                      <w:rFonts w:hAnsi="宋体"/>
                      <w:color w:val="auto"/>
                      <w:sz w:val="18"/>
                      <w:szCs w:val="18"/>
                    </w:rPr>
                  </w:pPr>
                  <w:r>
                    <w:rPr>
                      <w:rFonts w:hAnsi="宋体"/>
                      <w:color w:val="auto"/>
                      <w:sz w:val="18"/>
                      <w:szCs w:val="18"/>
                    </w:rPr>
                    <w:t>编号</w:t>
                  </w:r>
                </w:p>
              </w:tc>
              <w:tc>
                <w:tcPr>
                  <w:tcW w:w="1765" w:type="pct"/>
                  <w:vAlign w:val="center"/>
                </w:tcPr>
                <w:p>
                  <w:pPr>
                    <w:autoSpaceDE w:val="0"/>
                    <w:autoSpaceDN w:val="0"/>
                    <w:snapToGrid w:val="0"/>
                    <w:ind w:left="107"/>
                    <w:jc w:val="center"/>
                    <w:rPr>
                      <w:rFonts w:hint="eastAsia" w:hAnsi="宋体" w:eastAsia="宋体"/>
                      <w:color w:val="auto"/>
                      <w:sz w:val="18"/>
                      <w:szCs w:val="18"/>
                      <w:lang w:eastAsia="zh-CN"/>
                    </w:rPr>
                  </w:pPr>
                  <w:r>
                    <w:rPr>
                      <w:rFonts w:hint="eastAsia" w:hAnsi="宋体"/>
                      <w:color w:val="auto"/>
                      <w:sz w:val="18"/>
                      <w:szCs w:val="18"/>
                      <w:lang w:eastAsia="zh-CN"/>
                    </w:rPr>
                    <w:t>监测值</w:t>
                  </w:r>
                  <w:r>
                    <w:rPr>
                      <w:rFonts w:hint="eastAsia" w:eastAsia="宋体"/>
                      <w:color w:val="auto"/>
                      <w:sz w:val="18"/>
                      <w:szCs w:val="18"/>
                      <w:lang w:val="en-US" w:eastAsia="zh-CN"/>
                    </w:rPr>
                    <w:t>dB（A）</w:t>
                  </w:r>
                </w:p>
              </w:tc>
              <w:tc>
                <w:tcPr>
                  <w:tcW w:w="835" w:type="pct"/>
                  <w:vAlign w:val="center"/>
                </w:tcPr>
                <w:p>
                  <w:pPr>
                    <w:autoSpaceDE w:val="0"/>
                    <w:autoSpaceDN w:val="0"/>
                    <w:snapToGrid w:val="0"/>
                    <w:jc w:val="center"/>
                    <w:rPr>
                      <w:rFonts w:hint="eastAsia" w:hAnsi="宋体"/>
                      <w:color w:val="auto"/>
                      <w:sz w:val="18"/>
                      <w:szCs w:val="18"/>
                    </w:rPr>
                  </w:pPr>
                  <w:r>
                    <w:rPr>
                      <w:rFonts w:hint="eastAsia" w:hAnsi="宋体"/>
                      <w:color w:val="auto"/>
                      <w:sz w:val="18"/>
                      <w:szCs w:val="18"/>
                    </w:rPr>
                    <w:t>标准值</w:t>
                  </w:r>
                </w:p>
                <w:p>
                  <w:pPr>
                    <w:autoSpaceDE w:val="0"/>
                    <w:autoSpaceDN w:val="0"/>
                    <w:snapToGrid w:val="0"/>
                    <w:jc w:val="center"/>
                    <w:rPr>
                      <w:rFonts w:hAnsi="宋体"/>
                      <w:color w:val="auto"/>
                      <w:sz w:val="18"/>
                      <w:szCs w:val="18"/>
                    </w:rPr>
                  </w:pPr>
                  <w:r>
                    <w:rPr>
                      <w:rFonts w:hint="eastAsia" w:eastAsia="宋体"/>
                      <w:color w:val="auto"/>
                      <w:sz w:val="18"/>
                      <w:szCs w:val="18"/>
                      <w:lang w:val="en-US" w:eastAsia="zh-CN"/>
                    </w:rPr>
                    <w:t>dB（A）</w:t>
                  </w:r>
                </w:p>
              </w:tc>
              <w:tc>
                <w:tcPr>
                  <w:tcW w:w="1517" w:type="pct"/>
                  <w:vAlign w:val="center"/>
                </w:tcPr>
                <w:p>
                  <w:pPr>
                    <w:autoSpaceDE w:val="0"/>
                    <w:autoSpaceDN w:val="0"/>
                    <w:snapToGrid w:val="0"/>
                    <w:jc w:val="center"/>
                    <w:rPr>
                      <w:rFonts w:hAnsi="宋体"/>
                      <w:color w:val="auto"/>
                      <w:sz w:val="18"/>
                      <w:szCs w:val="18"/>
                    </w:rPr>
                  </w:pPr>
                  <w:r>
                    <w:rPr>
                      <w:rFonts w:hint="eastAsia" w:hAnsi="宋体"/>
                      <w:color w:val="auto"/>
                      <w:sz w:val="18"/>
                      <w:szCs w:val="18"/>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881" w:type="pct"/>
                  <w:vAlign w:val="center"/>
                </w:tcPr>
                <w:p>
                  <w:pPr>
                    <w:autoSpaceDE w:val="0"/>
                    <w:autoSpaceDN w:val="0"/>
                    <w:snapToGrid w:val="0"/>
                    <w:jc w:val="center"/>
                    <w:rPr>
                      <w:rFonts w:hint="eastAsia" w:hAnsi="宋体" w:eastAsia="宋体"/>
                      <w:color w:val="auto"/>
                      <w:sz w:val="18"/>
                      <w:szCs w:val="18"/>
                      <w:lang w:val="en-US" w:eastAsia="zh-CN"/>
                    </w:rPr>
                  </w:pPr>
                  <w:r>
                    <w:rPr>
                      <w:rFonts w:hAnsi="宋体"/>
                      <w:color w:val="auto"/>
                      <w:sz w:val="18"/>
                      <w:szCs w:val="18"/>
                    </w:rPr>
                    <w:t>N</w:t>
                  </w:r>
                  <w:r>
                    <w:rPr>
                      <w:rFonts w:hint="eastAsia" w:hAnsi="宋体"/>
                      <w:color w:val="auto"/>
                      <w:sz w:val="18"/>
                      <w:szCs w:val="18"/>
                    </w:rPr>
                    <w:t>1</w:t>
                  </w:r>
                  <w:r>
                    <w:rPr>
                      <w:rFonts w:hint="eastAsia" w:hAnsi="宋体"/>
                      <w:color w:val="auto"/>
                      <w:sz w:val="18"/>
                      <w:szCs w:val="18"/>
                      <w:lang w:eastAsia="zh-CN"/>
                    </w:rPr>
                    <w:t>（噪声）</w:t>
                  </w:r>
                </w:p>
              </w:tc>
              <w:tc>
                <w:tcPr>
                  <w:tcW w:w="1765" w:type="pct"/>
                  <w:vAlign w:val="center"/>
                </w:tcPr>
                <w:p>
                  <w:pPr>
                    <w:autoSpaceDE w:val="0"/>
                    <w:autoSpaceDN w:val="0"/>
                    <w:snapToGrid w:val="0"/>
                    <w:ind w:left="107" w:hanging="91" w:hangingChars="51"/>
                    <w:jc w:val="center"/>
                    <w:rPr>
                      <w:rFonts w:hint="default" w:hAnsi="宋体" w:eastAsia="宋体"/>
                      <w:color w:val="auto"/>
                      <w:sz w:val="18"/>
                      <w:szCs w:val="18"/>
                      <w:lang w:val="en-US" w:eastAsia="zh-CN"/>
                    </w:rPr>
                  </w:pPr>
                  <w:r>
                    <w:rPr>
                      <w:rFonts w:hint="eastAsia" w:hAnsi="宋体"/>
                      <w:color w:val="auto"/>
                      <w:sz w:val="18"/>
                      <w:szCs w:val="18"/>
                      <w:lang w:val="en-US" w:eastAsia="zh-CN"/>
                    </w:rPr>
                    <w:t>52.7-53.4/44.7-45.0</w:t>
                  </w:r>
                </w:p>
              </w:tc>
              <w:tc>
                <w:tcPr>
                  <w:tcW w:w="835" w:type="pct"/>
                  <w:vAlign w:val="center"/>
                </w:tcPr>
                <w:p>
                  <w:pPr>
                    <w:autoSpaceDE w:val="0"/>
                    <w:autoSpaceDN w:val="0"/>
                    <w:snapToGrid w:val="0"/>
                    <w:jc w:val="center"/>
                    <w:rPr>
                      <w:rFonts w:hint="default" w:hAnsi="宋体" w:eastAsia="宋体"/>
                      <w:color w:val="auto"/>
                      <w:sz w:val="18"/>
                      <w:szCs w:val="18"/>
                      <w:lang w:val="en-US" w:eastAsia="zh-CN"/>
                    </w:rPr>
                  </w:pPr>
                  <w:r>
                    <w:rPr>
                      <w:rFonts w:hint="eastAsia" w:hAnsi="宋体"/>
                      <w:color w:val="auto"/>
                      <w:sz w:val="18"/>
                      <w:szCs w:val="18"/>
                    </w:rPr>
                    <w:t>6</w:t>
                  </w:r>
                  <w:r>
                    <w:rPr>
                      <w:rFonts w:hAnsi="宋体"/>
                      <w:color w:val="auto"/>
                      <w:sz w:val="18"/>
                      <w:szCs w:val="18"/>
                    </w:rPr>
                    <w:t>5</w:t>
                  </w:r>
                  <w:r>
                    <w:rPr>
                      <w:rFonts w:hint="eastAsia" w:hAnsi="宋体"/>
                      <w:color w:val="auto"/>
                      <w:sz w:val="18"/>
                      <w:szCs w:val="18"/>
                      <w:lang w:val="en-US" w:eastAsia="zh-CN"/>
                    </w:rPr>
                    <w:t>/55</w:t>
                  </w:r>
                </w:p>
              </w:tc>
              <w:tc>
                <w:tcPr>
                  <w:tcW w:w="1517" w:type="pct"/>
                  <w:vMerge w:val="restart"/>
                  <w:vAlign w:val="center"/>
                </w:tcPr>
                <w:p>
                  <w:pPr>
                    <w:autoSpaceDE w:val="0"/>
                    <w:autoSpaceDN w:val="0"/>
                    <w:snapToGrid w:val="0"/>
                    <w:jc w:val="center"/>
                    <w:rPr>
                      <w:rFonts w:hAnsi="宋体"/>
                      <w:color w:val="auto"/>
                      <w:sz w:val="18"/>
                      <w:szCs w:val="18"/>
                    </w:rPr>
                  </w:pPr>
                  <w:r>
                    <w:rPr>
                      <w:rFonts w:hint="eastAsia"/>
                      <w:color w:val="auto"/>
                      <w:kern w:val="0"/>
                      <w:sz w:val="18"/>
                      <w:szCs w:val="18"/>
                    </w:rPr>
                    <w:t>《工业企业厂界环境噪声排放标准》（GB12348-2008）</w:t>
                  </w:r>
                  <w:r>
                    <w:rPr>
                      <w:rFonts w:hint="eastAsia"/>
                      <w:color w:val="auto"/>
                      <w:kern w:val="0"/>
                      <w:sz w:val="18"/>
                      <w:szCs w:val="18"/>
                      <w:lang w:val="en-US" w:eastAsia="zh-CN"/>
                    </w:rPr>
                    <w:t>3</w:t>
                  </w:r>
                  <w:r>
                    <w:rPr>
                      <w:rFonts w:hint="eastAsia"/>
                      <w:color w:val="auto"/>
                      <w:kern w:val="0"/>
                      <w:sz w:val="18"/>
                      <w:szCs w:val="18"/>
                    </w:rPr>
                    <w:t>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881" w:type="pct"/>
                  <w:vAlign w:val="center"/>
                </w:tcPr>
                <w:p>
                  <w:pPr>
                    <w:autoSpaceDE w:val="0"/>
                    <w:autoSpaceDN w:val="0"/>
                    <w:snapToGrid w:val="0"/>
                    <w:jc w:val="center"/>
                    <w:rPr>
                      <w:rFonts w:hAnsi="宋体"/>
                      <w:color w:val="auto"/>
                      <w:sz w:val="18"/>
                      <w:szCs w:val="18"/>
                    </w:rPr>
                  </w:pPr>
                  <w:r>
                    <w:rPr>
                      <w:rFonts w:hAnsi="宋体"/>
                      <w:color w:val="auto"/>
                      <w:sz w:val="18"/>
                      <w:szCs w:val="18"/>
                    </w:rPr>
                    <w:t>N</w:t>
                  </w:r>
                  <w:r>
                    <w:rPr>
                      <w:rFonts w:hint="eastAsia" w:hAnsi="宋体"/>
                      <w:color w:val="auto"/>
                      <w:sz w:val="18"/>
                      <w:szCs w:val="18"/>
                    </w:rPr>
                    <w:t>2</w:t>
                  </w:r>
                  <w:r>
                    <w:rPr>
                      <w:rFonts w:hint="eastAsia" w:hAnsi="宋体"/>
                      <w:color w:val="auto"/>
                      <w:sz w:val="18"/>
                      <w:szCs w:val="18"/>
                      <w:lang w:eastAsia="zh-CN"/>
                    </w:rPr>
                    <w:t>（噪声）</w:t>
                  </w:r>
                </w:p>
              </w:tc>
              <w:tc>
                <w:tcPr>
                  <w:tcW w:w="1765" w:type="pct"/>
                  <w:vAlign w:val="center"/>
                </w:tcPr>
                <w:p>
                  <w:pPr>
                    <w:autoSpaceDE w:val="0"/>
                    <w:autoSpaceDN w:val="0"/>
                    <w:snapToGrid w:val="0"/>
                    <w:ind w:left="107" w:hanging="91" w:hangingChars="51"/>
                    <w:jc w:val="center"/>
                    <w:rPr>
                      <w:rFonts w:hint="default" w:hAnsi="宋体" w:eastAsia="宋体"/>
                      <w:color w:val="auto"/>
                      <w:sz w:val="18"/>
                      <w:szCs w:val="18"/>
                      <w:lang w:val="en-US" w:eastAsia="zh-CN"/>
                    </w:rPr>
                  </w:pPr>
                  <w:r>
                    <w:rPr>
                      <w:rFonts w:hint="eastAsia" w:hAnsi="宋体"/>
                      <w:color w:val="auto"/>
                      <w:sz w:val="18"/>
                      <w:szCs w:val="18"/>
                      <w:lang w:val="en-US" w:eastAsia="zh-CN"/>
                    </w:rPr>
                    <w:t>53.9-54.1/49.2-50.8</w:t>
                  </w:r>
                </w:p>
              </w:tc>
              <w:tc>
                <w:tcPr>
                  <w:tcW w:w="835" w:type="pct"/>
                  <w:vAlign w:val="center"/>
                </w:tcPr>
                <w:p>
                  <w:pPr>
                    <w:autoSpaceDE w:val="0"/>
                    <w:autoSpaceDN w:val="0"/>
                    <w:snapToGrid w:val="0"/>
                    <w:jc w:val="center"/>
                    <w:rPr>
                      <w:rFonts w:hAnsi="宋体"/>
                      <w:color w:val="auto"/>
                      <w:sz w:val="18"/>
                      <w:szCs w:val="18"/>
                    </w:rPr>
                  </w:pPr>
                  <w:r>
                    <w:rPr>
                      <w:rFonts w:hint="eastAsia" w:hAnsi="宋体"/>
                      <w:color w:val="auto"/>
                      <w:sz w:val="18"/>
                      <w:szCs w:val="18"/>
                    </w:rPr>
                    <w:t>6</w:t>
                  </w:r>
                  <w:r>
                    <w:rPr>
                      <w:rFonts w:hAnsi="宋体"/>
                      <w:color w:val="auto"/>
                      <w:sz w:val="18"/>
                      <w:szCs w:val="18"/>
                    </w:rPr>
                    <w:t>5</w:t>
                  </w:r>
                  <w:r>
                    <w:rPr>
                      <w:rFonts w:hint="eastAsia" w:hAnsi="宋体"/>
                      <w:color w:val="auto"/>
                      <w:sz w:val="18"/>
                      <w:szCs w:val="18"/>
                      <w:lang w:val="en-US" w:eastAsia="zh-CN"/>
                    </w:rPr>
                    <w:t>/55</w:t>
                  </w:r>
                </w:p>
              </w:tc>
              <w:tc>
                <w:tcPr>
                  <w:tcW w:w="1517" w:type="pct"/>
                  <w:vMerge w:val="continue"/>
                  <w:vAlign w:val="center"/>
                </w:tcPr>
                <w:p>
                  <w:pPr>
                    <w:ind w:left="107" w:hanging="91" w:hangingChars="51"/>
                    <w:jc w:val="center"/>
                    <w:rPr>
                      <w:rFonts w:hAnsi="宋体"/>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881" w:type="pct"/>
                  <w:vAlign w:val="center"/>
                </w:tcPr>
                <w:p>
                  <w:pPr>
                    <w:autoSpaceDE w:val="0"/>
                    <w:autoSpaceDN w:val="0"/>
                    <w:snapToGrid w:val="0"/>
                    <w:jc w:val="center"/>
                    <w:rPr>
                      <w:rFonts w:hAnsi="宋体"/>
                      <w:color w:val="auto"/>
                      <w:sz w:val="18"/>
                      <w:szCs w:val="18"/>
                    </w:rPr>
                  </w:pPr>
                  <w:r>
                    <w:rPr>
                      <w:rFonts w:hAnsi="宋体"/>
                      <w:color w:val="auto"/>
                      <w:sz w:val="18"/>
                      <w:szCs w:val="18"/>
                    </w:rPr>
                    <w:t>N</w:t>
                  </w:r>
                  <w:r>
                    <w:rPr>
                      <w:rFonts w:hint="eastAsia" w:hAnsi="宋体"/>
                      <w:color w:val="auto"/>
                      <w:sz w:val="18"/>
                      <w:szCs w:val="18"/>
                    </w:rPr>
                    <w:t>3</w:t>
                  </w:r>
                  <w:r>
                    <w:rPr>
                      <w:rFonts w:hint="eastAsia" w:hAnsi="宋体"/>
                      <w:color w:val="auto"/>
                      <w:sz w:val="18"/>
                      <w:szCs w:val="18"/>
                      <w:lang w:eastAsia="zh-CN"/>
                    </w:rPr>
                    <w:t>（噪声）</w:t>
                  </w:r>
                </w:p>
              </w:tc>
              <w:tc>
                <w:tcPr>
                  <w:tcW w:w="1765" w:type="pct"/>
                  <w:vAlign w:val="center"/>
                </w:tcPr>
                <w:p>
                  <w:pPr>
                    <w:autoSpaceDE w:val="0"/>
                    <w:autoSpaceDN w:val="0"/>
                    <w:snapToGrid w:val="0"/>
                    <w:ind w:left="107" w:hanging="91" w:hangingChars="51"/>
                    <w:jc w:val="center"/>
                    <w:rPr>
                      <w:rFonts w:hint="default" w:hAnsi="宋体" w:eastAsia="宋体"/>
                      <w:color w:val="auto"/>
                      <w:sz w:val="18"/>
                      <w:szCs w:val="18"/>
                      <w:lang w:val="en-US" w:eastAsia="zh-CN"/>
                    </w:rPr>
                  </w:pPr>
                  <w:r>
                    <w:rPr>
                      <w:rFonts w:hint="eastAsia" w:hAnsi="宋体"/>
                      <w:color w:val="auto"/>
                      <w:sz w:val="18"/>
                      <w:szCs w:val="18"/>
                      <w:lang w:val="en-US" w:eastAsia="zh-CN"/>
                    </w:rPr>
                    <w:t>54.2-54.7/51.2-51.6</w:t>
                  </w:r>
                </w:p>
              </w:tc>
              <w:tc>
                <w:tcPr>
                  <w:tcW w:w="835" w:type="pct"/>
                  <w:vAlign w:val="center"/>
                </w:tcPr>
                <w:p>
                  <w:pPr>
                    <w:autoSpaceDE w:val="0"/>
                    <w:autoSpaceDN w:val="0"/>
                    <w:snapToGrid w:val="0"/>
                    <w:jc w:val="center"/>
                    <w:rPr>
                      <w:rFonts w:hAnsi="宋体"/>
                      <w:color w:val="auto"/>
                      <w:sz w:val="18"/>
                      <w:szCs w:val="18"/>
                    </w:rPr>
                  </w:pPr>
                  <w:r>
                    <w:rPr>
                      <w:rFonts w:hint="eastAsia" w:hAnsi="宋体"/>
                      <w:color w:val="auto"/>
                      <w:sz w:val="18"/>
                      <w:szCs w:val="18"/>
                    </w:rPr>
                    <w:t>6</w:t>
                  </w:r>
                  <w:r>
                    <w:rPr>
                      <w:rFonts w:hAnsi="宋体"/>
                      <w:color w:val="auto"/>
                      <w:sz w:val="18"/>
                      <w:szCs w:val="18"/>
                    </w:rPr>
                    <w:t>5</w:t>
                  </w:r>
                  <w:r>
                    <w:rPr>
                      <w:rFonts w:hint="eastAsia" w:hAnsi="宋体"/>
                      <w:color w:val="auto"/>
                      <w:sz w:val="18"/>
                      <w:szCs w:val="18"/>
                      <w:lang w:val="en-US" w:eastAsia="zh-CN"/>
                    </w:rPr>
                    <w:t>/55</w:t>
                  </w:r>
                </w:p>
              </w:tc>
              <w:tc>
                <w:tcPr>
                  <w:tcW w:w="1517" w:type="pct"/>
                  <w:vMerge w:val="continue"/>
                  <w:vAlign w:val="center"/>
                </w:tcPr>
                <w:p>
                  <w:pPr>
                    <w:ind w:left="107" w:hanging="91" w:hangingChars="51"/>
                    <w:jc w:val="center"/>
                    <w:rPr>
                      <w:rFonts w:hAnsi="宋体"/>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81" w:type="pct"/>
                  <w:vAlign w:val="center"/>
                </w:tcPr>
                <w:p>
                  <w:pPr>
                    <w:autoSpaceDE w:val="0"/>
                    <w:autoSpaceDN w:val="0"/>
                    <w:snapToGrid w:val="0"/>
                    <w:jc w:val="center"/>
                    <w:rPr>
                      <w:rFonts w:hAnsi="宋体"/>
                      <w:color w:val="auto"/>
                      <w:sz w:val="18"/>
                      <w:szCs w:val="18"/>
                    </w:rPr>
                  </w:pPr>
                  <w:r>
                    <w:rPr>
                      <w:rFonts w:hAnsi="宋体"/>
                      <w:color w:val="auto"/>
                      <w:sz w:val="18"/>
                      <w:szCs w:val="18"/>
                    </w:rPr>
                    <w:t>N</w:t>
                  </w:r>
                  <w:r>
                    <w:rPr>
                      <w:rFonts w:hint="eastAsia" w:hAnsi="宋体"/>
                      <w:color w:val="auto"/>
                      <w:sz w:val="18"/>
                      <w:szCs w:val="18"/>
                    </w:rPr>
                    <w:t>4</w:t>
                  </w:r>
                  <w:r>
                    <w:rPr>
                      <w:rFonts w:hint="eastAsia" w:hAnsi="宋体"/>
                      <w:color w:val="auto"/>
                      <w:sz w:val="18"/>
                      <w:szCs w:val="18"/>
                      <w:lang w:eastAsia="zh-CN"/>
                    </w:rPr>
                    <w:t>（噪声）</w:t>
                  </w:r>
                </w:p>
              </w:tc>
              <w:tc>
                <w:tcPr>
                  <w:tcW w:w="1765" w:type="pct"/>
                  <w:vAlign w:val="center"/>
                </w:tcPr>
                <w:p>
                  <w:pPr>
                    <w:autoSpaceDE w:val="0"/>
                    <w:autoSpaceDN w:val="0"/>
                    <w:snapToGrid w:val="0"/>
                    <w:ind w:left="107" w:hanging="91" w:hangingChars="51"/>
                    <w:jc w:val="center"/>
                    <w:rPr>
                      <w:rFonts w:hint="default" w:hAnsi="宋体" w:eastAsia="宋体"/>
                      <w:color w:val="auto"/>
                      <w:sz w:val="18"/>
                      <w:szCs w:val="18"/>
                      <w:lang w:val="en-US" w:eastAsia="zh-CN"/>
                    </w:rPr>
                  </w:pPr>
                  <w:r>
                    <w:rPr>
                      <w:rFonts w:hint="eastAsia" w:hAnsi="宋体"/>
                      <w:color w:val="auto"/>
                      <w:sz w:val="18"/>
                      <w:szCs w:val="18"/>
                      <w:lang w:val="en-US" w:eastAsia="zh-CN"/>
                    </w:rPr>
                    <w:t>55.0-55.5/50.1-50.2</w:t>
                  </w:r>
                </w:p>
              </w:tc>
              <w:tc>
                <w:tcPr>
                  <w:tcW w:w="835" w:type="pct"/>
                  <w:vAlign w:val="center"/>
                </w:tcPr>
                <w:p>
                  <w:pPr>
                    <w:autoSpaceDE w:val="0"/>
                    <w:autoSpaceDN w:val="0"/>
                    <w:snapToGrid w:val="0"/>
                    <w:jc w:val="center"/>
                    <w:rPr>
                      <w:rFonts w:hAnsi="宋体"/>
                      <w:color w:val="auto"/>
                      <w:sz w:val="18"/>
                      <w:szCs w:val="18"/>
                    </w:rPr>
                  </w:pPr>
                  <w:r>
                    <w:rPr>
                      <w:rFonts w:hint="eastAsia" w:hAnsi="宋体"/>
                      <w:color w:val="auto"/>
                      <w:sz w:val="18"/>
                      <w:szCs w:val="18"/>
                    </w:rPr>
                    <w:t>6</w:t>
                  </w:r>
                  <w:r>
                    <w:rPr>
                      <w:rFonts w:hAnsi="宋体"/>
                      <w:color w:val="auto"/>
                      <w:sz w:val="18"/>
                      <w:szCs w:val="18"/>
                    </w:rPr>
                    <w:t>5</w:t>
                  </w:r>
                  <w:r>
                    <w:rPr>
                      <w:rFonts w:hint="eastAsia" w:hAnsi="宋体"/>
                      <w:color w:val="auto"/>
                      <w:sz w:val="18"/>
                      <w:szCs w:val="18"/>
                      <w:lang w:val="en-US" w:eastAsia="zh-CN"/>
                    </w:rPr>
                    <w:t>/55</w:t>
                  </w:r>
                </w:p>
              </w:tc>
              <w:tc>
                <w:tcPr>
                  <w:tcW w:w="1517" w:type="pct"/>
                  <w:vMerge w:val="continue"/>
                  <w:vAlign w:val="center"/>
                </w:tcPr>
                <w:p>
                  <w:pPr>
                    <w:ind w:left="107" w:hanging="91" w:hangingChars="51"/>
                    <w:jc w:val="center"/>
                    <w:rPr>
                      <w:rFonts w:hAnsi="宋体"/>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81" w:type="pct"/>
                  <w:vAlign w:val="center"/>
                </w:tcPr>
                <w:p>
                  <w:pPr>
                    <w:autoSpaceDE w:val="0"/>
                    <w:autoSpaceDN w:val="0"/>
                    <w:snapToGrid w:val="0"/>
                    <w:jc w:val="center"/>
                    <w:rPr>
                      <w:rFonts w:hint="eastAsia" w:hAnsi="宋体" w:eastAsia="宋体"/>
                      <w:color w:val="auto"/>
                      <w:sz w:val="18"/>
                      <w:szCs w:val="18"/>
                      <w:lang w:val="en-US" w:eastAsia="zh-CN"/>
                    </w:rPr>
                  </w:pPr>
                  <w:r>
                    <w:rPr>
                      <w:rFonts w:hAnsi="宋体"/>
                      <w:color w:val="auto"/>
                      <w:sz w:val="18"/>
                      <w:szCs w:val="18"/>
                    </w:rPr>
                    <w:t>N</w:t>
                  </w:r>
                  <w:r>
                    <w:rPr>
                      <w:rFonts w:hint="eastAsia" w:hAnsi="宋体"/>
                      <w:color w:val="auto"/>
                      <w:sz w:val="18"/>
                      <w:szCs w:val="18"/>
                      <w:lang w:val="en-US" w:eastAsia="zh-CN"/>
                    </w:rPr>
                    <w:t>5</w:t>
                  </w:r>
                  <w:r>
                    <w:rPr>
                      <w:rFonts w:hint="eastAsia" w:hAnsi="宋体"/>
                      <w:color w:val="auto"/>
                      <w:sz w:val="18"/>
                      <w:szCs w:val="18"/>
                      <w:lang w:eastAsia="zh-CN"/>
                    </w:rPr>
                    <w:t>（噪声）</w:t>
                  </w:r>
                </w:p>
              </w:tc>
              <w:tc>
                <w:tcPr>
                  <w:tcW w:w="1765" w:type="pct"/>
                  <w:vAlign w:val="center"/>
                </w:tcPr>
                <w:p>
                  <w:pPr>
                    <w:autoSpaceDE w:val="0"/>
                    <w:autoSpaceDN w:val="0"/>
                    <w:snapToGrid w:val="0"/>
                    <w:ind w:left="107" w:hanging="91" w:hangingChars="51"/>
                    <w:jc w:val="center"/>
                    <w:rPr>
                      <w:rFonts w:hint="default" w:hAnsi="宋体"/>
                      <w:color w:val="auto"/>
                      <w:sz w:val="18"/>
                      <w:szCs w:val="18"/>
                      <w:lang w:val="en-US" w:eastAsia="zh-CN"/>
                    </w:rPr>
                  </w:pPr>
                  <w:r>
                    <w:rPr>
                      <w:rFonts w:hint="eastAsia" w:hAnsi="宋体"/>
                      <w:color w:val="auto"/>
                      <w:sz w:val="18"/>
                      <w:szCs w:val="18"/>
                      <w:lang w:val="en-US" w:eastAsia="zh-CN"/>
                    </w:rPr>
                    <w:t>53.5-53.9/49.8-50.5</w:t>
                  </w:r>
                </w:p>
              </w:tc>
              <w:tc>
                <w:tcPr>
                  <w:tcW w:w="835" w:type="pct"/>
                  <w:vAlign w:val="center"/>
                </w:tcPr>
                <w:p>
                  <w:pPr>
                    <w:autoSpaceDE w:val="0"/>
                    <w:autoSpaceDN w:val="0"/>
                    <w:snapToGrid w:val="0"/>
                    <w:jc w:val="center"/>
                    <w:rPr>
                      <w:rFonts w:hAnsi="宋体"/>
                      <w:color w:val="auto"/>
                      <w:sz w:val="18"/>
                      <w:szCs w:val="18"/>
                    </w:rPr>
                  </w:pPr>
                  <w:r>
                    <w:rPr>
                      <w:rFonts w:hint="eastAsia" w:hAnsi="宋体"/>
                      <w:color w:val="auto"/>
                      <w:sz w:val="18"/>
                      <w:szCs w:val="18"/>
                    </w:rPr>
                    <w:t>6</w:t>
                  </w:r>
                  <w:r>
                    <w:rPr>
                      <w:rFonts w:hAnsi="宋体"/>
                      <w:color w:val="auto"/>
                      <w:sz w:val="18"/>
                      <w:szCs w:val="18"/>
                    </w:rPr>
                    <w:t>5</w:t>
                  </w:r>
                  <w:r>
                    <w:rPr>
                      <w:rFonts w:hint="eastAsia" w:hAnsi="宋体"/>
                      <w:color w:val="auto"/>
                      <w:sz w:val="18"/>
                      <w:szCs w:val="18"/>
                      <w:lang w:val="en-US" w:eastAsia="zh-CN"/>
                    </w:rPr>
                    <w:t>/55</w:t>
                  </w:r>
                </w:p>
              </w:tc>
              <w:tc>
                <w:tcPr>
                  <w:tcW w:w="1517" w:type="pct"/>
                  <w:vMerge w:val="continue"/>
                  <w:vAlign w:val="center"/>
                </w:tcPr>
                <w:p>
                  <w:pPr>
                    <w:ind w:left="107" w:hanging="91" w:hangingChars="51"/>
                    <w:jc w:val="center"/>
                    <w:rPr>
                      <w:rFonts w:hAnsi="宋体"/>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81" w:type="pct"/>
                  <w:vAlign w:val="center"/>
                </w:tcPr>
                <w:p>
                  <w:pPr>
                    <w:autoSpaceDE w:val="0"/>
                    <w:autoSpaceDN w:val="0"/>
                    <w:snapToGrid w:val="0"/>
                    <w:jc w:val="center"/>
                    <w:rPr>
                      <w:rFonts w:hint="eastAsia" w:hAnsi="宋体" w:eastAsia="宋体"/>
                      <w:color w:val="auto"/>
                      <w:sz w:val="18"/>
                      <w:szCs w:val="18"/>
                      <w:lang w:val="en-US" w:eastAsia="zh-CN"/>
                    </w:rPr>
                  </w:pPr>
                  <w:r>
                    <w:rPr>
                      <w:rFonts w:hAnsi="宋体"/>
                      <w:color w:val="auto"/>
                      <w:sz w:val="18"/>
                      <w:szCs w:val="18"/>
                    </w:rPr>
                    <w:t>N</w:t>
                  </w:r>
                  <w:r>
                    <w:rPr>
                      <w:rFonts w:hint="eastAsia" w:hAnsi="宋体"/>
                      <w:color w:val="auto"/>
                      <w:sz w:val="18"/>
                      <w:szCs w:val="18"/>
                      <w:lang w:val="en-US" w:eastAsia="zh-CN"/>
                    </w:rPr>
                    <w:t>6</w:t>
                  </w:r>
                  <w:r>
                    <w:rPr>
                      <w:rFonts w:hint="eastAsia" w:hAnsi="宋体"/>
                      <w:color w:val="auto"/>
                      <w:sz w:val="18"/>
                      <w:szCs w:val="18"/>
                      <w:lang w:eastAsia="zh-CN"/>
                    </w:rPr>
                    <w:t>（噪声）</w:t>
                  </w:r>
                </w:p>
              </w:tc>
              <w:tc>
                <w:tcPr>
                  <w:tcW w:w="1765" w:type="pct"/>
                  <w:vAlign w:val="center"/>
                </w:tcPr>
                <w:p>
                  <w:pPr>
                    <w:autoSpaceDE w:val="0"/>
                    <w:autoSpaceDN w:val="0"/>
                    <w:snapToGrid w:val="0"/>
                    <w:ind w:left="107" w:hanging="91" w:hangingChars="51"/>
                    <w:jc w:val="center"/>
                    <w:rPr>
                      <w:rFonts w:hint="default" w:hAnsi="宋体"/>
                      <w:color w:val="auto"/>
                      <w:sz w:val="18"/>
                      <w:szCs w:val="18"/>
                      <w:lang w:val="en-US" w:eastAsia="zh-CN"/>
                    </w:rPr>
                  </w:pPr>
                  <w:r>
                    <w:rPr>
                      <w:rFonts w:hint="eastAsia" w:hAnsi="宋体"/>
                      <w:color w:val="auto"/>
                      <w:sz w:val="18"/>
                      <w:szCs w:val="18"/>
                      <w:lang w:val="en-US" w:eastAsia="zh-CN"/>
                    </w:rPr>
                    <w:t>52.9-53.3/49.8-50.6</w:t>
                  </w:r>
                </w:p>
              </w:tc>
              <w:tc>
                <w:tcPr>
                  <w:tcW w:w="835" w:type="pct"/>
                  <w:vAlign w:val="center"/>
                </w:tcPr>
                <w:p>
                  <w:pPr>
                    <w:autoSpaceDE w:val="0"/>
                    <w:autoSpaceDN w:val="0"/>
                    <w:snapToGrid w:val="0"/>
                    <w:jc w:val="center"/>
                    <w:rPr>
                      <w:rFonts w:hAnsi="宋体"/>
                      <w:color w:val="auto"/>
                      <w:sz w:val="18"/>
                      <w:szCs w:val="18"/>
                    </w:rPr>
                  </w:pPr>
                  <w:r>
                    <w:rPr>
                      <w:rFonts w:hint="eastAsia" w:hAnsi="宋体"/>
                      <w:color w:val="auto"/>
                      <w:sz w:val="18"/>
                      <w:szCs w:val="18"/>
                    </w:rPr>
                    <w:t>6</w:t>
                  </w:r>
                  <w:r>
                    <w:rPr>
                      <w:rFonts w:hAnsi="宋体"/>
                      <w:color w:val="auto"/>
                      <w:sz w:val="18"/>
                      <w:szCs w:val="18"/>
                    </w:rPr>
                    <w:t>5</w:t>
                  </w:r>
                  <w:r>
                    <w:rPr>
                      <w:rFonts w:hint="eastAsia" w:hAnsi="宋体"/>
                      <w:color w:val="auto"/>
                      <w:sz w:val="18"/>
                      <w:szCs w:val="18"/>
                      <w:lang w:val="en-US" w:eastAsia="zh-CN"/>
                    </w:rPr>
                    <w:t>/55</w:t>
                  </w:r>
                </w:p>
              </w:tc>
              <w:tc>
                <w:tcPr>
                  <w:tcW w:w="1517" w:type="pct"/>
                  <w:vMerge w:val="continue"/>
                  <w:vAlign w:val="center"/>
                </w:tcPr>
                <w:p>
                  <w:pPr>
                    <w:ind w:left="107" w:hanging="91" w:hangingChars="51"/>
                    <w:jc w:val="center"/>
                    <w:rPr>
                      <w:rFonts w:hAnsi="宋体"/>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81" w:type="pct"/>
                  <w:vAlign w:val="center"/>
                </w:tcPr>
                <w:p>
                  <w:pPr>
                    <w:autoSpaceDE w:val="0"/>
                    <w:autoSpaceDN w:val="0"/>
                    <w:snapToGrid w:val="0"/>
                    <w:jc w:val="center"/>
                    <w:rPr>
                      <w:rFonts w:hint="eastAsia" w:hAnsi="宋体" w:eastAsia="宋体"/>
                      <w:color w:val="auto"/>
                      <w:sz w:val="18"/>
                      <w:szCs w:val="18"/>
                      <w:lang w:val="en-US" w:eastAsia="zh-CN"/>
                    </w:rPr>
                  </w:pPr>
                  <w:r>
                    <w:rPr>
                      <w:rFonts w:hAnsi="宋体"/>
                      <w:color w:val="auto"/>
                      <w:sz w:val="18"/>
                      <w:szCs w:val="18"/>
                    </w:rPr>
                    <w:t>N</w:t>
                  </w:r>
                  <w:r>
                    <w:rPr>
                      <w:rFonts w:hint="eastAsia" w:hAnsi="宋体"/>
                      <w:color w:val="auto"/>
                      <w:sz w:val="18"/>
                      <w:szCs w:val="18"/>
                      <w:lang w:val="en-US" w:eastAsia="zh-CN"/>
                    </w:rPr>
                    <w:t>7</w:t>
                  </w:r>
                  <w:r>
                    <w:rPr>
                      <w:rFonts w:hint="eastAsia" w:hAnsi="宋体"/>
                      <w:color w:val="auto"/>
                      <w:sz w:val="18"/>
                      <w:szCs w:val="18"/>
                      <w:lang w:eastAsia="zh-CN"/>
                    </w:rPr>
                    <w:t>（噪声）</w:t>
                  </w:r>
                </w:p>
              </w:tc>
              <w:tc>
                <w:tcPr>
                  <w:tcW w:w="1765" w:type="pct"/>
                  <w:vAlign w:val="center"/>
                </w:tcPr>
                <w:p>
                  <w:pPr>
                    <w:autoSpaceDE w:val="0"/>
                    <w:autoSpaceDN w:val="0"/>
                    <w:snapToGrid w:val="0"/>
                    <w:ind w:left="107" w:hanging="91" w:hangingChars="51"/>
                    <w:jc w:val="center"/>
                    <w:rPr>
                      <w:rFonts w:hint="default" w:hAnsi="宋体"/>
                      <w:color w:val="auto"/>
                      <w:sz w:val="18"/>
                      <w:szCs w:val="18"/>
                      <w:lang w:val="en-US" w:eastAsia="zh-CN"/>
                    </w:rPr>
                  </w:pPr>
                  <w:r>
                    <w:rPr>
                      <w:rFonts w:hint="eastAsia" w:hAnsi="宋体"/>
                      <w:color w:val="auto"/>
                      <w:sz w:val="18"/>
                      <w:szCs w:val="18"/>
                      <w:lang w:val="en-US" w:eastAsia="zh-CN"/>
                    </w:rPr>
                    <w:t>59.6-60.2/54.7-55.0</w:t>
                  </w:r>
                </w:p>
              </w:tc>
              <w:tc>
                <w:tcPr>
                  <w:tcW w:w="835" w:type="pct"/>
                  <w:vAlign w:val="center"/>
                </w:tcPr>
                <w:p>
                  <w:pPr>
                    <w:autoSpaceDE w:val="0"/>
                    <w:autoSpaceDN w:val="0"/>
                    <w:snapToGrid w:val="0"/>
                    <w:jc w:val="center"/>
                    <w:rPr>
                      <w:rFonts w:hAnsi="宋体"/>
                      <w:color w:val="auto"/>
                      <w:sz w:val="18"/>
                      <w:szCs w:val="18"/>
                    </w:rPr>
                  </w:pPr>
                  <w:r>
                    <w:rPr>
                      <w:rFonts w:hint="eastAsia" w:hAnsi="宋体"/>
                      <w:color w:val="auto"/>
                      <w:sz w:val="18"/>
                      <w:szCs w:val="18"/>
                    </w:rPr>
                    <w:t>6</w:t>
                  </w:r>
                  <w:r>
                    <w:rPr>
                      <w:rFonts w:hAnsi="宋体"/>
                      <w:color w:val="auto"/>
                      <w:sz w:val="18"/>
                      <w:szCs w:val="18"/>
                    </w:rPr>
                    <w:t>5</w:t>
                  </w:r>
                  <w:r>
                    <w:rPr>
                      <w:rFonts w:hint="eastAsia" w:hAnsi="宋体"/>
                      <w:color w:val="auto"/>
                      <w:sz w:val="18"/>
                      <w:szCs w:val="18"/>
                      <w:lang w:val="en-US" w:eastAsia="zh-CN"/>
                    </w:rPr>
                    <w:t>/55</w:t>
                  </w:r>
                </w:p>
              </w:tc>
              <w:tc>
                <w:tcPr>
                  <w:tcW w:w="1517" w:type="pct"/>
                  <w:vMerge w:val="continue"/>
                  <w:vAlign w:val="center"/>
                </w:tcPr>
                <w:p>
                  <w:pPr>
                    <w:ind w:left="107" w:hanging="91" w:hangingChars="51"/>
                    <w:jc w:val="center"/>
                    <w:rPr>
                      <w:rFonts w:hAnsi="宋体"/>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81" w:type="pct"/>
                  <w:vAlign w:val="center"/>
                </w:tcPr>
                <w:p>
                  <w:pPr>
                    <w:autoSpaceDE w:val="0"/>
                    <w:autoSpaceDN w:val="0"/>
                    <w:snapToGrid w:val="0"/>
                    <w:jc w:val="center"/>
                    <w:rPr>
                      <w:rFonts w:hint="eastAsia" w:hAnsi="宋体" w:eastAsia="宋体"/>
                      <w:color w:val="auto"/>
                      <w:sz w:val="18"/>
                      <w:szCs w:val="18"/>
                      <w:lang w:val="en-US" w:eastAsia="zh-CN"/>
                    </w:rPr>
                  </w:pPr>
                  <w:r>
                    <w:rPr>
                      <w:rFonts w:hAnsi="宋体"/>
                      <w:color w:val="auto"/>
                      <w:sz w:val="18"/>
                      <w:szCs w:val="18"/>
                    </w:rPr>
                    <w:t>N</w:t>
                  </w:r>
                  <w:r>
                    <w:rPr>
                      <w:rFonts w:hint="eastAsia" w:hAnsi="宋体"/>
                      <w:color w:val="auto"/>
                      <w:sz w:val="18"/>
                      <w:szCs w:val="18"/>
                      <w:lang w:val="en-US" w:eastAsia="zh-CN"/>
                    </w:rPr>
                    <w:t>8</w:t>
                  </w:r>
                  <w:r>
                    <w:rPr>
                      <w:rFonts w:hint="eastAsia" w:hAnsi="宋体"/>
                      <w:color w:val="auto"/>
                      <w:sz w:val="18"/>
                      <w:szCs w:val="18"/>
                      <w:lang w:eastAsia="zh-CN"/>
                    </w:rPr>
                    <w:t>（噪声）</w:t>
                  </w:r>
                </w:p>
              </w:tc>
              <w:tc>
                <w:tcPr>
                  <w:tcW w:w="1765" w:type="pct"/>
                  <w:vAlign w:val="center"/>
                </w:tcPr>
                <w:p>
                  <w:pPr>
                    <w:autoSpaceDE w:val="0"/>
                    <w:autoSpaceDN w:val="0"/>
                    <w:snapToGrid w:val="0"/>
                    <w:ind w:left="107" w:hanging="91" w:hangingChars="51"/>
                    <w:jc w:val="center"/>
                    <w:rPr>
                      <w:rFonts w:hint="default" w:hAnsi="宋体"/>
                      <w:color w:val="auto"/>
                      <w:sz w:val="18"/>
                      <w:szCs w:val="18"/>
                      <w:lang w:val="en-US" w:eastAsia="zh-CN"/>
                    </w:rPr>
                  </w:pPr>
                  <w:r>
                    <w:rPr>
                      <w:rFonts w:hint="eastAsia" w:hAnsi="宋体"/>
                      <w:color w:val="auto"/>
                      <w:sz w:val="18"/>
                      <w:szCs w:val="18"/>
                      <w:lang w:val="en-US" w:eastAsia="zh-CN"/>
                    </w:rPr>
                    <w:t>56.4-57.1/53.9-54.2</w:t>
                  </w:r>
                </w:p>
              </w:tc>
              <w:tc>
                <w:tcPr>
                  <w:tcW w:w="835" w:type="pct"/>
                  <w:vAlign w:val="center"/>
                </w:tcPr>
                <w:p>
                  <w:pPr>
                    <w:autoSpaceDE w:val="0"/>
                    <w:autoSpaceDN w:val="0"/>
                    <w:snapToGrid w:val="0"/>
                    <w:jc w:val="center"/>
                    <w:rPr>
                      <w:rFonts w:hAnsi="宋体"/>
                      <w:color w:val="auto"/>
                      <w:sz w:val="18"/>
                      <w:szCs w:val="18"/>
                    </w:rPr>
                  </w:pPr>
                  <w:r>
                    <w:rPr>
                      <w:rFonts w:hint="eastAsia" w:hAnsi="宋体"/>
                      <w:color w:val="auto"/>
                      <w:sz w:val="18"/>
                      <w:szCs w:val="18"/>
                    </w:rPr>
                    <w:t>6</w:t>
                  </w:r>
                  <w:r>
                    <w:rPr>
                      <w:rFonts w:hAnsi="宋体"/>
                      <w:color w:val="auto"/>
                      <w:sz w:val="18"/>
                      <w:szCs w:val="18"/>
                    </w:rPr>
                    <w:t>5</w:t>
                  </w:r>
                  <w:r>
                    <w:rPr>
                      <w:rFonts w:hint="eastAsia" w:hAnsi="宋体"/>
                      <w:color w:val="auto"/>
                      <w:sz w:val="18"/>
                      <w:szCs w:val="18"/>
                      <w:lang w:val="en-US" w:eastAsia="zh-CN"/>
                    </w:rPr>
                    <w:t>/55</w:t>
                  </w:r>
                </w:p>
              </w:tc>
              <w:tc>
                <w:tcPr>
                  <w:tcW w:w="1517" w:type="pct"/>
                  <w:vMerge w:val="continue"/>
                  <w:vAlign w:val="center"/>
                </w:tcPr>
                <w:p>
                  <w:pPr>
                    <w:ind w:left="107" w:hanging="91" w:hangingChars="51"/>
                    <w:jc w:val="center"/>
                    <w:rPr>
                      <w:rFonts w:hAnsi="宋体"/>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81" w:type="pct"/>
                  <w:vAlign w:val="center"/>
                </w:tcPr>
                <w:p>
                  <w:pPr>
                    <w:autoSpaceDE w:val="0"/>
                    <w:autoSpaceDN w:val="0"/>
                    <w:snapToGrid w:val="0"/>
                    <w:jc w:val="center"/>
                    <w:rPr>
                      <w:rFonts w:hint="eastAsia" w:hAnsi="宋体" w:eastAsia="宋体"/>
                      <w:color w:val="auto"/>
                      <w:sz w:val="18"/>
                      <w:szCs w:val="18"/>
                      <w:lang w:val="en-US" w:eastAsia="zh-CN"/>
                    </w:rPr>
                  </w:pPr>
                  <w:r>
                    <w:rPr>
                      <w:rFonts w:hAnsi="宋体"/>
                      <w:color w:val="auto"/>
                      <w:sz w:val="18"/>
                      <w:szCs w:val="18"/>
                    </w:rPr>
                    <w:t>N</w:t>
                  </w:r>
                  <w:r>
                    <w:rPr>
                      <w:rFonts w:hint="eastAsia" w:hAnsi="宋体"/>
                      <w:color w:val="auto"/>
                      <w:sz w:val="18"/>
                      <w:szCs w:val="18"/>
                      <w:lang w:val="en-US" w:eastAsia="zh-CN"/>
                    </w:rPr>
                    <w:t>9</w:t>
                  </w:r>
                  <w:r>
                    <w:rPr>
                      <w:rFonts w:hint="eastAsia" w:hAnsi="宋体"/>
                      <w:color w:val="auto"/>
                      <w:sz w:val="18"/>
                      <w:szCs w:val="18"/>
                      <w:lang w:eastAsia="zh-CN"/>
                    </w:rPr>
                    <w:t>（噪声）</w:t>
                  </w:r>
                </w:p>
              </w:tc>
              <w:tc>
                <w:tcPr>
                  <w:tcW w:w="1765" w:type="pct"/>
                  <w:vAlign w:val="center"/>
                </w:tcPr>
                <w:p>
                  <w:pPr>
                    <w:autoSpaceDE w:val="0"/>
                    <w:autoSpaceDN w:val="0"/>
                    <w:snapToGrid w:val="0"/>
                    <w:ind w:left="107" w:hanging="91" w:hangingChars="51"/>
                    <w:jc w:val="center"/>
                    <w:rPr>
                      <w:rFonts w:hint="default" w:hAnsi="宋体"/>
                      <w:color w:val="auto"/>
                      <w:sz w:val="18"/>
                      <w:szCs w:val="18"/>
                      <w:lang w:val="en-US" w:eastAsia="zh-CN"/>
                    </w:rPr>
                  </w:pPr>
                  <w:r>
                    <w:rPr>
                      <w:rFonts w:hint="eastAsia" w:hAnsi="宋体"/>
                      <w:color w:val="auto"/>
                      <w:sz w:val="18"/>
                      <w:szCs w:val="18"/>
                      <w:lang w:val="en-US" w:eastAsia="zh-CN"/>
                    </w:rPr>
                    <w:t>55.2-55.8/53.5-53.7</w:t>
                  </w:r>
                </w:p>
              </w:tc>
              <w:tc>
                <w:tcPr>
                  <w:tcW w:w="835" w:type="pct"/>
                  <w:vAlign w:val="center"/>
                </w:tcPr>
                <w:p>
                  <w:pPr>
                    <w:autoSpaceDE w:val="0"/>
                    <w:autoSpaceDN w:val="0"/>
                    <w:snapToGrid w:val="0"/>
                    <w:jc w:val="center"/>
                    <w:rPr>
                      <w:rFonts w:hAnsi="宋体"/>
                      <w:color w:val="auto"/>
                      <w:sz w:val="18"/>
                      <w:szCs w:val="18"/>
                    </w:rPr>
                  </w:pPr>
                  <w:r>
                    <w:rPr>
                      <w:rFonts w:hint="eastAsia" w:hAnsi="宋体"/>
                      <w:color w:val="auto"/>
                      <w:sz w:val="18"/>
                      <w:szCs w:val="18"/>
                    </w:rPr>
                    <w:t>6</w:t>
                  </w:r>
                  <w:r>
                    <w:rPr>
                      <w:rFonts w:hAnsi="宋体"/>
                      <w:color w:val="auto"/>
                      <w:sz w:val="18"/>
                      <w:szCs w:val="18"/>
                    </w:rPr>
                    <w:t>5</w:t>
                  </w:r>
                  <w:r>
                    <w:rPr>
                      <w:rFonts w:hint="eastAsia" w:hAnsi="宋体"/>
                      <w:color w:val="auto"/>
                      <w:sz w:val="18"/>
                      <w:szCs w:val="18"/>
                      <w:lang w:val="en-US" w:eastAsia="zh-CN"/>
                    </w:rPr>
                    <w:t>/55</w:t>
                  </w:r>
                </w:p>
              </w:tc>
              <w:tc>
                <w:tcPr>
                  <w:tcW w:w="1517" w:type="pct"/>
                  <w:vMerge w:val="continue"/>
                  <w:vAlign w:val="center"/>
                </w:tcPr>
                <w:p>
                  <w:pPr>
                    <w:ind w:left="107" w:hanging="91" w:hangingChars="51"/>
                    <w:jc w:val="center"/>
                    <w:rPr>
                      <w:rFonts w:hAnsi="宋体"/>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881" w:type="pct"/>
                  <w:vAlign w:val="center"/>
                </w:tcPr>
                <w:p>
                  <w:pPr>
                    <w:autoSpaceDE w:val="0"/>
                    <w:autoSpaceDN w:val="0"/>
                    <w:snapToGrid w:val="0"/>
                    <w:jc w:val="center"/>
                    <w:rPr>
                      <w:rFonts w:hAnsi="宋体"/>
                      <w:color w:val="auto"/>
                      <w:sz w:val="18"/>
                      <w:szCs w:val="18"/>
                    </w:rPr>
                  </w:pPr>
                  <w:r>
                    <w:rPr>
                      <w:rFonts w:hAnsi="宋体"/>
                      <w:color w:val="auto"/>
                      <w:sz w:val="18"/>
                      <w:szCs w:val="18"/>
                    </w:rPr>
                    <w:t>N</w:t>
                  </w:r>
                  <w:r>
                    <w:rPr>
                      <w:rFonts w:hint="eastAsia" w:hAnsi="宋体"/>
                      <w:color w:val="auto"/>
                      <w:sz w:val="18"/>
                      <w:szCs w:val="18"/>
                      <w:lang w:val="en-US" w:eastAsia="zh-CN"/>
                    </w:rPr>
                    <w:t>7（</w:t>
                  </w:r>
                  <w:r>
                    <w:rPr>
                      <w:rFonts w:hint="eastAsia" w:hAnsi="宋体"/>
                      <w:color w:val="auto"/>
                      <w:sz w:val="18"/>
                      <w:szCs w:val="18"/>
                      <w:lang w:eastAsia="zh-CN"/>
                    </w:rPr>
                    <w:t>振动</w:t>
                  </w:r>
                  <w:r>
                    <w:rPr>
                      <w:rFonts w:hint="eastAsia" w:hAnsi="宋体"/>
                      <w:color w:val="auto"/>
                      <w:sz w:val="18"/>
                      <w:szCs w:val="18"/>
                      <w:lang w:val="en-US" w:eastAsia="zh-CN"/>
                    </w:rPr>
                    <w:t>）</w:t>
                  </w:r>
                </w:p>
              </w:tc>
              <w:tc>
                <w:tcPr>
                  <w:tcW w:w="1765" w:type="pct"/>
                  <w:vAlign w:val="center"/>
                </w:tcPr>
                <w:p>
                  <w:pPr>
                    <w:autoSpaceDE w:val="0"/>
                    <w:autoSpaceDN w:val="0"/>
                    <w:snapToGrid w:val="0"/>
                    <w:ind w:left="107" w:hanging="91" w:hangingChars="51"/>
                    <w:jc w:val="center"/>
                    <w:rPr>
                      <w:rFonts w:hint="default" w:hAnsi="宋体"/>
                      <w:color w:val="auto"/>
                      <w:sz w:val="18"/>
                      <w:szCs w:val="18"/>
                      <w:lang w:val="en-US" w:eastAsia="zh-CN"/>
                    </w:rPr>
                  </w:pPr>
                  <w:r>
                    <w:rPr>
                      <w:rFonts w:hint="eastAsia" w:hAnsi="宋体"/>
                      <w:color w:val="auto"/>
                      <w:sz w:val="18"/>
                      <w:szCs w:val="18"/>
                      <w:lang w:val="en-US" w:eastAsia="zh-CN"/>
                    </w:rPr>
                    <w:t>71.4-72.1/69.5-69.6</w:t>
                  </w:r>
                </w:p>
              </w:tc>
              <w:tc>
                <w:tcPr>
                  <w:tcW w:w="835" w:type="pct"/>
                  <w:vAlign w:val="center"/>
                </w:tcPr>
                <w:p>
                  <w:pPr>
                    <w:autoSpaceDE w:val="0"/>
                    <w:autoSpaceDN w:val="0"/>
                    <w:snapToGrid w:val="0"/>
                    <w:jc w:val="center"/>
                    <w:rPr>
                      <w:rFonts w:hint="default" w:hAnsi="宋体" w:eastAsia="宋体"/>
                      <w:color w:val="auto"/>
                      <w:sz w:val="18"/>
                      <w:szCs w:val="18"/>
                      <w:lang w:val="en-US" w:eastAsia="zh-CN"/>
                    </w:rPr>
                  </w:pPr>
                  <w:r>
                    <w:rPr>
                      <w:rFonts w:hint="eastAsia" w:hAnsi="宋体"/>
                      <w:color w:val="auto"/>
                      <w:sz w:val="18"/>
                      <w:szCs w:val="18"/>
                      <w:lang w:val="en-US" w:eastAsia="zh-CN"/>
                    </w:rPr>
                    <w:t>75/72</w:t>
                  </w:r>
                </w:p>
              </w:tc>
              <w:tc>
                <w:tcPr>
                  <w:tcW w:w="1517" w:type="pct"/>
                  <w:vAlign w:val="center"/>
                </w:tcPr>
                <w:p>
                  <w:pPr>
                    <w:ind w:left="107" w:hanging="91" w:hangingChars="51"/>
                    <w:jc w:val="center"/>
                    <w:rPr>
                      <w:rFonts w:hAnsi="宋体"/>
                      <w:color w:val="auto"/>
                      <w:sz w:val="18"/>
                      <w:szCs w:val="18"/>
                    </w:rPr>
                  </w:pPr>
                  <w:r>
                    <w:rPr>
                      <w:rFonts w:hint="eastAsia" w:ascii="Times New Roman" w:hAnsi="Times New Roman" w:eastAsia="宋体" w:cs="Times New Roman"/>
                      <w:color w:val="auto"/>
                      <w:sz w:val="18"/>
                      <w:szCs w:val="18"/>
                      <w:lang w:val="en-US" w:eastAsia="zh-CN"/>
                    </w:rPr>
                    <w:t>《城市区域环境振动标准》</w:t>
                  </w:r>
                  <w:r>
                    <w:rPr>
                      <w:rFonts w:hint="default" w:ascii="Times New Roman" w:hAnsi="Times New Roman" w:eastAsia="宋体" w:cs="Times New Roman"/>
                      <w:color w:val="auto"/>
                      <w:sz w:val="18"/>
                      <w:szCs w:val="18"/>
                      <w:lang w:val="en-US" w:eastAsia="zh-CN"/>
                    </w:rPr>
                    <w:t>‌（GB 10070-88）</w:t>
                  </w:r>
                </w:p>
              </w:tc>
            </w:tr>
          </w:tbl>
          <w:p>
            <w:pPr>
              <w:spacing w:line="500" w:lineRule="exact"/>
              <w:ind w:firstLine="420" w:firstLineChars="200"/>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根据</w:t>
            </w:r>
            <w:r>
              <w:rPr>
                <w:rFonts w:hint="eastAsia" w:ascii="Times New Roman" w:hAnsi="Times New Roman" w:eastAsia="宋体" w:cs="Times New Roman"/>
                <w:color w:val="auto"/>
                <w:szCs w:val="21"/>
                <w:lang w:val="en-US" w:eastAsia="zh-CN"/>
              </w:rPr>
              <w:t>新建5000T快锻机组生产线项目竣工环保验收检测数据（检测时间2017.02.03）显示</w:t>
            </w:r>
            <w:r>
              <w:rPr>
                <w:rFonts w:hint="eastAsia" w:ascii="Times New Roman" w:hAnsi="Times New Roman" w:eastAsia="宋体" w:cs="Times New Roman"/>
                <w:color w:val="auto"/>
                <w:szCs w:val="21"/>
                <w:lang w:eastAsia="zh-CN"/>
              </w:rPr>
              <w:t>四周厂界噪声满足《工业企业厂界环境噪声排放标准》（GB12348-2008）中</w:t>
            </w:r>
            <w:r>
              <w:rPr>
                <w:rFonts w:hint="eastAsia" w:ascii="Times New Roman" w:hAnsi="Times New Roman" w:eastAsia="宋体" w:cs="Times New Roman"/>
                <w:color w:val="auto"/>
                <w:szCs w:val="21"/>
                <w:lang w:val="en-US" w:eastAsia="zh-CN"/>
              </w:rPr>
              <w:t>3</w:t>
            </w:r>
            <w:r>
              <w:rPr>
                <w:rFonts w:hint="eastAsia" w:ascii="Times New Roman" w:hAnsi="Times New Roman" w:eastAsia="宋体" w:cs="Times New Roman"/>
                <w:color w:val="auto"/>
                <w:szCs w:val="21"/>
                <w:lang w:eastAsia="zh-CN"/>
              </w:rPr>
              <w:t>类标准要求，北厂界振动符合</w:t>
            </w:r>
            <w:r>
              <w:rPr>
                <w:rFonts w:hint="eastAsia" w:ascii="Times New Roman" w:hAnsi="Times New Roman" w:eastAsia="宋体" w:cs="Times New Roman"/>
                <w:color w:val="auto"/>
                <w:szCs w:val="21"/>
                <w:lang w:val="en-US" w:eastAsia="zh-CN"/>
              </w:rPr>
              <w:t>《城市区域环境振动标准》</w:t>
            </w:r>
            <w:r>
              <w:rPr>
                <w:rFonts w:hint="default" w:ascii="Times New Roman" w:hAnsi="Times New Roman" w:eastAsia="宋体" w:cs="Times New Roman"/>
                <w:color w:val="auto"/>
                <w:szCs w:val="21"/>
                <w:lang w:val="en-US" w:eastAsia="zh-CN"/>
              </w:rPr>
              <w:t>‌（GB 10070-88）</w:t>
            </w:r>
            <w:r>
              <w:rPr>
                <w:rFonts w:hint="eastAsia" w:ascii="Times New Roman" w:hAnsi="Times New Roman" w:eastAsia="宋体" w:cs="Times New Roman"/>
                <w:color w:val="auto"/>
                <w:szCs w:val="21"/>
                <w:lang w:val="en-US" w:eastAsia="zh-CN"/>
              </w:rPr>
              <w:t>中混合区标准。</w:t>
            </w:r>
          </w:p>
          <w:p>
            <w:pPr>
              <w:keepNext w:val="0"/>
              <w:keepLines w:val="0"/>
              <w:pageBreakBefore w:val="0"/>
              <w:widowControl/>
              <w:kinsoku/>
              <w:wordWrap/>
              <w:overflowPunct/>
              <w:topLinePunct w:val="0"/>
              <w:autoSpaceDE/>
              <w:autoSpaceDN/>
              <w:bidi w:val="0"/>
              <w:adjustRightInd/>
              <w:snapToGrid/>
              <w:spacing w:beforeAutospacing="0" w:afterAutospacing="0" w:line="500" w:lineRule="exact"/>
              <w:ind w:firstLine="420" w:firstLineChars="200"/>
              <w:contextualSpacing/>
              <w:jc w:val="left"/>
              <w:textAlignment w:val="auto"/>
              <w:rPr>
                <w:rFonts w:hint="eastAsia" w:eastAsia="宋体"/>
                <w:szCs w:val="21"/>
                <w:lang w:val="en-US" w:eastAsia="zh-CN"/>
              </w:rPr>
            </w:pPr>
            <w:r>
              <w:rPr>
                <w:rFonts w:hint="eastAsia" w:eastAsia="宋体"/>
                <w:szCs w:val="21"/>
                <w:lang w:val="en-US" w:eastAsia="zh-CN"/>
              </w:rPr>
              <w:t>（</w:t>
            </w:r>
            <w:r>
              <w:rPr>
                <w:rFonts w:hint="eastAsia"/>
                <w:szCs w:val="21"/>
                <w:lang w:val="en-US" w:eastAsia="zh-CN"/>
              </w:rPr>
              <w:t>4</w:t>
            </w:r>
            <w:r>
              <w:rPr>
                <w:rFonts w:hint="eastAsia" w:eastAsia="宋体"/>
                <w:szCs w:val="21"/>
                <w:lang w:val="en-US" w:eastAsia="zh-CN"/>
              </w:rPr>
              <w:t>）固体废弃物</w:t>
            </w:r>
          </w:p>
          <w:p>
            <w:pPr>
              <w:spacing w:line="500" w:lineRule="exact"/>
              <w:jc w:val="center"/>
              <w:rPr>
                <w:color w:val="auto"/>
              </w:rPr>
            </w:pPr>
            <w:r>
              <w:rPr>
                <w:b/>
                <w:bCs/>
                <w:color w:val="auto"/>
                <w:szCs w:val="21"/>
              </w:rPr>
              <w:t>表 2-</w:t>
            </w:r>
            <w:r>
              <w:rPr>
                <w:rFonts w:hint="eastAsia"/>
                <w:b/>
                <w:bCs/>
                <w:color w:val="auto"/>
                <w:szCs w:val="21"/>
                <w:lang w:val="en-US" w:eastAsia="zh-CN"/>
              </w:rPr>
              <w:t>24</w:t>
            </w:r>
            <w:r>
              <w:rPr>
                <w:b/>
                <w:bCs/>
                <w:color w:val="auto"/>
                <w:szCs w:val="21"/>
              </w:rPr>
              <w:t xml:space="preserve">  现有项目全厂固废产生情况汇总表</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216"/>
              <w:gridCol w:w="910"/>
              <w:gridCol w:w="1158"/>
              <w:gridCol w:w="817"/>
              <w:gridCol w:w="842"/>
              <w:gridCol w:w="1033"/>
              <w:gridCol w:w="195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trPr>
              <w:tc>
                <w:tcPr>
                  <w:tcW w:w="766" w:type="pct"/>
                  <w:noWrap w:val="0"/>
                  <w:vAlign w:val="center"/>
                </w:tcPr>
                <w:p>
                  <w:pPr>
                    <w:jc w:val="center"/>
                    <w:rPr>
                      <w:color w:val="auto"/>
                      <w:kern w:val="0"/>
                      <w:sz w:val="18"/>
                      <w:szCs w:val="18"/>
                    </w:rPr>
                  </w:pPr>
                  <w:r>
                    <w:rPr>
                      <w:color w:val="auto"/>
                      <w:kern w:val="0"/>
                      <w:sz w:val="18"/>
                      <w:szCs w:val="18"/>
                    </w:rPr>
                    <w:t>名称</w:t>
                  </w:r>
                </w:p>
              </w:tc>
              <w:tc>
                <w:tcPr>
                  <w:tcW w:w="573" w:type="pct"/>
                  <w:noWrap w:val="0"/>
                  <w:vAlign w:val="center"/>
                </w:tcPr>
                <w:p>
                  <w:pPr>
                    <w:jc w:val="center"/>
                    <w:rPr>
                      <w:color w:val="auto"/>
                      <w:kern w:val="0"/>
                      <w:sz w:val="18"/>
                      <w:szCs w:val="18"/>
                    </w:rPr>
                  </w:pPr>
                  <w:r>
                    <w:rPr>
                      <w:color w:val="auto"/>
                      <w:kern w:val="0"/>
                      <w:sz w:val="18"/>
                      <w:szCs w:val="18"/>
                    </w:rPr>
                    <w:t>性质</w:t>
                  </w:r>
                </w:p>
              </w:tc>
              <w:tc>
                <w:tcPr>
                  <w:tcW w:w="729" w:type="pct"/>
                  <w:noWrap w:val="0"/>
                  <w:vAlign w:val="center"/>
                </w:tcPr>
                <w:p>
                  <w:pPr>
                    <w:jc w:val="center"/>
                    <w:rPr>
                      <w:color w:val="auto"/>
                      <w:kern w:val="0"/>
                      <w:sz w:val="18"/>
                      <w:szCs w:val="18"/>
                    </w:rPr>
                  </w:pPr>
                  <w:r>
                    <w:rPr>
                      <w:color w:val="auto"/>
                      <w:kern w:val="0"/>
                      <w:sz w:val="18"/>
                      <w:szCs w:val="18"/>
                    </w:rPr>
                    <w:t>环评量（t/a）</w:t>
                  </w:r>
                </w:p>
              </w:tc>
              <w:tc>
                <w:tcPr>
                  <w:tcW w:w="515" w:type="pct"/>
                  <w:noWrap w:val="0"/>
                  <w:vAlign w:val="center"/>
                </w:tcPr>
                <w:p>
                  <w:pPr>
                    <w:jc w:val="center"/>
                    <w:rPr>
                      <w:color w:val="auto"/>
                      <w:kern w:val="0"/>
                      <w:sz w:val="18"/>
                      <w:szCs w:val="18"/>
                    </w:rPr>
                  </w:pPr>
                  <w:r>
                    <w:rPr>
                      <w:rFonts w:hint="eastAsia"/>
                      <w:color w:val="auto"/>
                      <w:kern w:val="0"/>
                      <w:sz w:val="18"/>
                      <w:szCs w:val="18"/>
                    </w:rPr>
                    <w:t>实际</w:t>
                  </w:r>
                  <w:r>
                    <w:rPr>
                      <w:color w:val="auto"/>
                      <w:kern w:val="0"/>
                      <w:sz w:val="18"/>
                      <w:szCs w:val="18"/>
                    </w:rPr>
                    <w:t>产生量（t/a）</w:t>
                  </w:r>
                </w:p>
              </w:tc>
              <w:tc>
                <w:tcPr>
                  <w:tcW w:w="530" w:type="pct"/>
                  <w:noWrap w:val="0"/>
                  <w:vAlign w:val="center"/>
                </w:tcPr>
                <w:p>
                  <w:pPr>
                    <w:autoSpaceDE w:val="0"/>
                    <w:autoSpaceDN w:val="0"/>
                    <w:snapToGrid w:val="0"/>
                    <w:jc w:val="center"/>
                    <w:rPr>
                      <w:rFonts w:hint="eastAsia"/>
                      <w:color w:val="auto"/>
                      <w:kern w:val="0"/>
                      <w:sz w:val="18"/>
                      <w:szCs w:val="18"/>
                    </w:rPr>
                  </w:pPr>
                  <w:r>
                    <w:rPr>
                      <w:rFonts w:hint="default" w:ascii="Times New Roman" w:hAnsi="Times New Roman" w:eastAsia="宋体" w:cs="Times New Roman"/>
                      <w:snapToGrid w:val="0"/>
                      <w:color w:val="auto"/>
                      <w:kern w:val="0"/>
                      <w:sz w:val="18"/>
                      <w:szCs w:val="18"/>
                    </w:rPr>
                    <w:t>废物类别</w:t>
                  </w:r>
                </w:p>
              </w:tc>
              <w:tc>
                <w:tcPr>
                  <w:tcW w:w="651" w:type="pct"/>
                  <w:noWrap w:val="0"/>
                  <w:vAlign w:val="center"/>
                </w:tcPr>
                <w:p>
                  <w:pPr>
                    <w:autoSpaceDE w:val="0"/>
                    <w:autoSpaceDN w:val="0"/>
                    <w:snapToGrid w:val="0"/>
                    <w:jc w:val="center"/>
                    <w:rPr>
                      <w:rFonts w:hint="eastAsia"/>
                      <w:color w:val="auto"/>
                      <w:kern w:val="0"/>
                      <w:sz w:val="18"/>
                      <w:szCs w:val="18"/>
                    </w:rPr>
                  </w:pPr>
                  <w:r>
                    <w:rPr>
                      <w:rFonts w:hint="default" w:ascii="Times New Roman" w:hAnsi="Times New Roman" w:eastAsia="宋体" w:cs="Times New Roman"/>
                      <w:snapToGrid w:val="0"/>
                      <w:color w:val="auto"/>
                      <w:kern w:val="0"/>
                      <w:sz w:val="18"/>
                      <w:szCs w:val="18"/>
                    </w:rPr>
                    <w:t>废物代码</w:t>
                  </w:r>
                </w:p>
              </w:tc>
              <w:tc>
                <w:tcPr>
                  <w:tcW w:w="1232" w:type="pct"/>
                  <w:noWrap w:val="0"/>
                  <w:vAlign w:val="center"/>
                </w:tcPr>
                <w:p>
                  <w:pPr>
                    <w:jc w:val="center"/>
                    <w:rPr>
                      <w:color w:val="auto"/>
                      <w:kern w:val="0"/>
                      <w:sz w:val="18"/>
                      <w:szCs w:val="18"/>
                    </w:rPr>
                  </w:pPr>
                  <w:r>
                    <w:rPr>
                      <w:color w:val="auto"/>
                      <w:kern w:val="0"/>
                      <w:sz w:val="18"/>
                      <w:szCs w:val="18"/>
                    </w:rPr>
                    <w:t>处理处置方式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trPr>
              <w:tc>
                <w:tcPr>
                  <w:tcW w:w="766" w:type="pct"/>
                  <w:shd w:val="clear" w:color="auto" w:fill="auto"/>
                  <w:noWrap w:val="0"/>
                  <w:vAlign w:val="center"/>
                </w:tcPr>
                <w:p>
                  <w:pPr>
                    <w:jc w:val="center"/>
                    <w:rPr>
                      <w:rFonts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废氧化皮</w:t>
                  </w:r>
                </w:p>
              </w:tc>
              <w:tc>
                <w:tcPr>
                  <w:tcW w:w="573" w:type="pct"/>
                  <w:vMerge w:val="restart"/>
                  <w:noWrap w:val="0"/>
                  <w:vAlign w:val="center"/>
                </w:tcPr>
                <w:p>
                  <w:pPr>
                    <w:jc w:val="center"/>
                    <w:rPr>
                      <w:color w:val="auto"/>
                      <w:kern w:val="0"/>
                      <w:sz w:val="18"/>
                      <w:szCs w:val="18"/>
                    </w:rPr>
                  </w:pPr>
                  <w:r>
                    <w:rPr>
                      <w:color w:val="auto"/>
                      <w:kern w:val="0"/>
                      <w:sz w:val="18"/>
                      <w:szCs w:val="18"/>
                    </w:rPr>
                    <w:t>一般固体废物</w:t>
                  </w:r>
                </w:p>
              </w:tc>
              <w:tc>
                <w:tcPr>
                  <w:tcW w:w="729" w:type="pct"/>
                  <w:noWrap w:val="0"/>
                  <w:vAlign w:val="center"/>
                </w:tcPr>
                <w:p>
                  <w:pPr>
                    <w:widowControl/>
                    <w:jc w:val="center"/>
                    <w:textAlignment w:val="center"/>
                    <w:rPr>
                      <w:rFonts w:hint="default" w:eastAsia="宋体"/>
                      <w:color w:val="auto"/>
                      <w:kern w:val="0"/>
                      <w:sz w:val="18"/>
                      <w:szCs w:val="18"/>
                      <w:lang w:val="en-US" w:eastAsia="zh-CN"/>
                    </w:rPr>
                  </w:pPr>
                  <w:r>
                    <w:rPr>
                      <w:rFonts w:hint="eastAsia"/>
                      <w:color w:val="auto"/>
                      <w:kern w:val="0"/>
                      <w:sz w:val="18"/>
                      <w:szCs w:val="18"/>
                      <w:lang w:val="en-US" w:eastAsia="zh-CN"/>
                    </w:rPr>
                    <w:t>29021.4</w:t>
                  </w:r>
                </w:p>
              </w:tc>
              <w:tc>
                <w:tcPr>
                  <w:tcW w:w="515" w:type="pct"/>
                  <w:noWrap w:val="0"/>
                  <w:vAlign w:val="center"/>
                </w:tcPr>
                <w:p>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72.2</w:t>
                  </w:r>
                </w:p>
              </w:tc>
              <w:tc>
                <w:tcPr>
                  <w:tcW w:w="530" w:type="pct"/>
                  <w:noWrap w:val="0"/>
                  <w:vAlign w:val="center"/>
                </w:tcPr>
                <w:p>
                  <w:pPr>
                    <w:jc w:val="center"/>
                    <w:rPr>
                      <w:rFonts w:hint="eastAsia"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sz w:val="18"/>
                      <w:szCs w:val="18"/>
                      <w:lang w:val="en-US" w:eastAsia="zh-CN"/>
                    </w:rPr>
                    <w:t>SW17</w:t>
                  </w:r>
                </w:p>
              </w:tc>
              <w:tc>
                <w:tcPr>
                  <w:tcW w:w="651" w:type="pct"/>
                  <w:noWrap w:val="0"/>
                  <w:vAlign w:val="center"/>
                </w:tcPr>
                <w:p>
                  <w:pPr>
                    <w:jc w:val="center"/>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sz w:val="18"/>
                      <w:szCs w:val="18"/>
                      <w:lang w:val="en-US" w:eastAsia="zh-CN"/>
                    </w:rPr>
                    <w:t>900</w:t>
                  </w:r>
                  <w:r>
                    <w:rPr>
                      <w:rFonts w:hint="default" w:ascii="Times New Roman" w:hAnsi="Times New Roman" w:eastAsia="宋体" w:cs="Times New Roman"/>
                      <w:color w:val="auto"/>
                      <w:sz w:val="18"/>
                      <w:szCs w:val="18"/>
                      <w:lang w:val="en-US" w:eastAsia="zh-CN"/>
                    </w:rPr>
                    <w:t>-001-</w:t>
                  </w:r>
                  <w:r>
                    <w:rPr>
                      <w:rFonts w:hint="eastAsia" w:ascii="Times New Roman" w:hAnsi="Times New Roman" w:eastAsia="宋体" w:cs="Times New Roman"/>
                      <w:color w:val="auto"/>
                      <w:sz w:val="18"/>
                      <w:szCs w:val="18"/>
                      <w:lang w:val="en-US" w:eastAsia="zh-CN"/>
                    </w:rPr>
                    <w:t>S17</w:t>
                  </w:r>
                </w:p>
              </w:tc>
              <w:tc>
                <w:tcPr>
                  <w:tcW w:w="1232" w:type="pct"/>
                  <w:vMerge w:val="restart"/>
                  <w:noWrap w:val="0"/>
                  <w:vAlign w:val="center"/>
                </w:tcPr>
                <w:p>
                  <w:pPr>
                    <w:jc w:val="center"/>
                    <w:rPr>
                      <w:color w:val="auto"/>
                      <w:kern w:val="0"/>
                      <w:sz w:val="18"/>
                      <w:szCs w:val="18"/>
                    </w:rPr>
                  </w:pPr>
                  <w:r>
                    <w:rPr>
                      <w:color w:val="auto"/>
                      <w:kern w:val="0"/>
                      <w:sz w:val="18"/>
                      <w:szCs w:val="18"/>
                    </w:rPr>
                    <w:t>外售综合利用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trPr>
              <w:tc>
                <w:tcPr>
                  <w:tcW w:w="766"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ascii="Times New Roman" w:hAnsi="Times New Roman" w:eastAsia="宋体" w:cs="Times New Roman"/>
                      <w:color w:val="auto"/>
                      <w:sz w:val="18"/>
                      <w:szCs w:val="18"/>
                    </w:rPr>
                    <w:t>废边角料</w:t>
                  </w:r>
                </w:p>
              </w:tc>
              <w:tc>
                <w:tcPr>
                  <w:tcW w:w="573" w:type="pct"/>
                  <w:vMerge w:val="continue"/>
                  <w:noWrap w:val="0"/>
                  <w:vAlign w:val="center"/>
                </w:tcPr>
                <w:p>
                  <w:pPr>
                    <w:jc w:val="center"/>
                    <w:rPr>
                      <w:color w:val="auto"/>
                      <w:kern w:val="0"/>
                      <w:sz w:val="18"/>
                      <w:szCs w:val="18"/>
                    </w:rPr>
                  </w:pPr>
                </w:p>
              </w:tc>
              <w:tc>
                <w:tcPr>
                  <w:tcW w:w="729" w:type="pct"/>
                  <w:noWrap w:val="0"/>
                  <w:vAlign w:val="center"/>
                </w:tcPr>
                <w:p>
                  <w:pPr>
                    <w:widowControl/>
                    <w:jc w:val="center"/>
                    <w:textAlignment w:val="center"/>
                    <w:rPr>
                      <w:rFonts w:hint="default" w:eastAsia="宋体"/>
                      <w:color w:val="auto"/>
                      <w:kern w:val="0"/>
                      <w:sz w:val="18"/>
                      <w:szCs w:val="18"/>
                      <w:lang w:val="en-US" w:eastAsia="zh-CN"/>
                    </w:rPr>
                  </w:pPr>
                  <w:r>
                    <w:rPr>
                      <w:rFonts w:hint="eastAsia"/>
                      <w:color w:val="auto"/>
                      <w:kern w:val="0"/>
                      <w:sz w:val="18"/>
                      <w:szCs w:val="18"/>
                      <w:lang w:val="en-US" w:eastAsia="zh-CN"/>
                    </w:rPr>
                    <w:t>1838.6</w:t>
                  </w:r>
                </w:p>
              </w:tc>
              <w:tc>
                <w:tcPr>
                  <w:tcW w:w="515" w:type="pct"/>
                  <w:noWrap w:val="0"/>
                  <w:vAlign w:val="center"/>
                </w:tcPr>
                <w:p>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72.2</w:t>
                  </w:r>
                </w:p>
              </w:tc>
              <w:tc>
                <w:tcPr>
                  <w:tcW w:w="530" w:type="pct"/>
                  <w:noWrap w:val="0"/>
                  <w:vAlign w:val="center"/>
                </w:tcPr>
                <w:p>
                  <w:pPr>
                    <w:jc w:val="center"/>
                    <w:rPr>
                      <w:rFonts w:hint="eastAsia"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sz w:val="18"/>
                      <w:szCs w:val="18"/>
                      <w:lang w:val="en-US" w:eastAsia="zh-CN"/>
                    </w:rPr>
                    <w:t>SW17</w:t>
                  </w:r>
                </w:p>
              </w:tc>
              <w:tc>
                <w:tcPr>
                  <w:tcW w:w="651" w:type="pct"/>
                  <w:noWrap w:val="0"/>
                  <w:vAlign w:val="center"/>
                </w:tcPr>
                <w:p>
                  <w:pPr>
                    <w:jc w:val="center"/>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sz w:val="18"/>
                      <w:szCs w:val="18"/>
                      <w:lang w:val="en-US" w:eastAsia="zh-CN"/>
                    </w:rPr>
                    <w:t>900</w:t>
                  </w:r>
                  <w:r>
                    <w:rPr>
                      <w:rFonts w:hint="default" w:ascii="Times New Roman" w:hAnsi="Times New Roman" w:eastAsia="宋体" w:cs="Times New Roman"/>
                      <w:color w:val="auto"/>
                      <w:sz w:val="18"/>
                      <w:szCs w:val="18"/>
                      <w:lang w:val="en-US" w:eastAsia="zh-CN"/>
                    </w:rPr>
                    <w:t>-001-</w:t>
                  </w:r>
                  <w:r>
                    <w:rPr>
                      <w:rFonts w:hint="eastAsia" w:ascii="Times New Roman" w:hAnsi="Times New Roman" w:eastAsia="宋体" w:cs="Times New Roman"/>
                      <w:color w:val="auto"/>
                      <w:sz w:val="18"/>
                      <w:szCs w:val="18"/>
                      <w:lang w:val="en-US" w:eastAsia="zh-CN"/>
                    </w:rPr>
                    <w:t>S17</w:t>
                  </w:r>
                </w:p>
              </w:tc>
              <w:tc>
                <w:tcPr>
                  <w:tcW w:w="1232" w:type="pct"/>
                  <w:vMerge w:val="continue"/>
                  <w:noWrap w:val="0"/>
                  <w:vAlign w:val="center"/>
                </w:tcPr>
                <w:p>
                  <w:pPr>
                    <w:jc w:val="center"/>
                    <w:rPr>
                      <w:color w:val="auto"/>
                      <w:kern w:val="0"/>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trPr>
              <w:tc>
                <w:tcPr>
                  <w:tcW w:w="766"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沉渣</w:t>
                  </w:r>
                </w:p>
              </w:tc>
              <w:tc>
                <w:tcPr>
                  <w:tcW w:w="573" w:type="pct"/>
                  <w:vMerge w:val="continue"/>
                  <w:noWrap w:val="0"/>
                  <w:vAlign w:val="center"/>
                </w:tcPr>
                <w:p>
                  <w:pPr>
                    <w:jc w:val="center"/>
                    <w:rPr>
                      <w:color w:val="auto"/>
                      <w:kern w:val="0"/>
                      <w:sz w:val="18"/>
                      <w:szCs w:val="18"/>
                    </w:rPr>
                  </w:pPr>
                </w:p>
              </w:tc>
              <w:tc>
                <w:tcPr>
                  <w:tcW w:w="729" w:type="pct"/>
                  <w:noWrap w:val="0"/>
                  <w:vAlign w:val="center"/>
                </w:tcPr>
                <w:p>
                  <w:pPr>
                    <w:widowControl/>
                    <w:jc w:val="center"/>
                    <w:textAlignment w:val="center"/>
                    <w:rPr>
                      <w:rFonts w:hint="default" w:eastAsia="宋体"/>
                      <w:color w:val="auto"/>
                      <w:kern w:val="0"/>
                      <w:sz w:val="18"/>
                      <w:szCs w:val="18"/>
                      <w:lang w:val="en-US" w:eastAsia="zh-CN"/>
                    </w:rPr>
                  </w:pPr>
                  <w:r>
                    <w:rPr>
                      <w:rFonts w:hint="eastAsia"/>
                      <w:color w:val="auto"/>
                      <w:kern w:val="0"/>
                      <w:sz w:val="18"/>
                      <w:szCs w:val="18"/>
                      <w:lang w:val="en-US" w:eastAsia="zh-CN"/>
                    </w:rPr>
                    <w:t>1.5</w:t>
                  </w:r>
                </w:p>
              </w:tc>
              <w:tc>
                <w:tcPr>
                  <w:tcW w:w="515" w:type="pct"/>
                  <w:noWrap w:val="0"/>
                  <w:vAlign w:val="center"/>
                </w:tcPr>
                <w:p>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72.2</w:t>
                  </w:r>
                </w:p>
              </w:tc>
              <w:tc>
                <w:tcPr>
                  <w:tcW w:w="530" w:type="pct"/>
                  <w:noWrap w:val="0"/>
                  <w:vAlign w:val="center"/>
                </w:tcPr>
                <w:p>
                  <w:pPr>
                    <w:jc w:val="center"/>
                    <w:rPr>
                      <w:rFonts w:hint="eastAsia"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sz w:val="18"/>
                      <w:szCs w:val="18"/>
                      <w:lang w:val="en-US" w:eastAsia="zh-CN"/>
                    </w:rPr>
                    <w:t>SW17</w:t>
                  </w:r>
                </w:p>
              </w:tc>
              <w:tc>
                <w:tcPr>
                  <w:tcW w:w="651" w:type="pct"/>
                  <w:noWrap w:val="0"/>
                  <w:vAlign w:val="center"/>
                </w:tcPr>
                <w:p>
                  <w:pPr>
                    <w:jc w:val="center"/>
                    <w:rPr>
                      <w:rFonts w:hint="eastAsia"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sz w:val="18"/>
                      <w:szCs w:val="18"/>
                      <w:lang w:val="en-US" w:eastAsia="zh-CN"/>
                    </w:rPr>
                    <w:t>900-099-S17</w:t>
                  </w:r>
                </w:p>
              </w:tc>
              <w:tc>
                <w:tcPr>
                  <w:tcW w:w="1232" w:type="pct"/>
                  <w:vMerge w:val="continue"/>
                  <w:noWrap w:val="0"/>
                  <w:vAlign w:val="center"/>
                </w:tcPr>
                <w:p>
                  <w:pPr>
                    <w:jc w:val="center"/>
                    <w:rPr>
                      <w:color w:val="auto"/>
                      <w:kern w:val="0"/>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trPr>
              <w:tc>
                <w:tcPr>
                  <w:tcW w:w="766"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eastAsia="zh-CN"/>
                    </w:rPr>
                    <w:t>生活垃圾</w:t>
                  </w:r>
                </w:p>
              </w:tc>
              <w:tc>
                <w:tcPr>
                  <w:tcW w:w="573" w:type="pct"/>
                  <w:vMerge w:val="continue"/>
                  <w:noWrap w:val="0"/>
                  <w:vAlign w:val="center"/>
                </w:tcPr>
                <w:p>
                  <w:pPr>
                    <w:jc w:val="center"/>
                    <w:rPr>
                      <w:color w:val="auto"/>
                      <w:kern w:val="0"/>
                      <w:sz w:val="18"/>
                      <w:szCs w:val="18"/>
                    </w:rPr>
                  </w:pPr>
                </w:p>
              </w:tc>
              <w:tc>
                <w:tcPr>
                  <w:tcW w:w="729" w:type="pct"/>
                  <w:noWrap w:val="0"/>
                  <w:vAlign w:val="center"/>
                </w:tcPr>
                <w:p>
                  <w:pPr>
                    <w:widowControl/>
                    <w:jc w:val="center"/>
                    <w:textAlignment w:val="center"/>
                    <w:rPr>
                      <w:rFonts w:hint="default" w:eastAsia="宋体"/>
                      <w:color w:val="auto"/>
                      <w:kern w:val="0"/>
                      <w:sz w:val="18"/>
                      <w:szCs w:val="18"/>
                      <w:lang w:val="en-US" w:eastAsia="zh-CN"/>
                    </w:rPr>
                  </w:pPr>
                  <w:r>
                    <w:rPr>
                      <w:rFonts w:hint="eastAsia"/>
                      <w:color w:val="auto"/>
                      <w:kern w:val="0"/>
                      <w:sz w:val="18"/>
                      <w:szCs w:val="18"/>
                      <w:lang w:val="en-US" w:eastAsia="zh-CN"/>
                    </w:rPr>
                    <w:t>34.8</w:t>
                  </w:r>
                </w:p>
              </w:tc>
              <w:tc>
                <w:tcPr>
                  <w:tcW w:w="515" w:type="pct"/>
                  <w:noWrap w:val="0"/>
                  <w:vAlign w:val="center"/>
                </w:tcPr>
                <w:p>
                  <w:pPr>
                    <w:widowControl/>
                    <w:jc w:val="center"/>
                    <w:textAlignment w:val="center"/>
                    <w:rPr>
                      <w:rFonts w:hint="default" w:eastAsia="宋体"/>
                      <w:color w:val="auto"/>
                      <w:kern w:val="0"/>
                      <w:sz w:val="18"/>
                      <w:szCs w:val="18"/>
                      <w:lang w:val="en-US" w:eastAsia="zh-CN"/>
                    </w:rPr>
                  </w:pPr>
                  <w:r>
                    <w:rPr>
                      <w:rFonts w:hint="eastAsia"/>
                      <w:color w:val="auto"/>
                      <w:kern w:val="0"/>
                      <w:sz w:val="18"/>
                      <w:szCs w:val="18"/>
                      <w:lang w:val="en-US" w:eastAsia="zh-CN"/>
                    </w:rPr>
                    <w:t>30</w:t>
                  </w:r>
                </w:p>
              </w:tc>
              <w:tc>
                <w:tcPr>
                  <w:tcW w:w="530" w:type="pct"/>
                  <w:noWrap w:val="0"/>
                  <w:vAlign w:val="center"/>
                </w:tcPr>
                <w:p>
                  <w:pPr>
                    <w:autoSpaceDE w:val="0"/>
                    <w:autoSpaceDN w:val="0"/>
                    <w:snapToGrid w:val="0"/>
                    <w:jc w:val="center"/>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spacing w:val="-8"/>
                      <w:sz w:val="18"/>
                      <w:szCs w:val="18"/>
                      <w:lang w:val="en-US" w:eastAsia="zh-CN"/>
                    </w:rPr>
                    <w:t>SW64</w:t>
                  </w:r>
                </w:p>
              </w:tc>
              <w:tc>
                <w:tcPr>
                  <w:tcW w:w="651" w:type="pct"/>
                  <w:noWrap w:val="0"/>
                  <w:vAlign w:val="center"/>
                </w:tcPr>
                <w:p>
                  <w:pPr>
                    <w:autoSpaceDE w:val="0"/>
                    <w:autoSpaceDN w:val="0"/>
                    <w:snapToGrid w:val="0"/>
                    <w:jc w:val="center"/>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spacing w:val="-8"/>
                      <w:sz w:val="18"/>
                      <w:szCs w:val="18"/>
                      <w:lang w:val="en-US" w:eastAsia="zh-CN"/>
                    </w:rPr>
                    <w:t>900-099-S64</w:t>
                  </w:r>
                </w:p>
              </w:tc>
              <w:tc>
                <w:tcPr>
                  <w:tcW w:w="1232" w:type="pct"/>
                  <w:noWrap w:val="0"/>
                  <w:vAlign w:val="center"/>
                </w:tcPr>
                <w:p>
                  <w:pPr>
                    <w:jc w:val="center"/>
                    <w:rPr>
                      <w:color w:val="auto"/>
                      <w:kern w:val="0"/>
                      <w:sz w:val="18"/>
                      <w:szCs w:val="18"/>
                    </w:rPr>
                  </w:pPr>
                  <w:r>
                    <w:rPr>
                      <w:color w:val="auto"/>
                      <w:kern w:val="0"/>
                      <w:sz w:val="18"/>
                      <w:szCs w:val="18"/>
                    </w:rPr>
                    <w:t>环卫清运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trPr>
              <w:tc>
                <w:tcPr>
                  <w:tcW w:w="766" w:type="pct"/>
                  <w:shd w:val="clear" w:color="auto" w:fill="auto"/>
                  <w:noWrap w:val="0"/>
                  <w:vAlign w:val="center"/>
                </w:tcPr>
                <w:p>
                  <w:pPr>
                    <w:jc w:val="center"/>
                    <w:rPr>
                      <w:rFonts w:ascii="Times New Roman" w:hAnsi="Times New Roman" w:eastAsia="宋体" w:cs="Times New Roman"/>
                      <w:color w:val="auto"/>
                      <w:kern w:val="2"/>
                      <w:sz w:val="18"/>
                      <w:szCs w:val="18"/>
                      <w:lang w:val="en-US" w:eastAsia="zh-CN" w:bidi="ar-SA"/>
                    </w:rPr>
                  </w:pPr>
                  <w:r>
                    <w:rPr>
                      <w:color w:val="auto"/>
                      <w:sz w:val="18"/>
                      <w:szCs w:val="18"/>
                    </w:rPr>
                    <w:t>废机油</w:t>
                  </w:r>
                </w:p>
              </w:tc>
              <w:tc>
                <w:tcPr>
                  <w:tcW w:w="573" w:type="pct"/>
                  <w:vMerge w:val="restart"/>
                  <w:noWrap w:val="0"/>
                  <w:vAlign w:val="center"/>
                </w:tcPr>
                <w:p>
                  <w:pPr>
                    <w:jc w:val="center"/>
                    <w:rPr>
                      <w:color w:val="auto"/>
                      <w:kern w:val="0"/>
                      <w:sz w:val="18"/>
                      <w:szCs w:val="18"/>
                    </w:rPr>
                  </w:pPr>
                  <w:r>
                    <w:rPr>
                      <w:color w:val="auto"/>
                      <w:kern w:val="0"/>
                      <w:sz w:val="18"/>
                      <w:szCs w:val="18"/>
                    </w:rPr>
                    <w:t>危险废物</w:t>
                  </w:r>
                </w:p>
              </w:tc>
              <w:tc>
                <w:tcPr>
                  <w:tcW w:w="729" w:type="pct"/>
                  <w:noWrap w:val="0"/>
                  <w:vAlign w:val="center"/>
                </w:tcPr>
                <w:p>
                  <w:pPr>
                    <w:widowControl/>
                    <w:jc w:val="center"/>
                    <w:textAlignment w:val="center"/>
                    <w:rPr>
                      <w:rFonts w:hint="eastAsia" w:eastAsia="宋体"/>
                      <w:color w:val="auto"/>
                      <w:kern w:val="0"/>
                      <w:sz w:val="18"/>
                      <w:szCs w:val="18"/>
                      <w:lang w:val="en-US" w:eastAsia="zh-CN"/>
                    </w:rPr>
                  </w:pPr>
                  <w:r>
                    <w:rPr>
                      <w:rFonts w:hint="eastAsia"/>
                      <w:color w:val="auto"/>
                      <w:kern w:val="0"/>
                      <w:sz w:val="18"/>
                      <w:szCs w:val="18"/>
                      <w:lang w:val="en-US" w:eastAsia="zh-CN"/>
                    </w:rPr>
                    <w:t>0</w:t>
                  </w:r>
                </w:p>
              </w:tc>
              <w:tc>
                <w:tcPr>
                  <w:tcW w:w="515" w:type="pct"/>
                  <w:shd w:val="clear" w:color="auto" w:fill="auto"/>
                  <w:noWrap w:val="0"/>
                  <w:vAlign w:val="center"/>
                </w:tcPr>
                <w:p>
                  <w:pPr>
                    <w:jc w:val="center"/>
                    <w:rPr>
                      <w:rFonts w:hint="default" w:ascii="Times New Roman" w:hAnsi="Times New Roman" w:eastAsia="宋体" w:cs="Times New Roman"/>
                      <w:color w:val="auto"/>
                      <w:kern w:val="2"/>
                      <w:sz w:val="18"/>
                      <w:szCs w:val="18"/>
                      <w:lang w:val="en-US" w:eastAsia="zh-CN" w:bidi="ar-SA"/>
                    </w:rPr>
                  </w:pPr>
                  <w:r>
                    <w:rPr>
                      <w:color w:val="auto"/>
                      <w:sz w:val="18"/>
                      <w:szCs w:val="18"/>
                    </w:rPr>
                    <w:t>0.</w:t>
                  </w:r>
                  <w:r>
                    <w:rPr>
                      <w:rFonts w:hint="eastAsia"/>
                      <w:color w:val="auto"/>
                      <w:sz w:val="18"/>
                      <w:szCs w:val="18"/>
                      <w:lang w:val="en-US" w:eastAsia="zh-CN"/>
                    </w:rPr>
                    <w:t>1</w:t>
                  </w:r>
                </w:p>
              </w:tc>
              <w:tc>
                <w:tcPr>
                  <w:tcW w:w="530" w:type="pct"/>
                  <w:noWrap w:val="0"/>
                  <w:vAlign w:val="center"/>
                </w:tcPr>
                <w:p>
                  <w:pPr>
                    <w:jc w:val="center"/>
                    <w:rPr>
                      <w:rFonts w:hint="eastAsia" w:ascii="Times New Roman" w:hAnsi="Times New Roman" w:eastAsia="宋体" w:cs="Times New Roman"/>
                      <w:color w:val="auto"/>
                      <w:kern w:val="0"/>
                      <w:sz w:val="18"/>
                      <w:szCs w:val="18"/>
                      <w:lang w:val="en-US" w:eastAsia="zh-CN" w:bidi="ar"/>
                    </w:rPr>
                  </w:pPr>
                  <w:r>
                    <w:rPr>
                      <w:rFonts w:ascii="Times New Roman" w:hAnsi="Times New Roman" w:eastAsia="宋体" w:cs="Times New Roman"/>
                      <w:color w:val="auto"/>
                      <w:sz w:val="18"/>
                      <w:szCs w:val="18"/>
                    </w:rPr>
                    <w:t>HW08</w:t>
                  </w:r>
                </w:p>
              </w:tc>
              <w:tc>
                <w:tcPr>
                  <w:tcW w:w="651" w:type="pct"/>
                  <w:noWrap w:val="0"/>
                  <w:vAlign w:val="center"/>
                </w:tcPr>
                <w:p>
                  <w:pPr>
                    <w:jc w:val="center"/>
                    <w:rPr>
                      <w:rFonts w:hint="eastAsia" w:ascii="Times New Roman" w:hAnsi="Times New Roman" w:eastAsia="宋体" w:cs="Times New Roman"/>
                      <w:color w:val="auto"/>
                      <w:kern w:val="0"/>
                      <w:sz w:val="18"/>
                      <w:szCs w:val="18"/>
                      <w:lang w:val="en-US" w:eastAsia="zh-CN" w:bidi="ar"/>
                    </w:rPr>
                  </w:pPr>
                  <w:r>
                    <w:rPr>
                      <w:rFonts w:ascii="Times New Roman" w:hAnsi="Times New Roman" w:eastAsia="宋体" w:cs="Times New Roman"/>
                      <w:color w:val="auto"/>
                      <w:sz w:val="18"/>
                      <w:szCs w:val="18"/>
                    </w:rPr>
                    <w:t>900-214-08</w:t>
                  </w:r>
                </w:p>
              </w:tc>
              <w:tc>
                <w:tcPr>
                  <w:tcW w:w="1232" w:type="pct"/>
                  <w:vMerge w:val="restart"/>
                  <w:noWrap w:val="0"/>
                  <w:vAlign w:val="center"/>
                </w:tcPr>
                <w:p>
                  <w:pPr>
                    <w:jc w:val="center"/>
                    <w:rPr>
                      <w:color w:val="auto"/>
                      <w:kern w:val="0"/>
                      <w:sz w:val="18"/>
                      <w:szCs w:val="18"/>
                    </w:rPr>
                  </w:pPr>
                  <w:r>
                    <w:rPr>
                      <w:color w:val="auto"/>
                      <w:kern w:val="0"/>
                      <w:sz w:val="18"/>
                      <w:szCs w:val="18"/>
                    </w:rPr>
                    <w:t>委托</w:t>
                  </w:r>
                  <w:r>
                    <w:rPr>
                      <w:rFonts w:hint="eastAsia"/>
                      <w:color w:val="auto"/>
                      <w:kern w:val="0"/>
                      <w:sz w:val="18"/>
                      <w:szCs w:val="18"/>
                      <w:lang w:eastAsia="zh-CN"/>
                    </w:rPr>
                    <w:t>有资质</w:t>
                  </w:r>
                  <w:r>
                    <w:rPr>
                      <w:color w:val="auto"/>
                      <w:kern w:val="0"/>
                      <w:sz w:val="18"/>
                      <w:szCs w:val="18"/>
                    </w:rPr>
                    <w:t>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trPr>
              <w:tc>
                <w:tcPr>
                  <w:tcW w:w="766" w:type="pct"/>
                  <w:shd w:val="clear" w:color="auto" w:fill="auto"/>
                  <w:noWrap w:val="0"/>
                  <w:vAlign w:val="center"/>
                </w:tcPr>
                <w:p>
                  <w:pPr>
                    <w:jc w:val="center"/>
                    <w:rPr>
                      <w:rFonts w:ascii="Times New Roman" w:hAnsi="Times New Roman" w:eastAsia="宋体" w:cs="Times New Roman"/>
                      <w:color w:val="auto"/>
                      <w:kern w:val="2"/>
                      <w:sz w:val="18"/>
                      <w:szCs w:val="18"/>
                      <w:lang w:val="en-US" w:eastAsia="zh-CN" w:bidi="ar-SA"/>
                    </w:rPr>
                  </w:pPr>
                  <w:r>
                    <w:rPr>
                      <w:rFonts w:ascii="Times New Roman" w:hAnsi="Times New Roman" w:eastAsia="宋体" w:cs="Times New Roman"/>
                      <w:color w:val="auto"/>
                      <w:sz w:val="18"/>
                      <w:szCs w:val="18"/>
                    </w:rPr>
                    <w:t>废</w:t>
                  </w:r>
                  <w:r>
                    <w:rPr>
                      <w:rFonts w:hint="eastAsia" w:ascii="Times New Roman" w:hAnsi="Times New Roman" w:eastAsia="宋体" w:cs="Times New Roman"/>
                      <w:color w:val="auto"/>
                      <w:sz w:val="18"/>
                      <w:szCs w:val="18"/>
                      <w:lang w:eastAsia="zh-CN"/>
                    </w:rPr>
                    <w:t>液压油</w:t>
                  </w:r>
                </w:p>
              </w:tc>
              <w:tc>
                <w:tcPr>
                  <w:tcW w:w="573" w:type="pct"/>
                  <w:vMerge w:val="continue"/>
                  <w:noWrap w:val="0"/>
                  <w:vAlign w:val="center"/>
                </w:tcPr>
                <w:p>
                  <w:pPr>
                    <w:jc w:val="center"/>
                    <w:rPr>
                      <w:color w:val="auto"/>
                      <w:kern w:val="0"/>
                      <w:sz w:val="18"/>
                      <w:szCs w:val="18"/>
                    </w:rPr>
                  </w:pPr>
                </w:p>
              </w:tc>
              <w:tc>
                <w:tcPr>
                  <w:tcW w:w="729" w:type="pct"/>
                  <w:noWrap w:val="0"/>
                  <w:vAlign w:val="center"/>
                </w:tcPr>
                <w:p>
                  <w:pPr>
                    <w:widowControl/>
                    <w:jc w:val="center"/>
                    <w:textAlignment w:val="center"/>
                    <w:rPr>
                      <w:color w:val="auto"/>
                      <w:kern w:val="0"/>
                      <w:sz w:val="18"/>
                      <w:szCs w:val="18"/>
                    </w:rPr>
                  </w:pPr>
                  <w:r>
                    <w:rPr>
                      <w:rFonts w:hint="eastAsia"/>
                      <w:color w:val="auto"/>
                      <w:kern w:val="0"/>
                      <w:sz w:val="18"/>
                      <w:szCs w:val="18"/>
                      <w:lang w:val="en-US" w:eastAsia="zh-CN"/>
                    </w:rPr>
                    <w:t>0</w:t>
                  </w:r>
                </w:p>
              </w:tc>
              <w:tc>
                <w:tcPr>
                  <w:tcW w:w="515" w:type="pct"/>
                  <w:shd w:val="clear" w:color="auto" w:fill="auto"/>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1</w:t>
                  </w:r>
                </w:p>
              </w:tc>
              <w:tc>
                <w:tcPr>
                  <w:tcW w:w="530" w:type="pct"/>
                  <w:noWrap w:val="0"/>
                  <w:vAlign w:val="center"/>
                </w:tcPr>
                <w:p>
                  <w:pPr>
                    <w:jc w:val="center"/>
                    <w:rPr>
                      <w:rFonts w:hint="eastAsia" w:ascii="Times New Roman" w:hAnsi="Times New Roman" w:eastAsia="宋体" w:cs="Times New Roman"/>
                      <w:color w:val="auto"/>
                      <w:spacing w:val="-8"/>
                      <w:sz w:val="18"/>
                      <w:szCs w:val="18"/>
                      <w:lang w:val="en-US" w:eastAsia="zh-CN"/>
                    </w:rPr>
                  </w:pPr>
                  <w:r>
                    <w:rPr>
                      <w:rFonts w:ascii="Times New Roman" w:hAnsi="Times New Roman" w:eastAsia="宋体" w:cs="Times New Roman"/>
                      <w:color w:val="auto"/>
                      <w:sz w:val="18"/>
                      <w:szCs w:val="18"/>
                    </w:rPr>
                    <w:t>HW08</w:t>
                  </w:r>
                </w:p>
              </w:tc>
              <w:tc>
                <w:tcPr>
                  <w:tcW w:w="651" w:type="pct"/>
                  <w:noWrap w:val="0"/>
                  <w:vAlign w:val="center"/>
                </w:tcPr>
                <w:p>
                  <w:pPr>
                    <w:jc w:val="center"/>
                    <w:rPr>
                      <w:rFonts w:hint="eastAsia" w:ascii="Times New Roman" w:hAnsi="Times New Roman" w:eastAsia="宋体" w:cs="Times New Roman"/>
                      <w:color w:val="auto"/>
                      <w:spacing w:val="-8"/>
                      <w:sz w:val="18"/>
                      <w:szCs w:val="18"/>
                      <w:lang w:val="en-US" w:eastAsia="zh-CN"/>
                    </w:rPr>
                  </w:pPr>
                  <w:r>
                    <w:rPr>
                      <w:rFonts w:hint="default" w:ascii="Times New Roman" w:hAnsi="Times New Roman" w:eastAsia="宋体" w:cs="Times New Roman"/>
                      <w:color w:val="auto"/>
                      <w:sz w:val="18"/>
                      <w:szCs w:val="18"/>
                    </w:rPr>
                    <w:t>900-21</w:t>
                  </w:r>
                  <w:r>
                    <w:rPr>
                      <w:rFonts w:hint="eastAsia" w:ascii="Times New Roman" w:hAnsi="Times New Roman" w:eastAsia="宋体" w:cs="Times New Roman"/>
                      <w:color w:val="auto"/>
                      <w:sz w:val="18"/>
                      <w:szCs w:val="18"/>
                      <w:lang w:val="en-US" w:eastAsia="zh-CN"/>
                    </w:rPr>
                    <w:t>8</w:t>
                  </w:r>
                  <w:r>
                    <w:rPr>
                      <w:rFonts w:hint="default" w:ascii="Times New Roman" w:hAnsi="Times New Roman" w:eastAsia="宋体" w:cs="Times New Roman"/>
                      <w:color w:val="auto"/>
                      <w:sz w:val="18"/>
                      <w:szCs w:val="18"/>
                    </w:rPr>
                    <w:t>-08</w:t>
                  </w:r>
                </w:p>
              </w:tc>
              <w:tc>
                <w:tcPr>
                  <w:tcW w:w="1232" w:type="pct"/>
                  <w:vMerge w:val="continue"/>
                  <w:noWrap w:val="0"/>
                  <w:vAlign w:val="center"/>
                </w:tcPr>
                <w:p>
                  <w:pPr>
                    <w:jc w:val="center"/>
                    <w:rPr>
                      <w:color w:val="auto"/>
                      <w:kern w:val="0"/>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trPr>
              <w:tc>
                <w:tcPr>
                  <w:tcW w:w="0" w:type="auto"/>
                  <w:shd w:val="clear" w:color="auto" w:fill="auto"/>
                  <w:vAlign w:val="center"/>
                </w:tcPr>
                <w:p>
                  <w:pPr>
                    <w:jc w:val="center"/>
                    <w:rPr>
                      <w:rFonts w:ascii="Times New Roman" w:hAnsi="Times New Roman" w:eastAsia="宋体" w:cs="Times New Roman"/>
                      <w:color w:val="auto"/>
                      <w:kern w:val="2"/>
                      <w:sz w:val="18"/>
                      <w:szCs w:val="18"/>
                      <w:lang w:val="en-US" w:eastAsia="zh-CN" w:bidi="ar-SA"/>
                    </w:rPr>
                  </w:pPr>
                  <w:r>
                    <w:rPr>
                      <w:color w:val="auto"/>
                      <w:sz w:val="18"/>
                      <w:szCs w:val="18"/>
                    </w:rPr>
                    <w:t>废油桶</w:t>
                  </w:r>
                </w:p>
              </w:tc>
              <w:tc>
                <w:tcPr>
                  <w:tcW w:w="573" w:type="pct"/>
                  <w:vMerge w:val="continue"/>
                </w:tcPr>
                <w:p>
                  <w:pPr>
                    <w:jc w:val="center"/>
                    <w:rPr>
                      <w:color w:val="auto"/>
                      <w:kern w:val="0"/>
                      <w:sz w:val="18"/>
                      <w:szCs w:val="18"/>
                    </w:rPr>
                  </w:pPr>
                </w:p>
              </w:tc>
              <w:tc>
                <w:tcPr>
                  <w:tcW w:w="729" w:type="pct"/>
                </w:tcPr>
                <w:p>
                  <w:pPr>
                    <w:widowControl/>
                    <w:jc w:val="center"/>
                    <w:textAlignment w:val="center"/>
                    <w:rPr>
                      <w:color w:val="auto"/>
                      <w:kern w:val="0"/>
                      <w:sz w:val="18"/>
                      <w:szCs w:val="18"/>
                    </w:rPr>
                  </w:pPr>
                  <w:r>
                    <w:rPr>
                      <w:rFonts w:hint="eastAsia"/>
                      <w:color w:val="auto"/>
                      <w:kern w:val="0"/>
                      <w:sz w:val="18"/>
                      <w:szCs w:val="18"/>
                      <w:lang w:val="en-US" w:eastAsia="zh-CN"/>
                    </w:rPr>
                    <w:t>0</w:t>
                  </w:r>
                </w:p>
              </w:tc>
              <w:tc>
                <w:tcPr>
                  <w:tcW w:w="0" w:type="auto"/>
                  <w:shd w:val="clear" w:color="auto" w:fill="auto"/>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1.4</w:t>
                  </w:r>
                </w:p>
              </w:tc>
              <w:tc>
                <w:tcPr>
                  <w:tcW w:w="530" w:type="pct"/>
                  <w:vAlign w:val="center"/>
                </w:tcPr>
                <w:p>
                  <w:pPr>
                    <w:jc w:val="center"/>
                    <w:rPr>
                      <w:rFonts w:hint="eastAsia" w:ascii="Times New Roman" w:hAnsi="Times New Roman" w:eastAsia="宋体" w:cs="Times New Roman"/>
                      <w:color w:val="auto"/>
                      <w:spacing w:val="-8"/>
                      <w:sz w:val="18"/>
                      <w:szCs w:val="18"/>
                      <w:lang w:val="en-US" w:eastAsia="zh-CN"/>
                    </w:rPr>
                  </w:pPr>
                  <w:r>
                    <w:rPr>
                      <w:rFonts w:ascii="Times New Roman" w:hAnsi="Times New Roman" w:eastAsia="宋体" w:cs="Times New Roman"/>
                      <w:color w:val="auto"/>
                      <w:sz w:val="18"/>
                      <w:szCs w:val="18"/>
                    </w:rPr>
                    <w:t>HW</w:t>
                  </w:r>
                  <w:r>
                    <w:rPr>
                      <w:rFonts w:hint="eastAsia" w:cs="Times New Roman"/>
                      <w:color w:val="auto"/>
                      <w:sz w:val="18"/>
                      <w:szCs w:val="18"/>
                      <w:lang w:val="en-US" w:eastAsia="zh-CN"/>
                    </w:rPr>
                    <w:t>08</w:t>
                  </w:r>
                </w:p>
              </w:tc>
              <w:tc>
                <w:tcPr>
                  <w:tcW w:w="651" w:type="pct"/>
                  <w:vAlign w:val="center"/>
                </w:tcPr>
                <w:p>
                  <w:pPr>
                    <w:jc w:val="center"/>
                    <w:rPr>
                      <w:rFonts w:hint="eastAsia" w:ascii="Times New Roman" w:hAnsi="Times New Roman" w:eastAsia="宋体" w:cs="Times New Roman"/>
                      <w:color w:val="auto"/>
                      <w:spacing w:val="-8"/>
                      <w:sz w:val="18"/>
                      <w:szCs w:val="18"/>
                      <w:lang w:val="en-US" w:eastAsia="zh-CN"/>
                    </w:rPr>
                  </w:pPr>
                  <w:r>
                    <w:rPr>
                      <w:rFonts w:ascii="Times New Roman" w:hAnsi="Times New Roman" w:eastAsia="宋体" w:cs="Times New Roman"/>
                      <w:color w:val="auto"/>
                      <w:sz w:val="18"/>
                      <w:szCs w:val="18"/>
                    </w:rPr>
                    <w:t>900-</w:t>
                  </w:r>
                  <w:r>
                    <w:rPr>
                      <w:rFonts w:hint="eastAsia" w:cs="Times New Roman"/>
                      <w:color w:val="auto"/>
                      <w:sz w:val="18"/>
                      <w:szCs w:val="18"/>
                      <w:lang w:val="en-US" w:eastAsia="zh-CN"/>
                    </w:rPr>
                    <w:t>249</w:t>
                  </w:r>
                  <w:r>
                    <w:rPr>
                      <w:rFonts w:ascii="Times New Roman" w:hAnsi="Times New Roman" w:eastAsia="宋体" w:cs="Times New Roman"/>
                      <w:color w:val="auto"/>
                      <w:sz w:val="18"/>
                      <w:szCs w:val="18"/>
                    </w:rPr>
                    <w:t>-</w:t>
                  </w:r>
                  <w:r>
                    <w:rPr>
                      <w:rFonts w:hint="eastAsia" w:cs="Times New Roman"/>
                      <w:color w:val="auto"/>
                      <w:sz w:val="18"/>
                      <w:szCs w:val="18"/>
                      <w:lang w:val="en-US" w:eastAsia="zh-CN"/>
                    </w:rPr>
                    <w:t>08</w:t>
                  </w:r>
                </w:p>
              </w:tc>
              <w:tc>
                <w:tcPr>
                  <w:tcW w:w="1232" w:type="pct"/>
                  <w:vMerge w:val="continue"/>
                </w:tcPr>
                <w:p>
                  <w:pPr>
                    <w:jc w:val="center"/>
                    <w:rPr>
                      <w:color w:val="auto"/>
                      <w:kern w:val="0"/>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trPr>
              <w:tc>
                <w:tcPr>
                  <w:tcW w:w="0" w:type="auto"/>
                  <w:shd w:val="clear" w:color="auto" w:fill="auto"/>
                  <w:vAlign w:val="center"/>
                </w:tcPr>
                <w:p>
                  <w:pPr>
                    <w:jc w:val="center"/>
                    <w:rPr>
                      <w:rFonts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废金属屑</w:t>
                  </w:r>
                </w:p>
              </w:tc>
              <w:tc>
                <w:tcPr>
                  <w:tcW w:w="573" w:type="pct"/>
                  <w:vMerge w:val="continue"/>
                </w:tcPr>
                <w:p>
                  <w:pPr>
                    <w:jc w:val="center"/>
                    <w:rPr>
                      <w:color w:val="auto"/>
                      <w:kern w:val="0"/>
                      <w:sz w:val="18"/>
                      <w:szCs w:val="18"/>
                    </w:rPr>
                  </w:pPr>
                </w:p>
              </w:tc>
              <w:tc>
                <w:tcPr>
                  <w:tcW w:w="729" w:type="pct"/>
                </w:tcPr>
                <w:p>
                  <w:pPr>
                    <w:widowControl/>
                    <w:jc w:val="center"/>
                    <w:textAlignment w:val="center"/>
                    <w:rPr>
                      <w:color w:val="auto"/>
                      <w:kern w:val="0"/>
                      <w:sz w:val="18"/>
                      <w:szCs w:val="18"/>
                    </w:rPr>
                  </w:pPr>
                  <w:r>
                    <w:rPr>
                      <w:rFonts w:hint="eastAsia"/>
                      <w:color w:val="auto"/>
                      <w:kern w:val="0"/>
                      <w:sz w:val="18"/>
                      <w:szCs w:val="18"/>
                      <w:lang w:val="en-US" w:eastAsia="zh-CN"/>
                    </w:rPr>
                    <w:t>0</w:t>
                  </w:r>
                </w:p>
              </w:tc>
              <w:tc>
                <w:tcPr>
                  <w:tcW w:w="0" w:type="auto"/>
                  <w:shd w:val="clear" w:color="auto" w:fill="auto"/>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7.72</w:t>
                  </w:r>
                </w:p>
              </w:tc>
              <w:tc>
                <w:tcPr>
                  <w:tcW w:w="530" w:type="pct"/>
                  <w:vAlign w:val="center"/>
                </w:tcPr>
                <w:p>
                  <w:pPr>
                    <w:jc w:val="center"/>
                    <w:rPr>
                      <w:rFonts w:hint="eastAsia" w:ascii="Times New Roman" w:hAnsi="Times New Roman" w:eastAsia="宋体" w:cs="Times New Roman"/>
                      <w:color w:val="auto"/>
                      <w:spacing w:val="-8"/>
                      <w:sz w:val="18"/>
                      <w:szCs w:val="18"/>
                      <w:lang w:val="en-US" w:eastAsia="zh-CN"/>
                    </w:rPr>
                  </w:pPr>
                  <w:r>
                    <w:rPr>
                      <w:rFonts w:ascii="Times New Roman" w:hAnsi="Times New Roman" w:eastAsia="宋体" w:cs="Times New Roman"/>
                      <w:color w:val="auto"/>
                      <w:sz w:val="18"/>
                      <w:szCs w:val="18"/>
                    </w:rPr>
                    <w:t>HW09</w:t>
                  </w:r>
                </w:p>
              </w:tc>
              <w:tc>
                <w:tcPr>
                  <w:tcW w:w="651" w:type="pct"/>
                  <w:vAlign w:val="center"/>
                </w:tcPr>
                <w:p>
                  <w:pPr>
                    <w:jc w:val="center"/>
                    <w:rPr>
                      <w:rFonts w:hint="eastAsia" w:ascii="Times New Roman" w:hAnsi="Times New Roman" w:eastAsia="宋体" w:cs="Times New Roman"/>
                      <w:color w:val="auto"/>
                      <w:spacing w:val="-8"/>
                      <w:sz w:val="18"/>
                      <w:szCs w:val="18"/>
                      <w:lang w:val="en-US" w:eastAsia="zh-CN"/>
                    </w:rPr>
                  </w:pPr>
                  <w:r>
                    <w:rPr>
                      <w:rFonts w:ascii="Times New Roman" w:hAnsi="Times New Roman" w:eastAsia="宋体" w:cs="Times New Roman"/>
                      <w:color w:val="auto"/>
                      <w:sz w:val="18"/>
                      <w:szCs w:val="18"/>
                    </w:rPr>
                    <w:t>900-006-09</w:t>
                  </w:r>
                </w:p>
              </w:tc>
              <w:tc>
                <w:tcPr>
                  <w:tcW w:w="1232" w:type="pct"/>
                  <w:vMerge w:val="continue"/>
                </w:tcPr>
                <w:p>
                  <w:pPr>
                    <w:jc w:val="center"/>
                    <w:rPr>
                      <w:color w:val="auto"/>
                      <w:kern w:val="0"/>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trPr>
              <w:tc>
                <w:tcPr>
                  <w:tcW w:w="0" w:type="auto"/>
                  <w:shd w:val="clear" w:color="auto" w:fill="auto"/>
                  <w:vAlign w:val="center"/>
                </w:tcPr>
                <w:p>
                  <w:pPr>
                    <w:jc w:val="center"/>
                    <w:rPr>
                      <w:rFonts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废切削液</w:t>
                  </w:r>
                </w:p>
              </w:tc>
              <w:tc>
                <w:tcPr>
                  <w:tcW w:w="573" w:type="pct"/>
                  <w:vMerge w:val="continue"/>
                </w:tcPr>
                <w:p>
                  <w:pPr>
                    <w:jc w:val="center"/>
                    <w:rPr>
                      <w:color w:val="auto"/>
                      <w:kern w:val="0"/>
                      <w:sz w:val="18"/>
                      <w:szCs w:val="18"/>
                    </w:rPr>
                  </w:pPr>
                </w:p>
              </w:tc>
              <w:tc>
                <w:tcPr>
                  <w:tcW w:w="729" w:type="pct"/>
                </w:tcPr>
                <w:p>
                  <w:pPr>
                    <w:widowControl/>
                    <w:jc w:val="center"/>
                    <w:textAlignment w:val="center"/>
                    <w:rPr>
                      <w:color w:val="auto"/>
                      <w:kern w:val="0"/>
                      <w:sz w:val="18"/>
                      <w:szCs w:val="18"/>
                    </w:rPr>
                  </w:pPr>
                  <w:r>
                    <w:rPr>
                      <w:rFonts w:hint="eastAsia"/>
                      <w:color w:val="auto"/>
                      <w:kern w:val="0"/>
                      <w:sz w:val="18"/>
                      <w:szCs w:val="18"/>
                      <w:lang w:val="en-US" w:eastAsia="zh-CN"/>
                    </w:rPr>
                    <w:t>0</w:t>
                  </w:r>
                </w:p>
              </w:tc>
              <w:tc>
                <w:tcPr>
                  <w:tcW w:w="0" w:type="auto"/>
                  <w:shd w:val="clear" w:color="auto" w:fill="auto"/>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1.7</w:t>
                  </w:r>
                </w:p>
              </w:tc>
              <w:tc>
                <w:tcPr>
                  <w:tcW w:w="530" w:type="pct"/>
                  <w:vAlign w:val="center"/>
                </w:tcPr>
                <w:p>
                  <w:pPr>
                    <w:jc w:val="center"/>
                    <w:rPr>
                      <w:rFonts w:hint="eastAsia" w:ascii="Times New Roman" w:hAnsi="Times New Roman" w:eastAsia="宋体" w:cs="Times New Roman"/>
                      <w:color w:val="auto"/>
                      <w:spacing w:val="-8"/>
                      <w:sz w:val="18"/>
                      <w:szCs w:val="18"/>
                      <w:lang w:val="en-US" w:eastAsia="zh-CN"/>
                    </w:rPr>
                  </w:pPr>
                  <w:r>
                    <w:rPr>
                      <w:rFonts w:ascii="Times New Roman" w:hAnsi="Times New Roman" w:eastAsia="宋体" w:cs="Times New Roman"/>
                      <w:color w:val="auto"/>
                      <w:sz w:val="18"/>
                      <w:szCs w:val="18"/>
                    </w:rPr>
                    <w:t>HW09</w:t>
                  </w:r>
                </w:p>
              </w:tc>
              <w:tc>
                <w:tcPr>
                  <w:tcW w:w="651" w:type="pct"/>
                  <w:vAlign w:val="center"/>
                </w:tcPr>
                <w:p>
                  <w:pPr>
                    <w:jc w:val="center"/>
                    <w:rPr>
                      <w:rFonts w:hint="eastAsia" w:ascii="Times New Roman" w:hAnsi="Times New Roman" w:eastAsia="宋体" w:cs="Times New Roman"/>
                      <w:color w:val="auto"/>
                      <w:spacing w:val="-8"/>
                      <w:sz w:val="18"/>
                      <w:szCs w:val="18"/>
                      <w:lang w:val="en-US" w:eastAsia="zh-CN"/>
                    </w:rPr>
                  </w:pPr>
                  <w:r>
                    <w:rPr>
                      <w:rFonts w:ascii="Times New Roman" w:hAnsi="Times New Roman" w:eastAsia="宋体" w:cs="Times New Roman"/>
                      <w:color w:val="auto"/>
                      <w:sz w:val="18"/>
                      <w:szCs w:val="18"/>
                    </w:rPr>
                    <w:t>900-006-09</w:t>
                  </w:r>
                </w:p>
              </w:tc>
              <w:tc>
                <w:tcPr>
                  <w:tcW w:w="1232" w:type="pct"/>
                  <w:vMerge w:val="continue"/>
                </w:tcPr>
                <w:p>
                  <w:pPr>
                    <w:jc w:val="center"/>
                    <w:rPr>
                      <w:color w:val="auto"/>
                      <w:kern w:val="0"/>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trPr>
              <w:tc>
                <w:tcPr>
                  <w:tcW w:w="0" w:type="auto"/>
                  <w:shd w:val="clear" w:color="auto" w:fill="auto"/>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废润滑油</w:t>
                  </w:r>
                </w:p>
              </w:tc>
              <w:tc>
                <w:tcPr>
                  <w:tcW w:w="573" w:type="pct"/>
                  <w:vMerge w:val="continue"/>
                </w:tcPr>
                <w:p>
                  <w:pPr>
                    <w:jc w:val="center"/>
                    <w:rPr>
                      <w:color w:val="auto"/>
                      <w:kern w:val="0"/>
                      <w:sz w:val="18"/>
                      <w:szCs w:val="18"/>
                    </w:rPr>
                  </w:pPr>
                </w:p>
              </w:tc>
              <w:tc>
                <w:tcPr>
                  <w:tcW w:w="729" w:type="pct"/>
                </w:tcPr>
                <w:p>
                  <w:pPr>
                    <w:widowControl/>
                    <w:jc w:val="center"/>
                    <w:textAlignment w:val="center"/>
                    <w:rPr>
                      <w:color w:val="auto"/>
                      <w:kern w:val="0"/>
                      <w:sz w:val="18"/>
                      <w:szCs w:val="18"/>
                    </w:rPr>
                  </w:pPr>
                  <w:r>
                    <w:rPr>
                      <w:rFonts w:hint="eastAsia"/>
                      <w:color w:val="auto"/>
                      <w:kern w:val="0"/>
                      <w:sz w:val="18"/>
                      <w:szCs w:val="18"/>
                      <w:lang w:val="en-US" w:eastAsia="zh-CN"/>
                    </w:rPr>
                    <w:t>0</w:t>
                  </w:r>
                </w:p>
              </w:tc>
              <w:tc>
                <w:tcPr>
                  <w:tcW w:w="0" w:type="auto"/>
                  <w:shd w:val="clear" w:color="auto" w:fill="auto"/>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0.01</w:t>
                  </w:r>
                </w:p>
              </w:tc>
              <w:tc>
                <w:tcPr>
                  <w:tcW w:w="530" w:type="pct"/>
                  <w:vAlign w:val="center"/>
                </w:tcPr>
                <w:p>
                  <w:pPr>
                    <w:jc w:val="center"/>
                    <w:rPr>
                      <w:rFonts w:hint="eastAsia" w:ascii="Times New Roman" w:hAnsi="Times New Roman" w:eastAsia="宋体" w:cs="Times New Roman"/>
                      <w:color w:val="auto"/>
                      <w:spacing w:val="-8"/>
                      <w:sz w:val="18"/>
                      <w:szCs w:val="18"/>
                      <w:lang w:val="en-US" w:eastAsia="zh-CN"/>
                    </w:rPr>
                  </w:pPr>
                  <w:r>
                    <w:rPr>
                      <w:rFonts w:ascii="Times New Roman" w:hAnsi="Times New Roman" w:eastAsia="宋体" w:cs="Times New Roman"/>
                      <w:color w:val="auto"/>
                      <w:sz w:val="18"/>
                      <w:szCs w:val="18"/>
                    </w:rPr>
                    <w:t>HW08</w:t>
                  </w:r>
                </w:p>
              </w:tc>
              <w:tc>
                <w:tcPr>
                  <w:tcW w:w="651" w:type="pct"/>
                  <w:vAlign w:val="center"/>
                </w:tcPr>
                <w:p>
                  <w:pPr>
                    <w:jc w:val="center"/>
                    <w:rPr>
                      <w:rFonts w:hint="eastAsia" w:ascii="Times New Roman" w:hAnsi="Times New Roman" w:eastAsia="宋体" w:cs="Times New Roman"/>
                      <w:color w:val="auto"/>
                      <w:spacing w:val="-8"/>
                      <w:sz w:val="18"/>
                      <w:szCs w:val="18"/>
                      <w:lang w:val="en-US" w:eastAsia="zh-CN"/>
                    </w:rPr>
                  </w:pPr>
                  <w:r>
                    <w:rPr>
                      <w:rFonts w:ascii="Times New Roman" w:hAnsi="Times New Roman" w:eastAsia="宋体" w:cs="Times New Roman"/>
                      <w:color w:val="auto"/>
                      <w:sz w:val="18"/>
                      <w:szCs w:val="18"/>
                    </w:rPr>
                    <w:t>900-214-08</w:t>
                  </w:r>
                </w:p>
              </w:tc>
              <w:tc>
                <w:tcPr>
                  <w:tcW w:w="1232" w:type="pct"/>
                  <w:vMerge w:val="continue"/>
                </w:tcPr>
                <w:p>
                  <w:pPr>
                    <w:jc w:val="center"/>
                    <w:rPr>
                      <w:color w:val="auto"/>
                      <w:kern w:val="0"/>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trPr>
              <w:tc>
                <w:tcPr>
                  <w:tcW w:w="0" w:type="auto"/>
                  <w:shd w:val="clear" w:color="auto" w:fill="auto"/>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废乳化液</w:t>
                  </w:r>
                </w:p>
              </w:tc>
              <w:tc>
                <w:tcPr>
                  <w:tcW w:w="573" w:type="pct"/>
                  <w:vMerge w:val="continue"/>
                </w:tcPr>
                <w:p>
                  <w:pPr>
                    <w:jc w:val="center"/>
                    <w:rPr>
                      <w:color w:val="auto"/>
                      <w:kern w:val="0"/>
                      <w:sz w:val="18"/>
                      <w:szCs w:val="18"/>
                    </w:rPr>
                  </w:pPr>
                </w:p>
              </w:tc>
              <w:tc>
                <w:tcPr>
                  <w:tcW w:w="729" w:type="pct"/>
                </w:tcPr>
                <w:p>
                  <w:pPr>
                    <w:widowControl/>
                    <w:jc w:val="center"/>
                    <w:textAlignment w:val="center"/>
                    <w:rPr>
                      <w:color w:val="auto"/>
                      <w:kern w:val="0"/>
                      <w:sz w:val="18"/>
                      <w:szCs w:val="18"/>
                    </w:rPr>
                  </w:pPr>
                  <w:r>
                    <w:rPr>
                      <w:rFonts w:hint="eastAsia"/>
                      <w:color w:val="auto"/>
                      <w:kern w:val="0"/>
                      <w:sz w:val="18"/>
                      <w:szCs w:val="18"/>
                      <w:lang w:val="en-US" w:eastAsia="zh-CN"/>
                    </w:rPr>
                    <w:t>0</w:t>
                  </w:r>
                </w:p>
              </w:tc>
              <w:tc>
                <w:tcPr>
                  <w:tcW w:w="0" w:type="auto"/>
                  <w:shd w:val="clear" w:color="auto" w:fill="auto"/>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0.01</w:t>
                  </w:r>
                </w:p>
              </w:tc>
              <w:tc>
                <w:tcPr>
                  <w:tcW w:w="530" w:type="pct"/>
                  <w:vAlign w:val="center"/>
                </w:tcPr>
                <w:p>
                  <w:pPr>
                    <w:jc w:val="center"/>
                    <w:rPr>
                      <w:rFonts w:hint="eastAsia" w:ascii="Times New Roman" w:hAnsi="Times New Roman" w:eastAsia="宋体" w:cs="Times New Roman"/>
                      <w:color w:val="auto"/>
                      <w:spacing w:val="-8"/>
                      <w:sz w:val="18"/>
                      <w:szCs w:val="18"/>
                      <w:lang w:val="en-US" w:eastAsia="zh-CN"/>
                    </w:rPr>
                  </w:pPr>
                  <w:r>
                    <w:rPr>
                      <w:rFonts w:ascii="Times New Roman" w:hAnsi="Times New Roman" w:eastAsia="宋体" w:cs="Times New Roman"/>
                      <w:color w:val="auto"/>
                      <w:sz w:val="18"/>
                      <w:szCs w:val="18"/>
                    </w:rPr>
                    <w:t>HW09</w:t>
                  </w:r>
                </w:p>
              </w:tc>
              <w:tc>
                <w:tcPr>
                  <w:tcW w:w="651" w:type="pct"/>
                  <w:vAlign w:val="center"/>
                </w:tcPr>
                <w:p>
                  <w:pPr>
                    <w:jc w:val="center"/>
                    <w:rPr>
                      <w:rFonts w:hint="eastAsia" w:ascii="Times New Roman" w:hAnsi="Times New Roman" w:eastAsia="宋体" w:cs="Times New Roman"/>
                      <w:color w:val="auto"/>
                      <w:spacing w:val="-8"/>
                      <w:sz w:val="18"/>
                      <w:szCs w:val="18"/>
                      <w:lang w:val="en-US" w:eastAsia="zh-CN"/>
                    </w:rPr>
                  </w:pPr>
                  <w:r>
                    <w:rPr>
                      <w:rFonts w:ascii="Times New Roman" w:hAnsi="Times New Roman" w:eastAsia="宋体" w:cs="Times New Roman"/>
                      <w:color w:val="auto"/>
                      <w:sz w:val="18"/>
                      <w:szCs w:val="18"/>
                    </w:rPr>
                    <w:t>900-006-09</w:t>
                  </w:r>
                </w:p>
              </w:tc>
              <w:tc>
                <w:tcPr>
                  <w:tcW w:w="1232" w:type="pct"/>
                  <w:vMerge w:val="continue"/>
                </w:tcPr>
                <w:p>
                  <w:pPr>
                    <w:jc w:val="center"/>
                    <w:rPr>
                      <w:color w:val="auto"/>
                      <w:kern w:val="0"/>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trPr>
              <w:tc>
                <w:tcPr>
                  <w:tcW w:w="0" w:type="auto"/>
                  <w:shd w:val="clear" w:color="auto" w:fill="auto"/>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废包装桶</w:t>
                  </w:r>
                </w:p>
              </w:tc>
              <w:tc>
                <w:tcPr>
                  <w:tcW w:w="573" w:type="pct"/>
                  <w:vMerge w:val="continue"/>
                </w:tcPr>
                <w:p>
                  <w:pPr>
                    <w:jc w:val="center"/>
                    <w:rPr>
                      <w:color w:val="auto"/>
                      <w:kern w:val="0"/>
                      <w:sz w:val="18"/>
                      <w:szCs w:val="18"/>
                    </w:rPr>
                  </w:pPr>
                </w:p>
              </w:tc>
              <w:tc>
                <w:tcPr>
                  <w:tcW w:w="729" w:type="pct"/>
                </w:tcPr>
                <w:p>
                  <w:pPr>
                    <w:widowControl/>
                    <w:jc w:val="center"/>
                    <w:textAlignment w:val="center"/>
                    <w:rPr>
                      <w:color w:val="auto"/>
                      <w:kern w:val="0"/>
                      <w:sz w:val="18"/>
                      <w:szCs w:val="18"/>
                    </w:rPr>
                  </w:pPr>
                  <w:r>
                    <w:rPr>
                      <w:rFonts w:hint="eastAsia"/>
                      <w:color w:val="auto"/>
                      <w:kern w:val="0"/>
                      <w:sz w:val="18"/>
                      <w:szCs w:val="18"/>
                      <w:lang w:val="en-US" w:eastAsia="zh-CN"/>
                    </w:rPr>
                    <w:t>0</w:t>
                  </w:r>
                </w:p>
              </w:tc>
              <w:tc>
                <w:tcPr>
                  <w:tcW w:w="0" w:type="auto"/>
                  <w:shd w:val="clear" w:color="auto" w:fill="auto"/>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0.2</w:t>
                  </w:r>
                </w:p>
              </w:tc>
              <w:tc>
                <w:tcPr>
                  <w:tcW w:w="530" w:type="pct"/>
                  <w:vAlign w:val="center"/>
                </w:tcPr>
                <w:p>
                  <w:pPr>
                    <w:jc w:val="center"/>
                    <w:rPr>
                      <w:rFonts w:hint="eastAsia" w:ascii="Times New Roman" w:hAnsi="Times New Roman" w:eastAsia="宋体" w:cs="Times New Roman"/>
                      <w:color w:val="auto"/>
                      <w:spacing w:val="-8"/>
                      <w:sz w:val="18"/>
                      <w:szCs w:val="18"/>
                      <w:lang w:val="en-US" w:eastAsia="zh-CN"/>
                    </w:rPr>
                  </w:pPr>
                  <w:r>
                    <w:rPr>
                      <w:rFonts w:ascii="Times New Roman" w:hAnsi="Times New Roman" w:eastAsia="宋体" w:cs="Times New Roman"/>
                      <w:color w:val="auto"/>
                      <w:sz w:val="18"/>
                      <w:szCs w:val="18"/>
                    </w:rPr>
                    <w:t>HW</w:t>
                  </w:r>
                  <w:r>
                    <w:rPr>
                      <w:rFonts w:hint="eastAsia" w:ascii="Times New Roman" w:hAnsi="Times New Roman" w:eastAsia="宋体" w:cs="Times New Roman"/>
                      <w:color w:val="auto"/>
                      <w:sz w:val="18"/>
                      <w:szCs w:val="18"/>
                      <w:lang w:val="en-US" w:eastAsia="zh-CN"/>
                    </w:rPr>
                    <w:t>4</w:t>
                  </w:r>
                  <w:r>
                    <w:rPr>
                      <w:rFonts w:ascii="Times New Roman" w:hAnsi="Times New Roman" w:eastAsia="宋体" w:cs="Times New Roman"/>
                      <w:color w:val="auto"/>
                      <w:sz w:val="18"/>
                      <w:szCs w:val="18"/>
                    </w:rPr>
                    <w:t>9</w:t>
                  </w:r>
                </w:p>
              </w:tc>
              <w:tc>
                <w:tcPr>
                  <w:tcW w:w="651" w:type="pct"/>
                  <w:vAlign w:val="center"/>
                </w:tcPr>
                <w:p>
                  <w:pPr>
                    <w:jc w:val="center"/>
                    <w:rPr>
                      <w:rFonts w:hint="eastAsia" w:ascii="Times New Roman" w:hAnsi="Times New Roman" w:eastAsia="宋体" w:cs="Times New Roman"/>
                      <w:color w:val="auto"/>
                      <w:spacing w:val="-8"/>
                      <w:sz w:val="18"/>
                      <w:szCs w:val="18"/>
                      <w:lang w:val="en-US" w:eastAsia="zh-CN"/>
                    </w:rPr>
                  </w:pPr>
                  <w:r>
                    <w:rPr>
                      <w:rFonts w:ascii="Times New Roman" w:hAnsi="Times New Roman" w:eastAsia="宋体" w:cs="Times New Roman"/>
                      <w:color w:val="auto"/>
                      <w:sz w:val="18"/>
                      <w:szCs w:val="18"/>
                    </w:rPr>
                    <w:t>900-041-49</w:t>
                  </w:r>
                </w:p>
              </w:tc>
              <w:tc>
                <w:tcPr>
                  <w:tcW w:w="1232" w:type="pct"/>
                  <w:vMerge w:val="continue"/>
                </w:tcPr>
                <w:p>
                  <w:pPr>
                    <w:jc w:val="center"/>
                    <w:rPr>
                      <w:color w:val="auto"/>
                      <w:kern w:val="0"/>
                      <w:sz w:val="18"/>
                      <w:szCs w:val="18"/>
                    </w:rPr>
                  </w:pPr>
                </w:p>
              </w:tc>
            </w:tr>
          </w:tbl>
          <w:p>
            <w:pPr>
              <w:spacing w:line="500" w:lineRule="exact"/>
              <w:ind w:firstLine="420" w:firstLineChars="200"/>
              <w:jc w:val="left"/>
              <w:rPr>
                <w:b/>
                <w:bCs/>
                <w:color w:val="auto"/>
                <w:szCs w:val="21"/>
              </w:rPr>
            </w:pPr>
            <w:r>
              <w:rPr>
                <w:color w:val="auto"/>
                <w:szCs w:val="21"/>
              </w:rPr>
              <w:t>现有项目已设置一般固废堆场1座，建设面积</w:t>
            </w:r>
            <w:r>
              <w:rPr>
                <w:rFonts w:hint="eastAsia"/>
                <w:color w:val="auto"/>
                <w:szCs w:val="21"/>
                <w:lang w:val="en-US" w:eastAsia="zh-CN"/>
              </w:rPr>
              <w:t>10</w:t>
            </w:r>
            <w:r>
              <w:rPr>
                <w:color w:val="auto"/>
                <w:szCs w:val="21"/>
              </w:rPr>
              <w:t>0m</w:t>
            </w:r>
            <w:r>
              <w:rPr>
                <w:color w:val="auto"/>
                <w:szCs w:val="21"/>
                <w:vertAlign w:val="superscript"/>
              </w:rPr>
              <w:t>2</w:t>
            </w:r>
            <w:r>
              <w:rPr>
                <w:color w:val="auto"/>
                <w:szCs w:val="21"/>
              </w:rPr>
              <w:t>，对照《一般固体废物贮存和填埋污染控制标准》（GB18599-2020）要求，现有项目一般固废堆场符合相关建设要求。现有项目已设置危废仓库1座，建设面积</w:t>
            </w:r>
            <w:r>
              <w:rPr>
                <w:rFonts w:hint="eastAsia"/>
                <w:color w:val="auto"/>
                <w:szCs w:val="21"/>
                <w:lang w:val="en-US" w:eastAsia="zh-CN"/>
              </w:rPr>
              <w:t>2</w:t>
            </w:r>
            <w:r>
              <w:rPr>
                <w:color w:val="auto"/>
                <w:szCs w:val="21"/>
              </w:rPr>
              <w:t>0m</w:t>
            </w:r>
            <w:r>
              <w:rPr>
                <w:color w:val="auto"/>
                <w:szCs w:val="21"/>
                <w:vertAlign w:val="superscript"/>
              </w:rPr>
              <w:t>2</w:t>
            </w:r>
            <w:r>
              <w:rPr>
                <w:color w:val="auto"/>
                <w:szCs w:val="21"/>
              </w:rPr>
              <w:t>，对照</w:t>
            </w:r>
            <w:r>
              <w:rPr>
                <w:rFonts w:hint="eastAsia" w:hAnsi="宋体"/>
                <w:color w:val="auto"/>
              </w:rPr>
              <w:t>《危险废物贮存污染控制标准》（GB18597</w:t>
            </w:r>
            <w:r>
              <w:rPr>
                <w:color w:val="auto"/>
                <w:kern w:val="0"/>
                <w:szCs w:val="21"/>
              </w:rPr>
              <w:t>-</w:t>
            </w:r>
            <w:r>
              <w:rPr>
                <w:rFonts w:hint="eastAsia" w:hAnsi="宋体"/>
                <w:color w:val="auto"/>
              </w:rPr>
              <w:t>2023）</w:t>
            </w:r>
            <w:r>
              <w:rPr>
                <w:rFonts w:hint="eastAsia"/>
                <w:color w:val="auto"/>
                <w:kern w:val="0"/>
                <w:szCs w:val="21"/>
                <w:lang w:eastAsia="zh-CN"/>
              </w:rPr>
              <w:t>、</w:t>
            </w:r>
            <w:r>
              <w:rPr>
                <w:rFonts w:hint="eastAsia" w:ascii="Times New Roman" w:hAnsi="Times New Roman" w:eastAsia="宋体" w:cs="Times New Roman"/>
                <w:bCs/>
                <w:color w:val="auto"/>
                <w:szCs w:val="21"/>
                <w:lang w:val="en-US" w:eastAsia="zh-CN"/>
              </w:rPr>
              <w:t>《危险废物识别标志设置技术规范》（HJ1276-2022）</w:t>
            </w:r>
            <w:r>
              <w:rPr>
                <w:color w:val="auto"/>
                <w:szCs w:val="21"/>
              </w:rPr>
              <w:t>要求，现有项目危废仓库符合相关建设要求。</w:t>
            </w:r>
          </w:p>
          <w:p>
            <w:pPr>
              <w:spacing w:line="360" w:lineRule="auto"/>
              <w:ind w:firstLine="422" w:firstLineChars="200"/>
              <w:rPr>
                <w:rFonts w:hint="eastAsia" w:ascii="Times New Roman" w:hAnsi="Times New Roman"/>
                <w:b/>
                <w:bCs/>
                <w:szCs w:val="21"/>
              </w:rPr>
            </w:pPr>
            <w:r>
              <w:rPr>
                <w:rFonts w:hint="eastAsia" w:ascii="Times New Roman" w:hAnsi="Times New Roman"/>
                <w:b/>
                <w:bCs/>
                <w:szCs w:val="21"/>
              </w:rPr>
              <w:t>5、现有污染物排放情况</w:t>
            </w:r>
          </w:p>
          <w:p>
            <w:pPr>
              <w:pStyle w:val="4"/>
              <w:keepNext/>
              <w:keepLines/>
              <w:pageBreakBefore w:val="0"/>
              <w:widowControl w:val="0"/>
              <w:kinsoku/>
              <w:wordWrap/>
              <w:overflowPunct/>
              <w:topLinePunct w:val="0"/>
              <w:autoSpaceDE/>
              <w:autoSpaceDN/>
              <w:bidi w:val="0"/>
              <w:adjustRightInd/>
              <w:snapToGrid/>
              <w:spacing w:before="0" w:after="0" w:line="500" w:lineRule="exact"/>
              <w:ind w:firstLine="0" w:firstLineChars="0"/>
              <w:jc w:val="center"/>
              <w:textAlignment w:val="auto"/>
              <w:outlineLvl w:val="2"/>
              <w:rPr>
                <w:rFonts w:hint="eastAsia" w:ascii="Times New Roman" w:hAnsi="Times New Roman"/>
                <w:sz w:val="21"/>
                <w:szCs w:val="21"/>
              </w:rPr>
            </w:pPr>
            <w:r>
              <w:rPr>
                <w:rFonts w:ascii="Times New Roman" w:hAnsi="Times New Roman"/>
                <w:sz w:val="21"/>
                <w:szCs w:val="21"/>
              </w:rPr>
              <w:t>表2-</w:t>
            </w:r>
            <w:r>
              <w:rPr>
                <w:rFonts w:hint="eastAsia" w:ascii="Times New Roman" w:hAnsi="Times New Roman"/>
                <w:sz w:val="21"/>
                <w:szCs w:val="21"/>
                <w:lang w:val="en-US" w:eastAsia="zh-CN"/>
              </w:rPr>
              <w:t>25</w:t>
            </w:r>
            <w:r>
              <w:rPr>
                <w:rFonts w:hint="eastAsia" w:ascii="Times New Roman" w:hAnsi="Times New Roman"/>
                <w:sz w:val="21"/>
                <w:szCs w:val="21"/>
                <w:lang w:eastAsia="zh-CN"/>
              </w:rPr>
              <w:t>现有</w:t>
            </w:r>
            <w:r>
              <w:rPr>
                <w:rFonts w:ascii="Times New Roman" w:hAnsi="Times New Roman"/>
                <w:sz w:val="21"/>
                <w:szCs w:val="21"/>
              </w:rPr>
              <w:t>项目污染物排</w:t>
            </w:r>
            <w:r>
              <w:rPr>
                <w:rFonts w:hint="eastAsia" w:ascii="Times New Roman" w:hAnsi="Times New Roman"/>
                <w:sz w:val="21"/>
                <w:szCs w:val="21"/>
              </w:rPr>
              <w:t>放</w:t>
            </w:r>
            <w:r>
              <w:rPr>
                <w:rFonts w:ascii="Times New Roman" w:hAnsi="Times New Roman"/>
                <w:sz w:val="21"/>
                <w:szCs w:val="21"/>
              </w:rPr>
              <w:t>情况</w:t>
            </w:r>
          </w:p>
          <w:tbl>
            <w:tblPr>
              <w:tblStyle w:val="21"/>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690"/>
              <w:gridCol w:w="1421"/>
              <w:gridCol w:w="1180"/>
              <w:gridCol w:w="1311"/>
              <w:gridCol w:w="232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65" w:type="pct"/>
                  <w:noWrap w:val="0"/>
                  <w:vAlign w:val="center"/>
                </w:tcPr>
                <w:p>
                  <w:pPr>
                    <w:pStyle w:val="45"/>
                    <w:adjustRightInd w:val="0"/>
                    <w:snapToGrid w:val="0"/>
                    <w:spacing w:line="240" w:lineRule="exact"/>
                    <w:jc w:val="center"/>
                    <w:rPr>
                      <w:rFonts w:hint="default" w:ascii="Times New Roman" w:hAnsi="Times New Roman" w:eastAsia="宋体" w:cs="Times New Roman"/>
                      <w:b/>
                      <w:snapToGrid w:val="0"/>
                      <w:color w:val="auto"/>
                      <w:sz w:val="18"/>
                      <w:szCs w:val="18"/>
                      <w:lang w:val="en-US"/>
                    </w:rPr>
                  </w:pPr>
                  <w:r>
                    <w:rPr>
                      <w:rFonts w:hint="default" w:ascii="Times New Roman" w:hAnsi="Times New Roman" w:eastAsia="宋体" w:cs="Times New Roman"/>
                      <w:b/>
                      <w:snapToGrid w:val="0"/>
                      <w:color w:val="auto"/>
                      <w:sz w:val="18"/>
                      <w:szCs w:val="18"/>
                      <w:lang w:val="en-US"/>
                    </w:rPr>
                    <w:t>类别</w:t>
                  </w:r>
                </w:p>
              </w:tc>
              <w:tc>
                <w:tcPr>
                  <w:tcW w:w="896" w:type="pct"/>
                  <w:noWrap w:val="0"/>
                  <w:vAlign w:val="center"/>
                </w:tcPr>
                <w:p>
                  <w:pPr>
                    <w:pStyle w:val="45"/>
                    <w:adjustRightInd w:val="0"/>
                    <w:snapToGrid w:val="0"/>
                    <w:spacing w:line="240" w:lineRule="exact"/>
                    <w:jc w:val="center"/>
                    <w:rPr>
                      <w:rFonts w:hint="default" w:ascii="Times New Roman" w:hAnsi="Times New Roman" w:eastAsia="宋体" w:cs="Times New Roman"/>
                      <w:b/>
                      <w:snapToGrid w:val="0"/>
                      <w:color w:val="auto"/>
                      <w:sz w:val="18"/>
                      <w:szCs w:val="18"/>
                    </w:rPr>
                  </w:pPr>
                  <w:r>
                    <w:rPr>
                      <w:rFonts w:hint="default" w:ascii="Times New Roman" w:hAnsi="Times New Roman" w:eastAsia="宋体" w:cs="Times New Roman"/>
                      <w:b/>
                      <w:snapToGrid w:val="0"/>
                      <w:color w:val="auto"/>
                      <w:sz w:val="18"/>
                      <w:szCs w:val="18"/>
                    </w:rPr>
                    <w:t>污染物名称</w:t>
                  </w:r>
                </w:p>
              </w:tc>
              <w:tc>
                <w:tcPr>
                  <w:tcW w:w="1180" w:type="dxa"/>
                  <w:noWrap w:val="0"/>
                  <w:vAlign w:val="center"/>
                </w:tcPr>
                <w:p>
                  <w:pPr>
                    <w:pStyle w:val="45"/>
                    <w:adjustRightInd w:val="0"/>
                    <w:snapToGrid w:val="0"/>
                    <w:spacing w:line="240" w:lineRule="exact"/>
                    <w:jc w:val="center"/>
                    <w:rPr>
                      <w:rFonts w:hint="default" w:ascii="Times New Roman" w:hAnsi="Times New Roman" w:eastAsia="宋体" w:cs="Times New Roman"/>
                      <w:b/>
                      <w:snapToGrid w:val="0"/>
                      <w:color w:val="auto"/>
                      <w:sz w:val="18"/>
                      <w:szCs w:val="18"/>
                    </w:rPr>
                  </w:pPr>
                  <w:r>
                    <w:rPr>
                      <w:rFonts w:hint="default" w:ascii="Times New Roman" w:hAnsi="Times New Roman" w:eastAsia="宋体" w:cs="Times New Roman"/>
                      <w:b/>
                      <w:snapToGrid w:val="0"/>
                      <w:color w:val="auto"/>
                      <w:sz w:val="18"/>
                      <w:szCs w:val="18"/>
                    </w:rPr>
                    <w:t>排放量（t/a）</w:t>
                  </w:r>
                </w:p>
              </w:tc>
              <w:tc>
                <w:tcPr>
                  <w:tcW w:w="1311" w:type="dxa"/>
                  <w:noWrap w:val="0"/>
                  <w:vAlign w:val="center"/>
                </w:tcPr>
                <w:p>
                  <w:pPr>
                    <w:pStyle w:val="45"/>
                    <w:adjustRightInd w:val="0"/>
                    <w:snapToGrid w:val="0"/>
                    <w:spacing w:line="240" w:lineRule="exact"/>
                    <w:jc w:val="center"/>
                    <w:rPr>
                      <w:rFonts w:hint="default" w:ascii="Times New Roman" w:hAnsi="Times New Roman" w:eastAsia="宋体" w:cs="Times New Roman"/>
                      <w:b/>
                      <w:snapToGrid w:val="0"/>
                      <w:color w:val="auto"/>
                      <w:sz w:val="18"/>
                      <w:szCs w:val="18"/>
                    </w:rPr>
                  </w:pPr>
                  <w:r>
                    <w:rPr>
                      <w:rFonts w:hint="default" w:ascii="Times New Roman" w:hAnsi="Times New Roman" w:eastAsia="宋体" w:cs="Times New Roman"/>
                      <w:b/>
                      <w:snapToGrid w:val="0"/>
                      <w:color w:val="auto"/>
                      <w:sz w:val="18"/>
                      <w:szCs w:val="18"/>
                    </w:rPr>
                    <w:t>环评量（t/a）</w:t>
                  </w:r>
                </w:p>
              </w:tc>
              <w:tc>
                <w:tcPr>
                  <w:tcW w:w="1467" w:type="pct"/>
                  <w:noWrap w:val="0"/>
                  <w:vAlign w:val="center"/>
                </w:tcPr>
                <w:p>
                  <w:pPr>
                    <w:pStyle w:val="45"/>
                    <w:adjustRightInd w:val="0"/>
                    <w:snapToGrid w:val="0"/>
                    <w:spacing w:line="240" w:lineRule="exact"/>
                    <w:jc w:val="center"/>
                    <w:rPr>
                      <w:rFonts w:hint="default" w:ascii="Times New Roman" w:hAnsi="Times New Roman" w:eastAsia="宋体" w:cs="Times New Roman"/>
                      <w:b/>
                      <w:snapToGrid w:val="0"/>
                      <w:color w:val="auto"/>
                      <w:sz w:val="18"/>
                      <w:szCs w:val="18"/>
                    </w:rPr>
                  </w:pPr>
                  <w:r>
                    <w:rPr>
                      <w:rFonts w:hint="default" w:ascii="Times New Roman" w:hAnsi="Times New Roman" w:eastAsia="宋体" w:cs="Times New Roman"/>
                      <w:b/>
                      <w:snapToGrid w:val="0"/>
                      <w:color w:val="auto"/>
                      <w:sz w:val="18"/>
                      <w:szCs w:val="18"/>
                    </w:rPr>
                    <w:t>排放方式</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65" w:type="pct"/>
                  <w:vMerge w:val="restart"/>
                  <w:noWrap w:val="0"/>
                  <w:vAlign w:val="center"/>
                </w:tcPr>
                <w:p>
                  <w:pPr>
                    <w:pStyle w:val="45"/>
                    <w:adjustRightInd w:val="0"/>
                    <w:snapToGrid w:val="0"/>
                    <w:spacing w:line="240" w:lineRule="exact"/>
                    <w:jc w:val="center"/>
                    <w:rPr>
                      <w:rFonts w:hint="default" w:ascii="Times New Roman" w:hAnsi="Times New Roman" w:eastAsia="宋体" w:cs="Times New Roman"/>
                      <w:snapToGrid w:val="0"/>
                      <w:color w:val="auto"/>
                      <w:sz w:val="18"/>
                      <w:szCs w:val="18"/>
                      <w:lang w:val="en-US" w:eastAsia="zh-CN"/>
                    </w:rPr>
                  </w:pPr>
                  <w:r>
                    <w:rPr>
                      <w:rFonts w:hint="default" w:ascii="Times New Roman" w:hAnsi="Times New Roman" w:eastAsia="宋体" w:cs="Times New Roman"/>
                      <w:snapToGrid w:val="0"/>
                      <w:color w:val="auto"/>
                      <w:sz w:val="18"/>
                      <w:szCs w:val="18"/>
                      <w:lang w:val="en-US" w:eastAsia="zh-CN"/>
                    </w:rPr>
                    <w:t>废气</w:t>
                  </w:r>
                </w:p>
              </w:tc>
              <w:tc>
                <w:tcPr>
                  <w:tcW w:w="896" w:type="pct"/>
                  <w:noWrap w:val="0"/>
                  <w:vAlign w:val="center"/>
                </w:tcPr>
                <w:p>
                  <w:pPr>
                    <w:adjustRightInd w:val="0"/>
                    <w:snapToGrid w:val="0"/>
                    <w:jc w:val="center"/>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颗粒物</w:t>
                  </w:r>
                </w:p>
              </w:tc>
              <w:tc>
                <w:tcPr>
                  <w:tcW w:w="744" w:type="pct"/>
                  <w:noWrap w:val="0"/>
                  <w:vAlign w:val="center"/>
                </w:tcPr>
                <w:p>
                  <w:pPr>
                    <w:adjustRightInd w:val="0"/>
                    <w:snapToGrid w:val="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8.135</w:t>
                  </w:r>
                </w:p>
              </w:tc>
              <w:tc>
                <w:tcPr>
                  <w:tcW w:w="826" w:type="pct"/>
                  <w:noWrap w:val="0"/>
                  <w:vAlign w:val="center"/>
                </w:tcPr>
                <w:p>
                  <w:pPr>
                    <w:adjustRightInd w:val="0"/>
                    <w:snapToGrid w:val="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9.5</w:t>
                  </w:r>
                </w:p>
              </w:tc>
              <w:tc>
                <w:tcPr>
                  <w:tcW w:w="1467" w:type="pct"/>
                  <w:vMerge w:val="restart"/>
                  <w:noWrap w:val="0"/>
                  <w:vAlign w:val="center"/>
                </w:tcPr>
                <w:p>
                  <w:pPr>
                    <w:pStyle w:val="45"/>
                    <w:adjustRightInd w:val="0"/>
                    <w:snapToGrid w:val="0"/>
                    <w:spacing w:line="240" w:lineRule="exact"/>
                    <w:ind w:left="105" w:leftChars="50"/>
                    <w:jc w:val="center"/>
                    <w:rPr>
                      <w:rFonts w:hint="default" w:ascii="Times New Roman" w:hAnsi="Times New Roman" w:eastAsia="宋体" w:cs="Times New Roman"/>
                      <w:snapToGrid w:val="0"/>
                      <w:color w:val="auto"/>
                      <w:sz w:val="18"/>
                      <w:szCs w:val="18"/>
                      <w:lang w:val="en-US" w:eastAsia="zh-CN"/>
                    </w:rPr>
                  </w:pPr>
                  <w:r>
                    <w:rPr>
                      <w:rFonts w:hint="default" w:ascii="Times New Roman" w:hAnsi="Times New Roman" w:eastAsia="宋体" w:cs="Times New Roman"/>
                      <w:snapToGrid w:val="0"/>
                      <w:color w:val="auto"/>
                      <w:sz w:val="18"/>
                      <w:szCs w:val="18"/>
                      <w:lang w:val="en-US" w:eastAsia="zh-CN"/>
                    </w:rPr>
                    <w:t>排气筒排放DA001~DA006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65" w:type="pct"/>
                  <w:vMerge w:val="continue"/>
                  <w:noWrap w:val="0"/>
                  <w:vAlign w:val="center"/>
                </w:tcPr>
                <w:p>
                  <w:pPr>
                    <w:pStyle w:val="45"/>
                    <w:adjustRightInd w:val="0"/>
                    <w:snapToGrid w:val="0"/>
                    <w:spacing w:line="240" w:lineRule="exact"/>
                    <w:jc w:val="center"/>
                    <w:rPr>
                      <w:rFonts w:hint="default" w:ascii="Times New Roman" w:hAnsi="Times New Roman" w:eastAsia="宋体" w:cs="Times New Roman"/>
                      <w:snapToGrid w:val="0"/>
                      <w:color w:val="auto"/>
                      <w:sz w:val="18"/>
                      <w:szCs w:val="18"/>
                      <w:lang w:val="en-US"/>
                    </w:rPr>
                  </w:pPr>
                </w:p>
              </w:tc>
              <w:tc>
                <w:tcPr>
                  <w:tcW w:w="896" w:type="pct"/>
                  <w:noWrap w:val="0"/>
                  <w:vAlign w:val="center"/>
                </w:tcPr>
                <w:p>
                  <w:pPr>
                    <w:adjustRightInd w:val="0"/>
                    <w:snapToGrid w:val="0"/>
                    <w:jc w:val="center"/>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二氧化硫</w:t>
                  </w:r>
                </w:p>
              </w:tc>
              <w:tc>
                <w:tcPr>
                  <w:tcW w:w="744" w:type="pct"/>
                  <w:noWrap w:val="0"/>
                  <w:vAlign w:val="center"/>
                </w:tcPr>
                <w:p>
                  <w:pPr>
                    <w:adjustRightInd w:val="0"/>
                    <w:snapToGrid w:val="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0.7056</w:t>
                  </w:r>
                </w:p>
              </w:tc>
              <w:tc>
                <w:tcPr>
                  <w:tcW w:w="826" w:type="pct"/>
                  <w:noWrap w:val="0"/>
                  <w:vAlign w:val="center"/>
                </w:tcPr>
                <w:p>
                  <w:pPr>
                    <w:adjustRightInd w:val="0"/>
                    <w:snapToGrid w:val="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1.51</w:t>
                  </w:r>
                </w:p>
              </w:tc>
              <w:tc>
                <w:tcPr>
                  <w:tcW w:w="1467" w:type="pct"/>
                  <w:vMerge w:val="continue"/>
                  <w:noWrap w:val="0"/>
                  <w:vAlign w:val="center"/>
                </w:tcPr>
                <w:p>
                  <w:pPr>
                    <w:pStyle w:val="45"/>
                    <w:adjustRightInd w:val="0"/>
                    <w:snapToGrid w:val="0"/>
                    <w:spacing w:line="240" w:lineRule="exact"/>
                    <w:ind w:left="105" w:leftChars="50"/>
                    <w:jc w:val="center"/>
                    <w:rPr>
                      <w:rFonts w:hint="default" w:ascii="Times New Roman" w:hAnsi="Times New Roman" w:eastAsia="宋体" w:cs="Times New Roman"/>
                      <w:snapToGrid w:val="0"/>
                      <w:color w:val="auto"/>
                      <w:sz w:val="18"/>
                      <w:szCs w:val="18"/>
                      <w:lang w:val="en-US"/>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65" w:type="pct"/>
                  <w:vMerge w:val="continue"/>
                  <w:noWrap w:val="0"/>
                  <w:vAlign w:val="center"/>
                </w:tcPr>
                <w:p>
                  <w:pPr>
                    <w:pStyle w:val="45"/>
                    <w:adjustRightInd w:val="0"/>
                    <w:snapToGrid w:val="0"/>
                    <w:spacing w:line="240" w:lineRule="exact"/>
                    <w:jc w:val="center"/>
                    <w:rPr>
                      <w:rFonts w:hint="default" w:ascii="Times New Roman" w:hAnsi="Times New Roman" w:eastAsia="宋体" w:cs="Times New Roman"/>
                      <w:snapToGrid w:val="0"/>
                      <w:color w:val="auto"/>
                      <w:sz w:val="18"/>
                      <w:szCs w:val="18"/>
                      <w:lang w:val="en-US"/>
                    </w:rPr>
                  </w:pPr>
                </w:p>
              </w:tc>
              <w:tc>
                <w:tcPr>
                  <w:tcW w:w="896" w:type="pct"/>
                  <w:noWrap w:val="0"/>
                  <w:vAlign w:val="center"/>
                </w:tcPr>
                <w:p>
                  <w:pPr>
                    <w:adjustRightInd w:val="0"/>
                    <w:snapToGrid w:val="0"/>
                    <w:jc w:val="center"/>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氮氧化物</w:t>
                  </w:r>
                </w:p>
              </w:tc>
              <w:tc>
                <w:tcPr>
                  <w:tcW w:w="744" w:type="pct"/>
                  <w:noWrap w:val="0"/>
                  <w:vAlign w:val="center"/>
                </w:tcPr>
                <w:p>
                  <w:pPr>
                    <w:adjustRightInd w:val="0"/>
                    <w:snapToGrid w:val="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72.7872</w:t>
                  </w:r>
                </w:p>
              </w:tc>
              <w:tc>
                <w:tcPr>
                  <w:tcW w:w="826" w:type="pct"/>
                  <w:noWrap w:val="0"/>
                  <w:vAlign w:val="center"/>
                </w:tcPr>
                <w:p>
                  <w:pPr>
                    <w:adjustRightInd w:val="0"/>
                    <w:snapToGrid w:val="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74.1</w:t>
                  </w:r>
                </w:p>
              </w:tc>
              <w:tc>
                <w:tcPr>
                  <w:tcW w:w="1467" w:type="pct"/>
                  <w:vMerge w:val="continue"/>
                  <w:noWrap w:val="0"/>
                  <w:vAlign w:val="center"/>
                </w:tcPr>
                <w:p>
                  <w:pPr>
                    <w:pStyle w:val="45"/>
                    <w:adjustRightInd w:val="0"/>
                    <w:snapToGrid w:val="0"/>
                    <w:spacing w:line="240" w:lineRule="exact"/>
                    <w:ind w:left="105" w:leftChars="50"/>
                    <w:jc w:val="center"/>
                    <w:rPr>
                      <w:rFonts w:hint="default" w:ascii="Times New Roman" w:hAnsi="Times New Roman" w:eastAsia="宋体" w:cs="Times New Roman"/>
                      <w:snapToGrid w:val="0"/>
                      <w:color w:val="auto"/>
                      <w:sz w:val="18"/>
                      <w:szCs w:val="18"/>
                      <w:lang w:val="en-US"/>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65" w:type="pct"/>
                  <w:vMerge w:val="restart"/>
                  <w:shd w:val="clear" w:color="auto" w:fill="auto"/>
                  <w:noWrap w:val="0"/>
                  <w:vAlign w:val="center"/>
                </w:tcPr>
                <w:p>
                  <w:pPr>
                    <w:pStyle w:val="45"/>
                    <w:adjustRightInd w:val="0"/>
                    <w:snapToGrid w:val="0"/>
                    <w:spacing w:line="240" w:lineRule="exact"/>
                    <w:jc w:val="center"/>
                    <w:rPr>
                      <w:rFonts w:hint="default" w:ascii="Times New Roman" w:hAnsi="Times New Roman" w:eastAsia="宋体" w:cs="Times New Roman"/>
                      <w:snapToGrid w:val="0"/>
                      <w:color w:val="auto"/>
                      <w:kern w:val="0"/>
                      <w:sz w:val="18"/>
                      <w:szCs w:val="18"/>
                      <w:lang w:val="en-US" w:eastAsia="zh-CN" w:bidi="ar-SA"/>
                    </w:rPr>
                  </w:pPr>
                  <w:r>
                    <w:rPr>
                      <w:rFonts w:hint="default" w:ascii="Times New Roman" w:hAnsi="Times New Roman" w:eastAsia="宋体" w:cs="Times New Roman"/>
                      <w:snapToGrid w:val="0"/>
                      <w:color w:val="auto"/>
                      <w:sz w:val="18"/>
                      <w:szCs w:val="18"/>
                      <w:lang w:val="en-US"/>
                    </w:rPr>
                    <w:t>废水（</w:t>
                  </w:r>
                  <w:r>
                    <w:rPr>
                      <w:rFonts w:hint="default" w:ascii="Times New Roman" w:hAnsi="Times New Roman" w:eastAsia="宋体" w:cs="Times New Roman"/>
                      <w:snapToGrid w:val="0"/>
                      <w:color w:val="auto"/>
                      <w:sz w:val="18"/>
                      <w:szCs w:val="18"/>
                      <w:lang w:val="en-US" w:eastAsia="zh-CN"/>
                    </w:rPr>
                    <w:t>240</w:t>
                  </w:r>
                  <w:r>
                    <w:rPr>
                      <w:rFonts w:hint="default" w:ascii="Times New Roman" w:hAnsi="Times New Roman" w:eastAsia="宋体" w:cs="Times New Roman"/>
                      <w:snapToGrid w:val="0"/>
                      <w:color w:val="auto"/>
                      <w:sz w:val="18"/>
                      <w:szCs w:val="18"/>
                      <w:lang w:val="en-US"/>
                    </w:rPr>
                    <w:t>0t/a）</w:t>
                  </w:r>
                </w:p>
              </w:tc>
              <w:tc>
                <w:tcPr>
                  <w:tcW w:w="896" w:type="pct"/>
                  <w:shd w:val="clear" w:color="auto" w:fill="auto"/>
                  <w:noWrap w:val="0"/>
                  <w:vAlign w:val="center"/>
                </w:tcPr>
                <w:p>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COD</w:t>
                  </w:r>
                </w:p>
              </w:tc>
              <w:tc>
                <w:tcPr>
                  <w:tcW w:w="744" w:type="pct"/>
                  <w:shd w:val="clear" w:color="auto" w:fill="auto"/>
                  <w:noWrap w:val="0"/>
                  <w:vAlign w:val="center"/>
                </w:tcPr>
                <w:p>
                  <w:pPr>
                    <w:adjustRightInd w:val="0"/>
                    <w:snapToGrid w:val="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0.072</w:t>
                  </w:r>
                </w:p>
              </w:tc>
              <w:tc>
                <w:tcPr>
                  <w:tcW w:w="826" w:type="pct"/>
                  <w:noWrap w:val="0"/>
                  <w:vAlign w:val="center"/>
                </w:tcPr>
                <w:p>
                  <w:pPr>
                    <w:adjustRightInd w:val="0"/>
                    <w:snapToGrid w:val="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0.368</w:t>
                  </w:r>
                </w:p>
              </w:tc>
              <w:tc>
                <w:tcPr>
                  <w:tcW w:w="1467" w:type="pct"/>
                  <w:vMerge w:val="restart"/>
                  <w:noWrap w:val="0"/>
                  <w:vAlign w:val="center"/>
                </w:tcPr>
                <w:p>
                  <w:pPr>
                    <w:pStyle w:val="45"/>
                    <w:adjustRightInd w:val="0"/>
                    <w:snapToGrid w:val="0"/>
                    <w:spacing w:line="240" w:lineRule="exact"/>
                    <w:ind w:left="105" w:leftChars="50"/>
                    <w:jc w:val="center"/>
                    <w:rPr>
                      <w:rFonts w:hint="default" w:ascii="Times New Roman" w:hAnsi="Times New Roman" w:eastAsia="宋体" w:cs="Times New Roman"/>
                      <w:snapToGrid w:val="0"/>
                      <w:color w:val="auto"/>
                      <w:sz w:val="18"/>
                      <w:szCs w:val="18"/>
                      <w:lang w:val="en-US"/>
                    </w:rPr>
                  </w:pPr>
                  <w:r>
                    <w:rPr>
                      <w:rFonts w:hint="eastAsia" w:ascii="Times New Roman" w:hAnsi="Times New Roman" w:cs="Times New Roman"/>
                      <w:color w:val="auto"/>
                      <w:sz w:val="18"/>
                      <w:szCs w:val="18"/>
                      <w:lang w:eastAsia="zh-CN"/>
                    </w:rPr>
                    <w:t>依托宏茂铸钢</w:t>
                  </w:r>
                  <w:r>
                    <w:rPr>
                      <w:rFonts w:hint="default" w:ascii="Times New Roman" w:hAnsi="Times New Roman" w:eastAsia="宋体" w:cs="Times New Roman"/>
                      <w:color w:val="auto"/>
                      <w:sz w:val="18"/>
                      <w:szCs w:val="18"/>
                      <w:lang w:eastAsia="zh-CN"/>
                    </w:rPr>
                    <w:t>沉淀池、</w:t>
                  </w:r>
                  <w:r>
                    <w:rPr>
                      <w:rFonts w:hint="default" w:ascii="Times New Roman" w:hAnsi="Times New Roman" w:eastAsia="宋体" w:cs="Times New Roman"/>
                      <w:color w:val="auto"/>
                      <w:sz w:val="18"/>
                      <w:szCs w:val="18"/>
                    </w:rPr>
                    <w:t>化粪池预处理后达标接管至</w:t>
                  </w:r>
                  <w:r>
                    <w:rPr>
                      <w:rFonts w:hint="eastAsia" w:ascii="Times New Roman" w:hAnsi="Times New Roman" w:eastAsia="宋体" w:cs="Times New Roman"/>
                      <w:color w:val="auto"/>
                      <w:sz w:val="18"/>
                      <w:szCs w:val="18"/>
                      <w:lang w:eastAsia="zh-CN"/>
                    </w:rPr>
                    <w:t>如皋市富港水处理有限公司</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65" w:type="pct"/>
                  <w:vMerge w:val="continue"/>
                  <w:noWrap w:val="0"/>
                  <w:vAlign w:val="center"/>
                </w:tcPr>
                <w:p>
                  <w:pPr>
                    <w:pStyle w:val="45"/>
                    <w:adjustRightInd w:val="0"/>
                    <w:snapToGrid w:val="0"/>
                    <w:spacing w:line="240" w:lineRule="exact"/>
                    <w:jc w:val="center"/>
                    <w:rPr>
                      <w:rFonts w:hint="default" w:ascii="Times New Roman" w:hAnsi="Times New Roman" w:eastAsia="宋体" w:cs="Times New Roman"/>
                      <w:snapToGrid w:val="0"/>
                      <w:color w:val="auto"/>
                      <w:sz w:val="18"/>
                      <w:szCs w:val="18"/>
                      <w:lang w:val="en-US"/>
                    </w:rPr>
                  </w:pPr>
                </w:p>
              </w:tc>
              <w:tc>
                <w:tcPr>
                  <w:tcW w:w="896" w:type="pct"/>
                  <w:shd w:val="clear" w:color="auto" w:fill="auto"/>
                  <w:noWrap w:val="0"/>
                  <w:vAlign w:val="center"/>
                </w:tcPr>
                <w:p>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氨氮</w:t>
                  </w:r>
                </w:p>
              </w:tc>
              <w:tc>
                <w:tcPr>
                  <w:tcW w:w="744" w:type="pct"/>
                  <w:shd w:val="clear" w:color="auto" w:fill="auto"/>
                  <w:noWrap w:val="0"/>
                  <w:vAlign w:val="center"/>
                </w:tcPr>
                <w:p>
                  <w:pPr>
                    <w:adjustRightInd w:val="0"/>
                    <w:snapToGrid w:val="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w:t>
                  </w:r>
                  <w:r>
                    <w:rPr>
                      <w:rFonts w:hint="eastAsia" w:cs="Times New Roman"/>
                      <w:color w:val="auto"/>
                      <w:sz w:val="18"/>
                      <w:szCs w:val="18"/>
                      <w:lang w:val="en-US" w:eastAsia="zh-CN"/>
                    </w:rPr>
                    <w:t>0</w:t>
                  </w:r>
                  <w:r>
                    <w:rPr>
                      <w:rFonts w:hint="eastAsia" w:ascii="Times New Roman" w:hAnsi="Times New Roman" w:eastAsia="宋体" w:cs="Times New Roman"/>
                      <w:color w:val="auto"/>
                      <w:sz w:val="18"/>
                      <w:szCs w:val="18"/>
                      <w:lang w:val="en-US" w:eastAsia="zh-CN"/>
                    </w:rPr>
                    <w:t>49</w:t>
                  </w:r>
                </w:p>
              </w:tc>
              <w:tc>
                <w:tcPr>
                  <w:tcW w:w="826" w:type="pct"/>
                  <w:noWrap w:val="0"/>
                  <w:vAlign w:val="center"/>
                </w:tcPr>
                <w:p>
                  <w:pPr>
                    <w:adjustRightInd w:val="0"/>
                    <w:snapToGrid w:val="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0.055</w:t>
                  </w:r>
                </w:p>
              </w:tc>
              <w:tc>
                <w:tcPr>
                  <w:tcW w:w="1467" w:type="pct"/>
                  <w:vMerge w:val="continue"/>
                  <w:noWrap w:val="0"/>
                  <w:vAlign w:val="center"/>
                </w:tcPr>
                <w:p>
                  <w:pPr>
                    <w:pStyle w:val="45"/>
                    <w:adjustRightInd w:val="0"/>
                    <w:snapToGrid w:val="0"/>
                    <w:spacing w:line="240" w:lineRule="exact"/>
                    <w:ind w:left="105" w:leftChars="50"/>
                    <w:jc w:val="center"/>
                    <w:rPr>
                      <w:rFonts w:hint="default" w:ascii="Times New Roman" w:hAnsi="Times New Roman" w:eastAsia="宋体" w:cs="Times New Roman"/>
                      <w:snapToGrid w:val="0"/>
                      <w:color w:val="auto"/>
                      <w:sz w:val="18"/>
                      <w:szCs w:val="18"/>
                      <w:lang w:val="en-US"/>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65" w:type="pct"/>
                  <w:vMerge w:val="restart"/>
                  <w:tcBorders>
                    <w:top w:val="single" w:color="000000" w:sz="6" w:space="0"/>
                  </w:tcBorders>
                  <w:noWrap w:val="0"/>
                  <w:vAlign w:val="center"/>
                </w:tcPr>
                <w:p>
                  <w:pPr>
                    <w:pStyle w:val="45"/>
                    <w:adjustRightInd w:val="0"/>
                    <w:snapToGrid w:val="0"/>
                    <w:spacing w:line="240" w:lineRule="exact"/>
                    <w:jc w:val="center"/>
                    <w:rPr>
                      <w:rFonts w:hint="default" w:ascii="Times New Roman" w:hAnsi="Times New Roman" w:eastAsia="宋体" w:cs="Times New Roman"/>
                      <w:snapToGrid w:val="0"/>
                      <w:color w:val="auto"/>
                      <w:sz w:val="18"/>
                      <w:szCs w:val="18"/>
                      <w:lang w:val="en-US"/>
                    </w:rPr>
                  </w:pPr>
                  <w:r>
                    <w:rPr>
                      <w:rFonts w:hint="default" w:ascii="Times New Roman" w:hAnsi="Times New Roman" w:eastAsia="宋体" w:cs="Times New Roman"/>
                      <w:snapToGrid w:val="0"/>
                      <w:color w:val="auto"/>
                      <w:sz w:val="18"/>
                      <w:szCs w:val="18"/>
                      <w:lang w:val="en-US"/>
                    </w:rPr>
                    <w:t>固体废物</w:t>
                  </w:r>
                </w:p>
              </w:tc>
              <w:tc>
                <w:tcPr>
                  <w:tcW w:w="896" w:type="pct"/>
                  <w:tcBorders>
                    <w:top w:val="single" w:color="000000" w:sz="6" w:space="0"/>
                  </w:tcBorders>
                  <w:noWrap w:val="0"/>
                  <w:vAlign w:val="center"/>
                </w:tcPr>
                <w:p>
                  <w:pPr>
                    <w:pStyle w:val="45"/>
                    <w:adjustRightInd w:val="0"/>
                    <w:snapToGrid w:val="0"/>
                    <w:spacing w:line="240" w:lineRule="exact"/>
                    <w:ind w:left="105" w:leftChars="50"/>
                    <w:jc w:val="center"/>
                    <w:rPr>
                      <w:rFonts w:hint="default" w:ascii="Times New Roman" w:hAnsi="Times New Roman" w:eastAsia="宋体" w:cs="Times New Roman"/>
                      <w:snapToGrid w:val="0"/>
                      <w:color w:val="auto"/>
                      <w:sz w:val="18"/>
                      <w:szCs w:val="18"/>
                      <w:lang w:val="en-US"/>
                    </w:rPr>
                  </w:pPr>
                  <w:r>
                    <w:rPr>
                      <w:rFonts w:hint="default" w:ascii="Times New Roman" w:hAnsi="Times New Roman" w:eastAsia="宋体" w:cs="Times New Roman"/>
                      <w:snapToGrid w:val="0"/>
                      <w:color w:val="auto"/>
                      <w:sz w:val="18"/>
                      <w:szCs w:val="18"/>
                      <w:lang w:val="en-US"/>
                    </w:rPr>
                    <w:t>边角料</w:t>
                  </w:r>
                </w:p>
              </w:tc>
              <w:tc>
                <w:tcPr>
                  <w:tcW w:w="744" w:type="pct"/>
                  <w:noWrap w:val="0"/>
                  <w:vAlign w:val="center"/>
                </w:tcPr>
                <w:p>
                  <w:pPr>
                    <w:widowControl/>
                    <w:jc w:val="center"/>
                    <w:textAlignment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0"/>
                      <w:sz w:val="18"/>
                      <w:szCs w:val="18"/>
                      <w:lang w:val="en-US" w:eastAsia="zh-CN" w:bidi="ar"/>
                    </w:rPr>
                    <w:t>72.2</w:t>
                  </w:r>
                </w:p>
              </w:tc>
              <w:tc>
                <w:tcPr>
                  <w:tcW w:w="826" w:type="pct"/>
                  <w:noWrap w:val="0"/>
                  <w:vAlign w:val="center"/>
                </w:tcPr>
                <w:p>
                  <w:pPr>
                    <w:widowControl/>
                    <w:jc w:val="center"/>
                    <w:textAlignment w:val="center"/>
                    <w:rPr>
                      <w:rFonts w:hint="default" w:ascii="Times New Roman" w:hAnsi="Times New Roman" w:eastAsia="宋体" w:cs="Times New Roman"/>
                      <w:snapToGrid w:val="0"/>
                      <w:color w:val="auto"/>
                      <w:sz w:val="18"/>
                      <w:szCs w:val="18"/>
                      <w:lang w:val="en-US" w:eastAsia="zh-CN"/>
                    </w:rPr>
                  </w:pPr>
                  <w:r>
                    <w:rPr>
                      <w:rFonts w:hint="eastAsia"/>
                      <w:color w:val="auto"/>
                      <w:kern w:val="0"/>
                      <w:sz w:val="18"/>
                      <w:szCs w:val="18"/>
                      <w:lang w:val="en-US" w:eastAsia="zh-CN"/>
                    </w:rPr>
                    <w:t>29021.4</w:t>
                  </w:r>
                </w:p>
              </w:tc>
              <w:tc>
                <w:tcPr>
                  <w:tcW w:w="1467" w:type="pct"/>
                  <w:vMerge w:val="restart"/>
                  <w:noWrap w:val="0"/>
                  <w:vAlign w:val="center"/>
                </w:tcPr>
                <w:p>
                  <w:pPr>
                    <w:pStyle w:val="45"/>
                    <w:adjustRightInd w:val="0"/>
                    <w:snapToGrid w:val="0"/>
                    <w:spacing w:line="240" w:lineRule="exact"/>
                    <w:ind w:left="105" w:leftChars="50"/>
                    <w:jc w:val="center"/>
                    <w:rPr>
                      <w:rFonts w:hint="default" w:ascii="Times New Roman" w:hAnsi="Times New Roman" w:eastAsia="宋体" w:cs="Times New Roman"/>
                      <w:snapToGrid w:val="0"/>
                      <w:color w:val="auto"/>
                      <w:sz w:val="18"/>
                      <w:szCs w:val="18"/>
                      <w:lang w:val="en-US" w:eastAsia="zh-CN"/>
                    </w:rPr>
                  </w:pPr>
                  <w:r>
                    <w:rPr>
                      <w:rFonts w:hint="eastAsia" w:ascii="Times New Roman" w:hAnsi="Times New Roman" w:eastAsia="宋体" w:cs="Times New Roman"/>
                      <w:snapToGrid w:val="0"/>
                      <w:color w:val="auto"/>
                      <w:sz w:val="18"/>
                      <w:szCs w:val="18"/>
                      <w:lang w:val="en-US" w:eastAsia="zh-CN"/>
                    </w:rPr>
                    <w:t>收集后外售处置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65" w:type="pct"/>
                  <w:vMerge w:val="continue"/>
                  <w:noWrap w:val="0"/>
                  <w:vAlign w:val="center"/>
                </w:tcPr>
                <w:p>
                  <w:pPr>
                    <w:pStyle w:val="45"/>
                    <w:adjustRightInd w:val="0"/>
                    <w:snapToGrid w:val="0"/>
                    <w:spacing w:line="240" w:lineRule="exact"/>
                    <w:jc w:val="both"/>
                    <w:rPr>
                      <w:rFonts w:hint="default" w:ascii="Times New Roman" w:hAnsi="Times New Roman" w:eastAsia="宋体" w:cs="Times New Roman"/>
                      <w:snapToGrid w:val="0"/>
                      <w:color w:val="auto"/>
                      <w:sz w:val="18"/>
                      <w:szCs w:val="18"/>
                      <w:lang w:val="en-US"/>
                    </w:rPr>
                  </w:pPr>
                </w:p>
              </w:tc>
              <w:tc>
                <w:tcPr>
                  <w:tcW w:w="896" w:type="pct"/>
                  <w:noWrap w:val="0"/>
                  <w:vAlign w:val="center"/>
                </w:tcPr>
                <w:p>
                  <w:pPr>
                    <w:pStyle w:val="45"/>
                    <w:adjustRightInd w:val="0"/>
                    <w:snapToGrid w:val="0"/>
                    <w:spacing w:line="240" w:lineRule="exact"/>
                    <w:ind w:left="105" w:leftChars="50"/>
                    <w:jc w:val="center"/>
                    <w:rPr>
                      <w:rFonts w:hint="default" w:ascii="Times New Roman" w:hAnsi="Times New Roman" w:eastAsia="宋体" w:cs="Times New Roman"/>
                      <w:snapToGrid w:val="0"/>
                      <w:color w:val="auto"/>
                      <w:sz w:val="18"/>
                      <w:szCs w:val="18"/>
                      <w:lang w:val="en-US"/>
                    </w:rPr>
                  </w:pPr>
                  <w:r>
                    <w:rPr>
                      <w:rFonts w:hint="default" w:ascii="Times New Roman" w:hAnsi="Times New Roman" w:eastAsia="宋体" w:cs="Times New Roman"/>
                      <w:color w:val="auto"/>
                      <w:sz w:val="18"/>
                      <w:szCs w:val="18"/>
                      <w:lang w:val="en-US" w:eastAsia="zh-CN"/>
                    </w:rPr>
                    <w:t>氧化皮</w:t>
                  </w:r>
                </w:p>
              </w:tc>
              <w:tc>
                <w:tcPr>
                  <w:tcW w:w="744" w:type="pct"/>
                  <w:noWrap w:val="0"/>
                  <w:vAlign w:val="center"/>
                </w:tcPr>
                <w:p>
                  <w:pPr>
                    <w:widowControl/>
                    <w:jc w:val="center"/>
                    <w:textAlignment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0"/>
                      <w:sz w:val="18"/>
                      <w:szCs w:val="18"/>
                      <w:lang w:val="en-US" w:eastAsia="zh-CN" w:bidi="ar"/>
                    </w:rPr>
                    <w:t>72.2</w:t>
                  </w:r>
                </w:p>
              </w:tc>
              <w:tc>
                <w:tcPr>
                  <w:tcW w:w="826" w:type="pct"/>
                  <w:noWrap w:val="0"/>
                  <w:vAlign w:val="center"/>
                </w:tcPr>
                <w:p>
                  <w:pPr>
                    <w:widowControl/>
                    <w:jc w:val="center"/>
                    <w:textAlignment w:val="center"/>
                    <w:rPr>
                      <w:rFonts w:hint="default" w:ascii="Times New Roman" w:hAnsi="Times New Roman" w:eastAsia="宋体" w:cs="Times New Roman"/>
                      <w:snapToGrid w:val="0"/>
                      <w:color w:val="auto"/>
                      <w:sz w:val="18"/>
                      <w:szCs w:val="18"/>
                      <w:lang w:val="en-US" w:eastAsia="zh-CN"/>
                    </w:rPr>
                  </w:pPr>
                  <w:r>
                    <w:rPr>
                      <w:rFonts w:hint="eastAsia"/>
                      <w:color w:val="auto"/>
                      <w:kern w:val="0"/>
                      <w:sz w:val="18"/>
                      <w:szCs w:val="18"/>
                      <w:lang w:val="en-US" w:eastAsia="zh-CN"/>
                    </w:rPr>
                    <w:t>1838.6</w:t>
                  </w:r>
                </w:p>
              </w:tc>
              <w:tc>
                <w:tcPr>
                  <w:tcW w:w="1467" w:type="pct"/>
                  <w:vMerge w:val="continue"/>
                  <w:noWrap w:val="0"/>
                  <w:vAlign w:val="center"/>
                </w:tcPr>
                <w:p>
                  <w:pPr>
                    <w:pStyle w:val="45"/>
                    <w:adjustRightInd w:val="0"/>
                    <w:snapToGrid w:val="0"/>
                    <w:spacing w:line="240" w:lineRule="exact"/>
                    <w:ind w:left="105" w:leftChars="50"/>
                    <w:jc w:val="center"/>
                    <w:rPr>
                      <w:rFonts w:hint="default" w:ascii="Times New Roman" w:hAnsi="Times New Roman" w:eastAsia="宋体" w:cs="Times New Roman"/>
                      <w:snapToGrid w:val="0"/>
                      <w:color w:val="auto"/>
                      <w:sz w:val="18"/>
                      <w:szCs w:val="18"/>
                      <w:lang w:val="en-US"/>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65" w:type="pct"/>
                  <w:vMerge w:val="continue"/>
                  <w:noWrap w:val="0"/>
                  <w:vAlign w:val="center"/>
                </w:tcPr>
                <w:p>
                  <w:pPr>
                    <w:pStyle w:val="45"/>
                    <w:adjustRightInd w:val="0"/>
                    <w:snapToGrid w:val="0"/>
                    <w:spacing w:line="240" w:lineRule="exact"/>
                    <w:jc w:val="both"/>
                    <w:rPr>
                      <w:rFonts w:hint="default" w:ascii="Times New Roman" w:hAnsi="Times New Roman" w:eastAsia="宋体" w:cs="Times New Roman"/>
                      <w:snapToGrid w:val="0"/>
                      <w:color w:val="auto"/>
                      <w:sz w:val="18"/>
                      <w:szCs w:val="18"/>
                      <w:lang w:val="en-US"/>
                    </w:rPr>
                  </w:pPr>
                </w:p>
              </w:tc>
              <w:tc>
                <w:tcPr>
                  <w:tcW w:w="896" w:type="pct"/>
                  <w:noWrap w:val="0"/>
                  <w:vAlign w:val="center"/>
                </w:tcPr>
                <w:p>
                  <w:pPr>
                    <w:pStyle w:val="45"/>
                    <w:adjustRightInd w:val="0"/>
                    <w:snapToGrid w:val="0"/>
                    <w:spacing w:line="240" w:lineRule="exact"/>
                    <w:ind w:left="105" w:leftChars="5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沉渣</w:t>
                  </w:r>
                </w:p>
              </w:tc>
              <w:tc>
                <w:tcPr>
                  <w:tcW w:w="744" w:type="pct"/>
                  <w:noWrap w:val="0"/>
                  <w:vAlign w:val="center"/>
                </w:tcPr>
                <w:p>
                  <w:pPr>
                    <w:widowControl/>
                    <w:jc w:val="center"/>
                    <w:textAlignment w:val="center"/>
                    <w:rPr>
                      <w:rFonts w:hint="eastAsia" w:cs="Times New Roman"/>
                      <w:color w:val="auto"/>
                      <w:kern w:val="2"/>
                      <w:sz w:val="18"/>
                      <w:szCs w:val="18"/>
                      <w:lang w:val="en-US" w:eastAsia="zh-CN" w:bidi="ar-SA"/>
                    </w:rPr>
                  </w:pPr>
                  <w:r>
                    <w:rPr>
                      <w:rFonts w:hint="eastAsia" w:ascii="Times New Roman" w:hAnsi="Times New Roman" w:eastAsia="宋体" w:cs="Times New Roman"/>
                      <w:color w:val="auto"/>
                      <w:kern w:val="0"/>
                      <w:sz w:val="18"/>
                      <w:szCs w:val="18"/>
                      <w:lang w:val="en-US" w:eastAsia="zh-CN" w:bidi="ar"/>
                    </w:rPr>
                    <w:t>72.2</w:t>
                  </w:r>
                </w:p>
              </w:tc>
              <w:tc>
                <w:tcPr>
                  <w:tcW w:w="826" w:type="pct"/>
                  <w:noWrap w:val="0"/>
                  <w:vAlign w:val="center"/>
                </w:tcPr>
                <w:p>
                  <w:pPr>
                    <w:widowControl/>
                    <w:jc w:val="center"/>
                    <w:textAlignment w:val="center"/>
                    <w:rPr>
                      <w:rFonts w:hint="default" w:ascii="Times New Roman" w:hAnsi="Times New Roman" w:eastAsia="宋体" w:cs="Times New Roman"/>
                      <w:color w:val="auto"/>
                      <w:kern w:val="2"/>
                      <w:sz w:val="18"/>
                      <w:szCs w:val="18"/>
                      <w:lang w:val="en-US" w:eastAsia="zh-CN" w:bidi="ar-SA"/>
                    </w:rPr>
                  </w:pPr>
                  <w:r>
                    <w:rPr>
                      <w:rFonts w:hint="eastAsia"/>
                      <w:color w:val="auto"/>
                      <w:kern w:val="0"/>
                      <w:sz w:val="18"/>
                      <w:szCs w:val="18"/>
                      <w:lang w:val="en-US" w:eastAsia="zh-CN"/>
                    </w:rPr>
                    <w:t>1.5</w:t>
                  </w:r>
                </w:p>
              </w:tc>
              <w:tc>
                <w:tcPr>
                  <w:tcW w:w="1467" w:type="pct"/>
                  <w:vMerge w:val="continue"/>
                  <w:noWrap w:val="0"/>
                  <w:vAlign w:val="center"/>
                </w:tcPr>
                <w:p>
                  <w:pPr>
                    <w:pStyle w:val="45"/>
                    <w:adjustRightInd w:val="0"/>
                    <w:snapToGrid w:val="0"/>
                    <w:spacing w:line="240" w:lineRule="exact"/>
                    <w:ind w:left="105" w:leftChars="50"/>
                    <w:jc w:val="center"/>
                    <w:rPr>
                      <w:rFonts w:hint="default" w:ascii="Times New Roman" w:hAnsi="Times New Roman" w:eastAsia="宋体" w:cs="Times New Roman"/>
                      <w:snapToGrid w:val="0"/>
                      <w:color w:val="auto"/>
                      <w:sz w:val="18"/>
                      <w:szCs w:val="18"/>
                      <w:lang w:val="en-US"/>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65" w:type="pct"/>
                  <w:vMerge w:val="continue"/>
                  <w:noWrap w:val="0"/>
                  <w:vAlign w:val="center"/>
                </w:tcPr>
                <w:p>
                  <w:pPr>
                    <w:pStyle w:val="45"/>
                    <w:adjustRightInd w:val="0"/>
                    <w:snapToGrid w:val="0"/>
                    <w:spacing w:line="240" w:lineRule="exact"/>
                    <w:jc w:val="both"/>
                    <w:rPr>
                      <w:rFonts w:hint="default" w:ascii="Times New Roman" w:hAnsi="Times New Roman" w:eastAsia="宋体" w:cs="Times New Roman"/>
                      <w:snapToGrid w:val="0"/>
                      <w:color w:val="auto"/>
                      <w:sz w:val="18"/>
                      <w:szCs w:val="18"/>
                      <w:lang w:val="en-US"/>
                    </w:rPr>
                  </w:pPr>
                </w:p>
              </w:tc>
              <w:tc>
                <w:tcPr>
                  <w:tcW w:w="896" w:type="pct"/>
                  <w:shd w:val="clear" w:color="auto" w:fill="auto"/>
                  <w:noWrap w:val="0"/>
                  <w:vAlign w:val="center"/>
                </w:tcPr>
                <w:p>
                  <w:pPr>
                    <w:jc w:val="center"/>
                    <w:rPr>
                      <w:rFonts w:hint="default" w:ascii="Times New Roman" w:hAnsi="Times New Roman" w:eastAsia="宋体" w:cs="Times New Roman"/>
                      <w:color w:val="auto"/>
                      <w:kern w:val="2"/>
                      <w:sz w:val="18"/>
                      <w:szCs w:val="18"/>
                      <w:lang w:val="en-US" w:eastAsia="zh-CN" w:bidi="ar-SA"/>
                    </w:rPr>
                  </w:pPr>
                  <w:r>
                    <w:rPr>
                      <w:color w:val="auto"/>
                      <w:sz w:val="18"/>
                      <w:szCs w:val="18"/>
                    </w:rPr>
                    <w:t>废机油</w:t>
                  </w:r>
                </w:p>
              </w:tc>
              <w:tc>
                <w:tcPr>
                  <w:tcW w:w="744" w:type="pct"/>
                  <w:shd w:val="clear" w:color="auto" w:fill="auto"/>
                  <w:noWrap w:val="0"/>
                  <w:vAlign w:val="center"/>
                </w:tcPr>
                <w:p>
                  <w:pPr>
                    <w:jc w:val="center"/>
                    <w:rPr>
                      <w:rFonts w:hint="default" w:ascii="Times New Roman" w:hAnsi="Times New Roman" w:eastAsia="宋体" w:cs="Times New Roman"/>
                      <w:color w:val="auto"/>
                      <w:kern w:val="2"/>
                      <w:sz w:val="18"/>
                      <w:szCs w:val="18"/>
                      <w:lang w:val="en-US" w:eastAsia="zh-CN" w:bidi="ar-SA"/>
                    </w:rPr>
                  </w:pPr>
                  <w:r>
                    <w:rPr>
                      <w:color w:val="auto"/>
                      <w:sz w:val="18"/>
                      <w:szCs w:val="18"/>
                    </w:rPr>
                    <w:t>0.</w:t>
                  </w:r>
                  <w:r>
                    <w:rPr>
                      <w:rFonts w:hint="eastAsia"/>
                      <w:color w:val="auto"/>
                      <w:sz w:val="18"/>
                      <w:szCs w:val="18"/>
                      <w:lang w:val="en-US" w:eastAsia="zh-CN"/>
                    </w:rPr>
                    <w:t>1</w:t>
                  </w:r>
                </w:p>
              </w:tc>
              <w:tc>
                <w:tcPr>
                  <w:tcW w:w="826" w:type="pct"/>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snapToGrid w:val="0"/>
                      <w:color w:val="auto"/>
                      <w:sz w:val="18"/>
                      <w:szCs w:val="18"/>
                      <w:lang w:val="en-US" w:eastAsia="zh-CN"/>
                    </w:rPr>
                    <w:t>0</w:t>
                  </w:r>
                </w:p>
              </w:tc>
              <w:tc>
                <w:tcPr>
                  <w:tcW w:w="1467" w:type="pct"/>
                  <w:vMerge w:val="restart"/>
                  <w:noWrap w:val="0"/>
                  <w:vAlign w:val="center"/>
                </w:tcPr>
                <w:p>
                  <w:pPr>
                    <w:pStyle w:val="45"/>
                    <w:adjustRightInd w:val="0"/>
                    <w:snapToGrid w:val="0"/>
                    <w:spacing w:line="240" w:lineRule="exact"/>
                    <w:ind w:left="105" w:leftChars="50"/>
                    <w:jc w:val="center"/>
                    <w:rPr>
                      <w:rFonts w:hint="default" w:ascii="Times New Roman" w:hAnsi="Times New Roman" w:eastAsia="宋体" w:cs="Times New Roman"/>
                      <w:snapToGrid w:val="0"/>
                      <w:color w:val="auto"/>
                      <w:sz w:val="18"/>
                      <w:szCs w:val="18"/>
                      <w:lang w:val="en-US"/>
                    </w:rPr>
                  </w:pPr>
                  <w:r>
                    <w:rPr>
                      <w:rFonts w:hint="default" w:ascii="Times New Roman" w:hAnsi="Times New Roman" w:eastAsia="宋体" w:cs="Times New Roman"/>
                      <w:snapToGrid w:val="0"/>
                      <w:color w:val="auto"/>
                      <w:sz w:val="18"/>
                      <w:szCs w:val="18"/>
                      <w:lang w:val="en-US"/>
                    </w:rPr>
                    <w:t>委托给有</w:t>
                  </w:r>
                  <w:r>
                    <w:rPr>
                      <w:rFonts w:hint="default" w:ascii="Times New Roman" w:hAnsi="Times New Roman" w:eastAsia="宋体" w:cs="Times New Roman"/>
                      <w:snapToGrid w:val="0"/>
                      <w:color w:val="auto"/>
                      <w:sz w:val="18"/>
                      <w:szCs w:val="18"/>
                      <w:lang w:val="en-US" w:eastAsia="zh-CN"/>
                    </w:rPr>
                    <w:t>资质</w:t>
                  </w:r>
                  <w:r>
                    <w:rPr>
                      <w:rFonts w:hint="default" w:ascii="Times New Roman" w:hAnsi="Times New Roman" w:eastAsia="宋体" w:cs="Times New Roman"/>
                      <w:snapToGrid w:val="0"/>
                      <w:color w:val="auto"/>
                      <w:sz w:val="18"/>
                      <w:szCs w:val="18"/>
                      <w:lang w:val="en-US"/>
                    </w:rPr>
                    <w:t>单位</w:t>
                  </w:r>
                  <w:r>
                    <w:rPr>
                      <w:rFonts w:hint="default" w:ascii="Times New Roman" w:hAnsi="Times New Roman" w:eastAsia="宋体" w:cs="Times New Roman"/>
                      <w:snapToGrid w:val="0"/>
                      <w:color w:val="auto"/>
                      <w:sz w:val="18"/>
                      <w:szCs w:val="18"/>
                      <w:lang w:val="en-US" w:eastAsia="zh-CN"/>
                    </w:rPr>
                    <w:t>处置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65" w:type="pct"/>
                  <w:vMerge w:val="continue"/>
                  <w:noWrap w:val="0"/>
                  <w:vAlign w:val="center"/>
                </w:tcPr>
                <w:p>
                  <w:pPr>
                    <w:pStyle w:val="45"/>
                    <w:adjustRightInd w:val="0"/>
                    <w:snapToGrid w:val="0"/>
                    <w:spacing w:line="240" w:lineRule="exact"/>
                    <w:jc w:val="both"/>
                    <w:rPr>
                      <w:rFonts w:hint="default" w:ascii="Times New Roman" w:hAnsi="Times New Roman" w:eastAsia="宋体" w:cs="Times New Roman"/>
                      <w:snapToGrid w:val="0"/>
                      <w:color w:val="auto"/>
                      <w:sz w:val="18"/>
                      <w:szCs w:val="18"/>
                      <w:lang w:val="en-US"/>
                    </w:rPr>
                  </w:pPr>
                </w:p>
              </w:tc>
              <w:tc>
                <w:tcPr>
                  <w:tcW w:w="896" w:type="pct"/>
                  <w:shd w:val="clear" w:color="auto" w:fill="auto"/>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ascii="Times New Roman" w:hAnsi="Times New Roman" w:eastAsia="宋体" w:cs="Times New Roman"/>
                      <w:color w:val="auto"/>
                      <w:sz w:val="18"/>
                      <w:szCs w:val="18"/>
                    </w:rPr>
                    <w:t>废</w:t>
                  </w:r>
                  <w:r>
                    <w:rPr>
                      <w:rFonts w:hint="eastAsia" w:ascii="Times New Roman" w:hAnsi="Times New Roman" w:eastAsia="宋体" w:cs="Times New Roman"/>
                      <w:color w:val="auto"/>
                      <w:sz w:val="18"/>
                      <w:szCs w:val="18"/>
                      <w:lang w:eastAsia="zh-CN"/>
                    </w:rPr>
                    <w:t>液压油</w:t>
                  </w:r>
                </w:p>
              </w:tc>
              <w:tc>
                <w:tcPr>
                  <w:tcW w:w="744" w:type="pct"/>
                  <w:shd w:val="clear" w:color="auto" w:fill="auto"/>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1</w:t>
                  </w:r>
                </w:p>
              </w:tc>
              <w:tc>
                <w:tcPr>
                  <w:tcW w:w="826" w:type="pct"/>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snapToGrid w:val="0"/>
                      <w:color w:val="auto"/>
                      <w:sz w:val="18"/>
                      <w:szCs w:val="18"/>
                      <w:lang w:val="en-US" w:eastAsia="zh-CN"/>
                    </w:rPr>
                    <w:t>0</w:t>
                  </w:r>
                </w:p>
              </w:tc>
              <w:tc>
                <w:tcPr>
                  <w:tcW w:w="1467" w:type="pct"/>
                  <w:vMerge w:val="continue"/>
                  <w:noWrap w:val="0"/>
                  <w:vAlign w:val="center"/>
                </w:tcPr>
                <w:p>
                  <w:pPr>
                    <w:pStyle w:val="45"/>
                    <w:adjustRightInd w:val="0"/>
                    <w:snapToGrid w:val="0"/>
                    <w:spacing w:line="240" w:lineRule="exact"/>
                    <w:ind w:left="105" w:leftChars="50"/>
                    <w:jc w:val="center"/>
                    <w:rPr>
                      <w:rFonts w:hint="default" w:ascii="Times New Roman" w:hAnsi="Times New Roman" w:eastAsia="宋体" w:cs="Times New Roman"/>
                      <w:snapToGrid w:val="0"/>
                      <w:color w:val="auto"/>
                      <w:sz w:val="18"/>
                      <w:szCs w:val="18"/>
                      <w:lang w:val="en-US"/>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65" w:type="pct"/>
                  <w:vMerge w:val="continue"/>
                  <w:noWrap w:val="0"/>
                  <w:vAlign w:val="center"/>
                </w:tcPr>
                <w:p>
                  <w:pPr>
                    <w:pStyle w:val="45"/>
                    <w:adjustRightInd w:val="0"/>
                    <w:snapToGrid w:val="0"/>
                    <w:spacing w:line="240" w:lineRule="exact"/>
                    <w:jc w:val="both"/>
                    <w:rPr>
                      <w:rFonts w:hint="default" w:ascii="Times New Roman" w:hAnsi="Times New Roman" w:eastAsia="宋体" w:cs="Times New Roman"/>
                      <w:snapToGrid w:val="0"/>
                      <w:color w:val="auto"/>
                      <w:sz w:val="18"/>
                      <w:szCs w:val="18"/>
                      <w:lang w:val="en-US"/>
                    </w:rPr>
                  </w:pPr>
                </w:p>
              </w:tc>
              <w:tc>
                <w:tcPr>
                  <w:tcW w:w="896" w:type="pct"/>
                  <w:shd w:val="clear" w:color="auto" w:fill="auto"/>
                  <w:noWrap w:val="0"/>
                  <w:vAlign w:val="center"/>
                </w:tcPr>
                <w:p>
                  <w:pPr>
                    <w:jc w:val="center"/>
                    <w:rPr>
                      <w:rFonts w:hint="default" w:ascii="Times New Roman" w:hAnsi="Times New Roman" w:eastAsia="宋体" w:cs="Times New Roman"/>
                      <w:color w:val="auto"/>
                      <w:kern w:val="2"/>
                      <w:sz w:val="18"/>
                      <w:szCs w:val="18"/>
                      <w:lang w:val="en-US" w:eastAsia="zh-CN" w:bidi="ar-SA"/>
                    </w:rPr>
                  </w:pPr>
                  <w:r>
                    <w:rPr>
                      <w:color w:val="auto"/>
                      <w:sz w:val="18"/>
                      <w:szCs w:val="18"/>
                    </w:rPr>
                    <w:t>废油桶</w:t>
                  </w:r>
                </w:p>
              </w:tc>
              <w:tc>
                <w:tcPr>
                  <w:tcW w:w="744" w:type="pct"/>
                  <w:shd w:val="clear" w:color="auto" w:fill="auto"/>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1.4</w:t>
                  </w:r>
                </w:p>
              </w:tc>
              <w:tc>
                <w:tcPr>
                  <w:tcW w:w="826" w:type="pct"/>
                  <w:noWrap w:val="0"/>
                  <w:vAlign w:val="center"/>
                </w:tcPr>
                <w:p>
                  <w:pPr>
                    <w:pStyle w:val="45"/>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snapToGrid w:val="0"/>
                      <w:color w:val="auto"/>
                      <w:sz w:val="18"/>
                      <w:szCs w:val="18"/>
                      <w:lang w:val="en-US" w:eastAsia="zh-CN"/>
                    </w:rPr>
                  </w:pPr>
                  <w:r>
                    <w:rPr>
                      <w:rFonts w:hint="eastAsia" w:ascii="Times New Roman" w:hAnsi="Times New Roman" w:cs="Times New Roman"/>
                      <w:snapToGrid w:val="0"/>
                      <w:color w:val="auto"/>
                      <w:sz w:val="18"/>
                      <w:szCs w:val="18"/>
                      <w:lang w:val="en-US" w:eastAsia="zh-CN"/>
                    </w:rPr>
                    <w:t>0</w:t>
                  </w:r>
                </w:p>
              </w:tc>
              <w:tc>
                <w:tcPr>
                  <w:tcW w:w="1467" w:type="pct"/>
                  <w:vMerge w:val="continue"/>
                  <w:noWrap w:val="0"/>
                  <w:vAlign w:val="center"/>
                </w:tcPr>
                <w:p>
                  <w:pPr>
                    <w:pStyle w:val="45"/>
                    <w:adjustRightInd w:val="0"/>
                    <w:snapToGrid w:val="0"/>
                    <w:spacing w:line="240" w:lineRule="exact"/>
                    <w:ind w:left="105" w:leftChars="50"/>
                    <w:jc w:val="center"/>
                    <w:rPr>
                      <w:rFonts w:hint="default" w:ascii="Times New Roman" w:hAnsi="Times New Roman" w:eastAsia="宋体" w:cs="Times New Roman"/>
                      <w:snapToGrid w:val="0"/>
                      <w:color w:val="auto"/>
                      <w:sz w:val="18"/>
                      <w:szCs w:val="18"/>
                      <w:lang w:val="en-US"/>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65" w:type="pct"/>
                  <w:vMerge w:val="continue"/>
                  <w:noWrap w:val="0"/>
                  <w:vAlign w:val="center"/>
                </w:tcPr>
                <w:p>
                  <w:pPr>
                    <w:pStyle w:val="45"/>
                    <w:adjustRightInd w:val="0"/>
                    <w:snapToGrid w:val="0"/>
                    <w:spacing w:line="240" w:lineRule="exact"/>
                    <w:jc w:val="both"/>
                    <w:rPr>
                      <w:rFonts w:hint="default" w:ascii="Times New Roman" w:hAnsi="Times New Roman" w:eastAsia="宋体" w:cs="Times New Roman"/>
                      <w:snapToGrid w:val="0"/>
                      <w:color w:val="auto"/>
                      <w:sz w:val="18"/>
                      <w:szCs w:val="18"/>
                      <w:lang w:val="en-US"/>
                    </w:rPr>
                  </w:pPr>
                </w:p>
              </w:tc>
              <w:tc>
                <w:tcPr>
                  <w:tcW w:w="896" w:type="pct"/>
                  <w:shd w:val="clear" w:color="auto" w:fill="auto"/>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废金属屑</w:t>
                  </w:r>
                </w:p>
              </w:tc>
              <w:tc>
                <w:tcPr>
                  <w:tcW w:w="744" w:type="pct"/>
                  <w:shd w:val="clear" w:color="auto" w:fill="auto"/>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7.72</w:t>
                  </w:r>
                </w:p>
              </w:tc>
              <w:tc>
                <w:tcPr>
                  <w:tcW w:w="826" w:type="pct"/>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snapToGrid w:val="0"/>
                      <w:color w:val="auto"/>
                      <w:sz w:val="18"/>
                      <w:szCs w:val="18"/>
                      <w:lang w:val="en-US" w:eastAsia="zh-CN"/>
                    </w:rPr>
                  </w:pPr>
                  <w:r>
                    <w:rPr>
                      <w:rFonts w:hint="eastAsia" w:ascii="Times New Roman" w:hAnsi="Times New Roman" w:cs="Times New Roman"/>
                      <w:snapToGrid w:val="0"/>
                      <w:color w:val="auto"/>
                      <w:sz w:val="18"/>
                      <w:szCs w:val="18"/>
                      <w:lang w:val="en-US" w:eastAsia="zh-CN"/>
                    </w:rPr>
                    <w:t>0</w:t>
                  </w:r>
                </w:p>
              </w:tc>
              <w:tc>
                <w:tcPr>
                  <w:tcW w:w="1467" w:type="pct"/>
                  <w:vMerge w:val="continue"/>
                  <w:noWrap w:val="0"/>
                  <w:vAlign w:val="center"/>
                </w:tcPr>
                <w:p>
                  <w:pPr>
                    <w:pStyle w:val="45"/>
                    <w:adjustRightInd w:val="0"/>
                    <w:snapToGrid w:val="0"/>
                    <w:spacing w:line="240" w:lineRule="exact"/>
                    <w:ind w:left="105" w:leftChars="50"/>
                    <w:jc w:val="center"/>
                    <w:rPr>
                      <w:rFonts w:hint="default" w:ascii="Times New Roman" w:hAnsi="Times New Roman" w:eastAsia="宋体" w:cs="Times New Roman"/>
                      <w:snapToGrid w:val="0"/>
                      <w:color w:val="auto"/>
                      <w:sz w:val="18"/>
                      <w:szCs w:val="18"/>
                      <w:lang w:val="en-US"/>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65" w:type="pct"/>
                  <w:vMerge w:val="continue"/>
                  <w:noWrap w:val="0"/>
                  <w:vAlign w:val="center"/>
                </w:tcPr>
                <w:p>
                  <w:pPr>
                    <w:pStyle w:val="45"/>
                    <w:adjustRightInd w:val="0"/>
                    <w:snapToGrid w:val="0"/>
                    <w:spacing w:line="240" w:lineRule="exact"/>
                    <w:jc w:val="both"/>
                    <w:rPr>
                      <w:rFonts w:hint="default" w:ascii="Times New Roman" w:hAnsi="Times New Roman" w:eastAsia="宋体" w:cs="Times New Roman"/>
                      <w:snapToGrid w:val="0"/>
                      <w:color w:val="auto"/>
                      <w:sz w:val="18"/>
                      <w:szCs w:val="18"/>
                      <w:lang w:val="en-US"/>
                    </w:rPr>
                  </w:pPr>
                </w:p>
              </w:tc>
              <w:tc>
                <w:tcPr>
                  <w:tcW w:w="896" w:type="pct"/>
                  <w:shd w:val="clear" w:color="auto" w:fill="auto"/>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废切削液</w:t>
                  </w:r>
                </w:p>
              </w:tc>
              <w:tc>
                <w:tcPr>
                  <w:tcW w:w="744" w:type="pct"/>
                  <w:shd w:val="clear" w:color="auto" w:fill="auto"/>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1.7</w:t>
                  </w:r>
                </w:p>
              </w:tc>
              <w:tc>
                <w:tcPr>
                  <w:tcW w:w="826" w:type="pct"/>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snapToGrid w:val="0"/>
                      <w:color w:val="auto"/>
                      <w:sz w:val="18"/>
                      <w:szCs w:val="18"/>
                      <w:lang w:val="en-US" w:eastAsia="zh-CN"/>
                    </w:rPr>
                  </w:pPr>
                  <w:r>
                    <w:rPr>
                      <w:rFonts w:hint="eastAsia" w:ascii="Times New Roman" w:hAnsi="Times New Roman" w:cs="Times New Roman"/>
                      <w:snapToGrid w:val="0"/>
                      <w:color w:val="auto"/>
                      <w:sz w:val="18"/>
                      <w:szCs w:val="18"/>
                      <w:lang w:val="en-US" w:eastAsia="zh-CN"/>
                    </w:rPr>
                    <w:t>0</w:t>
                  </w:r>
                </w:p>
              </w:tc>
              <w:tc>
                <w:tcPr>
                  <w:tcW w:w="1467" w:type="pct"/>
                  <w:vMerge w:val="continue"/>
                  <w:noWrap w:val="0"/>
                  <w:vAlign w:val="center"/>
                </w:tcPr>
                <w:p>
                  <w:pPr>
                    <w:pStyle w:val="45"/>
                    <w:adjustRightInd w:val="0"/>
                    <w:snapToGrid w:val="0"/>
                    <w:spacing w:line="240" w:lineRule="exact"/>
                    <w:ind w:left="105" w:leftChars="50"/>
                    <w:jc w:val="center"/>
                    <w:rPr>
                      <w:rFonts w:hint="default" w:ascii="Times New Roman" w:hAnsi="Times New Roman" w:eastAsia="宋体" w:cs="Times New Roman"/>
                      <w:snapToGrid w:val="0"/>
                      <w:color w:val="auto"/>
                      <w:sz w:val="18"/>
                      <w:szCs w:val="18"/>
                      <w:lang w:val="en-US"/>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65" w:type="pct"/>
                  <w:vMerge w:val="continue"/>
                  <w:noWrap w:val="0"/>
                  <w:vAlign w:val="center"/>
                </w:tcPr>
                <w:p>
                  <w:pPr>
                    <w:pStyle w:val="45"/>
                    <w:adjustRightInd w:val="0"/>
                    <w:snapToGrid w:val="0"/>
                    <w:spacing w:line="240" w:lineRule="exact"/>
                    <w:jc w:val="both"/>
                    <w:rPr>
                      <w:rFonts w:hint="default" w:ascii="Times New Roman" w:hAnsi="Times New Roman" w:eastAsia="宋体" w:cs="Times New Roman"/>
                      <w:snapToGrid w:val="0"/>
                      <w:color w:val="auto"/>
                      <w:sz w:val="18"/>
                      <w:szCs w:val="18"/>
                      <w:lang w:val="en-US"/>
                    </w:rPr>
                  </w:pPr>
                </w:p>
              </w:tc>
              <w:tc>
                <w:tcPr>
                  <w:tcW w:w="896"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废润滑油</w:t>
                  </w:r>
                </w:p>
              </w:tc>
              <w:tc>
                <w:tcPr>
                  <w:tcW w:w="744" w:type="pct"/>
                  <w:shd w:val="clear" w:color="auto" w:fill="auto"/>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0.01</w:t>
                  </w:r>
                </w:p>
              </w:tc>
              <w:tc>
                <w:tcPr>
                  <w:tcW w:w="826" w:type="pct"/>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snapToGrid w:val="0"/>
                      <w:color w:val="auto"/>
                      <w:sz w:val="18"/>
                      <w:szCs w:val="18"/>
                      <w:lang w:val="en-US" w:eastAsia="zh-CN"/>
                    </w:rPr>
                  </w:pPr>
                  <w:r>
                    <w:rPr>
                      <w:rFonts w:hint="eastAsia" w:ascii="Times New Roman" w:hAnsi="Times New Roman" w:cs="Times New Roman"/>
                      <w:snapToGrid w:val="0"/>
                      <w:color w:val="auto"/>
                      <w:sz w:val="18"/>
                      <w:szCs w:val="18"/>
                      <w:lang w:val="en-US" w:eastAsia="zh-CN"/>
                    </w:rPr>
                    <w:t>0</w:t>
                  </w:r>
                </w:p>
              </w:tc>
              <w:tc>
                <w:tcPr>
                  <w:tcW w:w="1467" w:type="pct"/>
                  <w:vMerge w:val="continue"/>
                  <w:noWrap w:val="0"/>
                  <w:vAlign w:val="center"/>
                </w:tcPr>
                <w:p>
                  <w:pPr>
                    <w:pStyle w:val="45"/>
                    <w:adjustRightInd w:val="0"/>
                    <w:snapToGrid w:val="0"/>
                    <w:spacing w:line="240" w:lineRule="exact"/>
                    <w:ind w:left="105" w:leftChars="50"/>
                    <w:jc w:val="center"/>
                    <w:rPr>
                      <w:rFonts w:hint="default" w:ascii="Times New Roman" w:hAnsi="Times New Roman" w:eastAsia="宋体" w:cs="Times New Roman"/>
                      <w:snapToGrid w:val="0"/>
                      <w:color w:val="auto"/>
                      <w:sz w:val="18"/>
                      <w:szCs w:val="18"/>
                      <w:lang w:val="en-US"/>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65" w:type="pct"/>
                  <w:vMerge w:val="continue"/>
                  <w:noWrap w:val="0"/>
                  <w:vAlign w:val="center"/>
                </w:tcPr>
                <w:p>
                  <w:pPr>
                    <w:pStyle w:val="45"/>
                    <w:adjustRightInd w:val="0"/>
                    <w:snapToGrid w:val="0"/>
                    <w:spacing w:line="240" w:lineRule="exact"/>
                    <w:jc w:val="both"/>
                    <w:rPr>
                      <w:rFonts w:hint="default" w:ascii="Times New Roman" w:hAnsi="Times New Roman" w:eastAsia="宋体" w:cs="Times New Roman"/>
                      <w:snapToGrid w:val="0"/>
                      <w:color w:val="auto"/>
                      <w:sz w:val="18"/>
                      <w:szCs w:val="18"/>
                      <w:lang w:val="en-US"/>
                    </w:rPr>
                  </w:pPr>
                </w:p>
              </w:tc>
              <w:tc>
                <w:tcPr>
                  <w:tcW w:w="896"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废乳化液</w:t>
                  </w:r>
                </w:p>
              </w:tc>
              <w:tc>
                <w:tcPr>
                  <w:tcW w:w="744" w:type="pct"/>
                  <w:shd w:val="clear" w:color="auto" w:fill="auto"/>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0.01</w:t>
                  </w:r>
                </w:p>
              </w:tc>
              <w:tc>
                <w:tcPr>
                  <w:tcW w:w="826" w:type="pct"/>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snapToGrid w:val="0"/>
                      <w:color w:val="auto"/>
                      <w:sz w:val="18"/>
                      <w:szCs w:val="18"/>
                      <w:lang w:val="en-US" w:eastAsia="zh-CN"/>
                    </w:rPr>
                  </w:pPr>
                  <w:r>
                    <w:rPr>
                      <w:rFonts w:hint="eastAsia" w:ascii="Times New Roman" w:hAnsi="Times New Roman" w:cs="Times New Roman"/>
                      <w:snapToGrid w:val="0"/>
                      <w:color w:val="auto"/>
                      <w:sz w:val="18"/>
                      <w:szCs w:val="18"/>
                      <w:lang w:val="en-US" w:eastAsia="zh-CN"/>
                    </w:rPr>
                    <w:t>0</w:t>
                  </w:r>
                </w:p>
              </w:tc>
              <w:tc>
                <w:tcPr>
                  <w:tcW w:w="1467" w:type="pct"/>
                  <w:vMerge w:val="continue"/>
                  <w:noWrap w:val="0"/>
                  <w:vAlign w:val="center"/>
                </w:tcPr>
                <w:p>
                  <w:pPr>
                    <w:pStyle w:val="45"/>
                    <w:adjustRightInd w:val="0"/>
                    <w:snapToGrid w:val="0"/>
                    <w:spacing w:line="240" w:lineRule="exact"/>
                    <w:ind w:left="105" w:leftChars="50"/>
                    <w:jc w:val="center"/>
                    <w:rPr>
                      <w:rFonts w:hint="default" w:ascii="Times New Roman" w:hAnsi="Times New Roman" w:eastAsia="宋体" w:cs="Times New Roman"/>
                      <w:snapToGrid w:val="0"/>
                      <w:color w:val="auto"/>
                      <w:sz w:val="18"/>
                      <w:szCs w:val="18"/>
                      <w:lang w:val="en-US"/>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65" w:type="pct"/>
                  <w:vMerge w:val="continue"/>
                  <w:noWrap w:val="0"/>
                  <w:vAlign w:val="center"/>
                </w:tcPr>
                <w:p>
                  <w:pPr>
                    <w:pStyle w:val="45"/>
                    <w:adjustRightInd w:val="0"/>
                    <w:snapToGrid w:val="0"/>
                    <w:spacing w:line="240" w:lineRule="exact"/>
                    <w:jc w:val="both"/>
                    <w:rPr>
                      <w:rFonts w:hint="default" w:ascii="Times New Roman" w:hAnsi="Times New Roman" w:eastAsia="宋体" w:cs="Times New Roman"/>
                      <w:snapToGrid w:val="0"/>
                      <w:color w:val="auto"/>
                      <w:sz w:val="18"/>
                      <w:szCs w:val="18"/>
                      <w:lang w:val="en-US"/>
                    </w:rPr>
                  </w:pPr>
                </w:p>
              </w:tc>
              <w:tc>
                <w:tcPr>
                  <w:tcW w:w="896"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废包装桶</w:t>
                  </w:r>
                </w:p>
              </w:tc>
              <w:tc>
                <w:tcPr>
                  <w:tcW w:w="744" w:type="pct"/>
                  <w:shd w:val="clear" w:color="auto" w:fill="auto"/>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0.2</w:t>
                  </w:r>
                </w:p>
              </w:tc>
              <w:tc>
                <w:tcPr>
                  <w:tcW w:w="826" w:type="pct"/>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cs="Times New Roman"/>
                      <w:snapToGrid w:val="0"/>
                      <w:color w:val="auto"/>
                      <w:sz w:val="18"/>
                      <w:szCs w:val="18"/>
                      <w:lang w:val="en-US" w:eastAsia="zh-CN"/>
                    </w:rPr>
                  </w:pPr>
                  <w:r>
                    <w:rPr>
                      <w:rFonts w:hint="eastAsia" w:ascii="Times New Roman" w:hAnsi="Times New Roman" w:cs="Times New Roman"/>
                      <w:snapToGrid w:val="0"/>
                      <w:color w:val="auto"/>
                      <w:sz w:val="18"/>
                      <w:szCs w:val="18"/>
                      <w:lang w:val="en-US" w:eastAsia="zh-CN"/>
                    </w:rPr>
                    <w:t>0</w:t>
                  </w:r>
                </w:p>
              </w:tc>
              <w:tc>
                <w:tcPr>
                  <w:tcW w:w="1467" w:type="pct"/>
                  <w:vMerge w:val="continue"/>
                  <w:noWrap w:val="0"/>
                  <w:vAlign w:val="center"/>
                </w:tcPr>
                <w:p>
                  <w:pPr>
                    <w:pStyle w:val="45"/>
                    <w:adjustRightInd w:val="0"/>
                    <w:snapToGrid w:val="0"/>
                    <w:spacing w:line="240" w:lineRule="exact"/>
                    <w:ind w:left="105" w:leftChars="50"/>
                    <w:jc w:val="center"/>
                    <w:rPr>
                      <w:rFonts w:hint="default" w:ascii="Times New Roman" w:hAnsi="Times New Roman" w:eastAsia="宋体" w:cs="Times New Roman"/>
                      <w:snapToGrid w:val="0"/>
                      <w:color w:val="auto"/>
                      <w:sz w:val="18"/>
                      <w:szCs w:val="18"/>
                      <w:lang w:val="en-US"/>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65" w:type="pct"/>
                  <w:vMerge w:val="continue"/>
                  <w:noWrap w:val="0"/>
                  <w:vAlign w:val="center"/>
                </w:tcPr>
                <w:p>
                  <w:pPr>
                    <w:pStyle w:val="45"/>
                    <w:adjustRightInd w:val="0"/>
                    <w:snapToGrid w:val="0"/>
                    <w:spacing w:line="240" w:lineRule="exact"/>
                    <w:jc w:val="both"/>
                    <w:rPr>
                      <w:rFonts w:hint="default" w:ascii="Times New Roman" w:hAnsi="Times New Roman" w:eastAsia="宋体" w:cs="Times New Roman"/>
                      <w:snapToGrid w:val="0"/>
                      <w:color w:val="auto"/>
                      <w:sz w:val="18"/>
                      <w:szCs w:val="18"/>
                      <w:lang w:val="en-US"/>
                    </w:rPr>
                  </w:pPr>
                </w:p>
              </w:tc>
              <w:tc>
                <w:tcPr>
                  <w:tcW w:w="896" w:type="pct"/>
                  <w:noWrap w:val="0"/>
                  <w:vAlign w:val="center"/>
                </w:tcPr>
                <w:p>
                  <w:pPr>
                    <w:pStyle w:val="45"/>
                    <w:adjustRightInd w:val="0"/>
                    <w:snapToGrid w:val="0"/>
                    <w:spacing w:line="240" w:lineRule="exact"/>
                    <w:ind w:left="105" w:leftChars="50"/>
                    <w:jc w:val="center"/>
                    <w:rPr>
                      <w:rFonts w:hint="default" w:ascii="Times New Roman" w:hAnsi="Times New Roman" w:eastAsia="宋体" w:cs="Times New Roman"/>
                      <w:snapToGrid w:val="0"/>
                      <w:color w:val="auto"/>
                      <w:sz w:val="18"/>
                      <w:szCs w:val="18"/>
                      <w:lang w:val="en-US"/>
                    </w:rPr>
                  </w:pPr>
                  <w:r>
                    <w:rPr>
                      <w:rFonts w:hint="default" w:ascii="Times New Roman" w:hAnsi="Times New Roman" w:eastAsia="宋体" w:cs="Times New Roman"/>
                      <w:snapToGrid w:val="0"/>
                      <w:color w:val="auto"/>
                      <w:sz w:val="18"/>
                      <w:szCs w:val="18"/>
                      <w:lang w:val="en-US"/>
                    </w:rPr>
                    <w:t>生活垃圾</w:t>
                  </w:r>
                </w:p>
              </w:tc>
              <w:tc>
                <w:tcPr>
                  <w:tcW w:w="744" w:type="pct"/>
                  <w:noWrap w:val="0"/>
                  <w:vAlign w:val="center"/>
                </w:tcPr>
                <w:p>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30</w:t>
                  </w:r>
                </w:p>
              </w:tc>
              <w:tc>
                <w:tcPr>
                  <w:tcW w:w="826" w:type="pct"/>
                  <w:noWrap w:val="0"/>
                  <w:vAlign w:val="center"/>
                </w:tcPr>
                <w:p>
                  <w:pPr>
                    <w:pStyle w:val="45"/>
                    <w:adjustRightInd w:val="0"/>
                    <w:snapToGrid w:val="0"/>
                    <w:spacing w:line="240" w:lineRule="exact"/>
                    <w:ind w:left="105" w:leftChars="50"/>
                    <w:jc w:val="center"/>
                    <w:rPr>
                      <w:rFonts w:hint="default" w:ascii="Times New Roman" w:hAnsi="Times New Roman" w:eastAsia="宋体" w:cs="Times New Roman"/>
                      <w:snapToGrid w:val="0"/>
                      <w:color w:val="auto"/>
                      <w:sz w:val="18"/>
                      <w:szCs w:val="18"/>
                      <w:lang w:val="en-US" w:eastAsia="zh-CN"/>
                    </w:rPr>
                  </w:pPr>
                  <w:r>
                    <w:rPr>
                      <w:rFonts w:hint="default" w:ascii="Times New Roman" w:hAnsi="Times New Roman" w:eastAsia="宋体" w:cs="Times New Roman"/>
                      <w:color w:val="auto"/>
                      <w:kern w:val="2"/>
                      <w:sz w:val="18"/>
                      <w:szCs w:val="18"/>
                      <w:lang w:val="en-US" w:eastAsia="zh-CN" w:bidi="ar-SA"/>
                    </w:rPr>
                    <w:t>34.8</w:t>
                  </w:r>
                </w:p>
              </w:tc>
              <w:tc>
                <w:tcPr>
                  <w:tcW w:w="1467" w:type="pct"/>
                  <w:noWrap w:val="0"/>
                  <w:vAlign w:val="center"/>
                </w:tcPr>
                <w:p>
                  <w:pPr>
                    <w:pStyle w:val="45"/>
                    <w:adjustRightInd w:val="0"/>
                    <w:snapToGrid w:val="0"/>
                    <w:spacing w:line="240" w:lineRule="exact"/>
                    <w:ind w:left="105" w:leftChars="50"/>
                    <w:jc w:val="center"/>
                    <w:rPr>
                      <w:rFonts w:hint="default" w:ascii="Times New Roman" w:hAnsi="Times New Roman" w:eastAsia="宋体" w:cs="Times New Roman"/>
                      <w:snapToGrid w:val="0"/>
                      <w:color w:val="auto"/>
                      <w:sz w:val="18"/>
                      <w:szCs w:val="18"/>
                      <w:lang w:val="en-US"/>
                    </w:rPr>
                  </w:pPr>
                  <w:r>
                    <w:rPr>
                      <w:rFonts w:hint="default" w:ascii="Times New Roman" w:hAnsi="Times New Roman" w:eastAsia="宋体" w:cs="Times New Roman"/>
                      <w:snapToGrid w:val="0"/>
                      <w:color w:val="auto"/>
                      <w:sz w:val="18"/>
                      <w:szCs w:val="18"/>
                      <w:lang w:val="en-US"/>
                    </w:rPr>
                    <w:t>委托环卫处置</w:t>
                  </w:r>
                </w:p>
              </w:tc>
            </w:tr>
          </w:tbl>
          <w:p>
            <w:pPr>
              <w:spacing w:line="360" w:lineRule="auto"/>
              <w:ind w:right="-21" w:rightChars="-10" w:firstLine="422" w:firstLineChars="200"/>
              <w:rPr>
                <w:rFonts w:hint="eastAsia" w:ascii="Times New Roman" w:hAnsi="Times New Roman" w:eastAsia="宋体" w:cs="Times New Roman"/>
                <w:b/>
                <w:szCs w:val="21"/>
                <w:lang w:val="en-US" w:eastAsia="zh-CN"/>
              </w:rPr>
            </w:pPr>
            <w:r>
              <w:rPr>
                <w:rFonts w:hint="eastAsia" w:ascii="Times New Roman" w:hAnsi="Times New Roman" w:eastAsia="宋体" w:cs="Times New Roman"/>
                <w:b/>
                <w:szCs w:val="21"/>
                <w:lang w:val="en-US" w:eastAsia="zh-CN"/>
              </w:rPr>
              <w:t>6、项目批建运相符性分析</w:t>
            </w:r>
          </w:p>
          <w:p>
            <w:pPr>
              <w:pStyle w:val="7"/>
              <w:spacing w:after="0" w:line="500" w:lineRule="exact"/>
              <w:jc w:val="center"/>
              <w:rPr>
                <w:rFonts w:hint="eastAsia"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表2-2</w:t>
            </w:r>
            <w:r>
              <w:rPr>
                <w:rFonts w:hint="eastAsia" w:ascii="Times New Roman" w:hAnsi="Times New Roman" w:cs="Times New Roman"/>
                <w:b/>
                <w:bCs/>
                <w:color w:val="auto"/>
                <w:kern w:val="2"/>
                <w:sz w:val="21"/>
                <w:szCs w:val="21"/>
                <w:highlight w:val="none"/>
                <w:lang w:val="en-US" w:eastAsia="zh-CN" w:bidi="ar-SA"/>
              </w:rPr>
              <w:t>6</w:t>
            </w:r>
            <w:r>
              <w:rPr>
                <w:rFonts w:hint="eastAsia" w:ascii="Times New Roman" w:hAnsi="Times New Roman" w:eastAsia="宋体" w:cs="Times New Roman"/>
                <w:b/>
                <w:bCs/>
                <w:color w:val="auto"/>
                <w:kern w:val="2"/>
                <w:sz w:val="21"/>
                <w:szCs w:val="21"/>
                <w:highlight w:val="none"/>
                <w:lang w:val="en-US" w:eastAsia="zh-CN" w:bidi="ar-SA"/>
              </w:rPr>
              <w:t xml:space="preserve"> 项目批建运相符性分析</w:t>
            </w:r>
          </w:p>
          <w:tbl>
            <w:tblPr>
              <w:tblStyle w:val="21"/>
              <w:tblW w:w="787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8"/>
              <w:gridCol w:w="3211"/>
              <w:gridCol w:w="39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708" w:type="dxa"/>
                  <w:noWrap w:val="0"/>
                  <w:vAlign w:val="center"/>
                </w:tcPr>
                <w:p>
                  <w:pPr>
                    <w:adjustRightInd w:val="0"/>
                    <w:snapToGrid w:val="0"/>
                    <w:jc w:val="center"/>
                    <w:rPr>
                      <w:color w:val="auto"/>
                      <w:sz w:val="18"/>
                      <w:szCs w:val="18"/>
                      <w:highlight w:val="none"/>
                    </w:rPr>
                  </w:pPr>
                  <w:r>
                    <w:rPr>
                      <w:rFonts w:hint="eastAsia"/>
                      <w:color w:val="auto"/>
                      <w:sz w:val="18"/>
                      <w:szCs w:val="18"/>
                      <w:highlight w:val="none"/>
                    </w:rPr>
                    <w:t>项目</w:t>
                  </w:r>
                </w:p>
              </w:tc>
              <w:tc>
                <w:tcPr>
                  <w:tcW w:w="3211" w:type="dxa"/>
                  <w:noWrap w:val="0"/>
                  <w:vAlign w:val="center"/>
                </w:tcPr>
                <w:p>
                  <w:pPr>
                    <w:adjustRightInd w:val="0"/>
                    <w:snapToGrid w:val="0"/>
                    <w:jc w:val="center"/>
                    <w:rPr>
                      <w:color w:val="auto"/>
                      <w:sz w:val="18"/>
                      <w:szCs w:val="18"/>
                      <w:highlight w:val="none"/>
                    </w:rPr>
                  </w:pPr>
                  <w:r>
                    <w:rPr>
                      <w:rFonts w:hint="eastAsia"/>
                      <w:color w:val="auto"/>
                      <w:sz w:val="18"/>
                      <w:szCs w:val="18"/>
                      <w:highlight w:val="none"/>
                    </w:rPr>
                    <w:t>环评审批意见要求</w:t>
                  </w:r>
                </w:p>
              </w:tc>
              <w:tc>
                <w:tcPr>
                  <w:tcW w:w="3960" w:type="dxa"/>
                  <w:noWrap w:val="0"/>
                  <w:vAlign w:val="center"/>
                </w:tcPr>
                <w:p>
                  <w:pPr>
                    <w:adjustRightInd w:val="0"/>
                    <w:snapToGrid w:val="0"/>
                    <w:jc w:val="center"/>
                    <w:rPr>
                      <w:color w:val="auto"/>
                      <w:sz w:val="18"/>
                      <w:szCs w:val="18"/>
                      <w:highlight w:val="none"/>
                    </w:rPr>
                  </w:pPr>
                  <w:r>
                    <w:rPr>
                      <w:rFonts w:hint="eastAsia"/>
                      <w:color w:val="auto"/>
                      <w:sz w:val="18"/>
                      <w:szCs w:val="18"/>
                      <w:highlight w:val="none"/>
                    </w:rPr>
                    <w:t>实际落实情况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708" w:type="dxa"/>
                  <w:noWrap w:val="0"/>
                  <w:vAlign w:val="center"/>
                </w:tcPr>
                <w:p>
                  <w:pPr>
                    <w:adjustRightInd w:val="0"/>
                    <w:snapToGrid w:val="0"/>
                    <w:jc w:val="center"/>
                    <w:rPr>
                      <w:color w:val="auto"/>
                      <w:sz w:val="18"/>
                      <w:szCs w:val="18"/>
                      <w:highlight w:val="none"/>
                    </w:rPr>
                  </w:pPr>
                  <w:r>
                    <w:rPr>
                      <w:rFonts w:hint="eastAsia"/>
                      <w:color w:val="auto"/>
                      <w:sz w:val="18"/>
                      <w:szCs w:val="18"/>
                      <w:highlight w:val="none"/>
                    </w:rPr>
                    <w:t>废水</w:t>
                  </w:r>
                </w:p>
              </w:tc>
              <w:tc>
                <w:tcPr>
                  <w:tcW w:w="3211" w:type="dxa"/>
                  <w:noWrap w:val="0"/>
                  <w:vAlign w:val="center"/>
                </w:tcPr>
                <w:p>
                  <w:pPr>
                    <w:wordWrap w:val="0"/>
                    <w:adjustRightInd w:val="0"/>
                    <w:snapToGrid w:val="0"/>
                    <w:rPr>
                      <w:rFonts w:hint="eastAsia" w:ascii="Times New Roman" w:hAnsi="Times New Roman" w:eastAsia="宋体" w:cs="Times New Roman"/>
                      <w:color w:val="auto"/>
                      <w:sz w:val="18"/>
                      <w:szCs w:val="18"/>
                      <w:highlight w:val="none"/>
                      <w:lang w:eastAsia="zh-CN"/>
                    </w:rPr>
                  </w:pPr>
                  <w:r>
                    <w:rPr>
                      <w:rFonts w:hint="eastAsia" w:ascii="Times New Roman" w:hAnsi="Times New Roman" w:eastAsia="宋体" w:cs="Times New Roman"/>
                      <w:color w:val="auto"/>
                      <w:sz w:val="18"/>
                      <w:szCs w:val="18"/>
                      <w:highlight w:val="none"/>
                    </w:rPr>
                    <w:t>废水污染防治</w:t>
                  </w:r>
                  <w:r>
                    <w:rPr>
                      <w:rFonts w:hint="eastAsia" w:ascii="Times New Roman" w:hAnsi="Times New Roman" w:eastAsia="宋体" w:cs="Times New Roman"/>
                      <w:color w:val="auto"/>
                      <w:sz w:val="18"/>
                      <w:szCs w:val="18"/>
                      <w:highlight w:val="none"/>
                      <w:lang w:eastAsia="zh-CN"/>
                    </w:rPr>
                    <w:t>：</w:t>
                  </w:r>
                  <w:r>
                    <w:rPr>
                      <w:rFonts w:hint="eastAsia" w:ascii="Times New Roman" w:hAnsi="Times New Roman" w:eastAsia="宋体" w:cs="Times New Roman"/>
                      <w:color w:val="auto"/>
                      <w:sz w:val="18"/>
                      <w:szCs w:val="18"/>
                      <w:highlight w:val="none"/>
                    </w:rPr>
                    <w:t>实行雨污分流。废水治理。地面冲洗水与生活污水必须经过处理达到《污水综合排放标准》(GB8978-1996)表4中一级标准后排入如皋港引河。污水管网接通后，达到三级标准排入如皋港污水处理厂处理。</w:t>
                  </w:r>
                </w:p>
              </w:tc>
              <w:tc>
                <w:tcPr>
                  <w:tcW w:w="3960" w:type="dxa"/>
                  <w:noWrap w:val="0"/>
                  <w:vAlign w:val="center"/>
                </w:tcPr>
                <w:p>
                  <w:pPr>
                    <w:wordWrap w:val="0"/>
                    <w:adjustRightInd w:val="0"/>
                    <w:snapToGrid w:val="0"/>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项目废</w:t>
                  </w:r>
                  <w:r>
                    <w:rPr>
                      <w:rFonts w:hint="eastAsia" w:ascii="Times New Roman" w:hAnsi="Times New Roman" w:eastAsia="宋体" w:cs="Times New Roman"/>
                      <w:color w:val="auto"/>
                      <w:sz w:val="18"/>
                      <w:szCs w:val="18"/>
                      <w:highlight w:val="none"/>
                      <w:lang w:eastAsia="zh-CN"/>
                    </w:rPr>
                    <w:t>水</w:t>
                  </w:r>
                  <w:r>
                    <w:rPr>
                      <w:rFonts w:hint="eastAsia" w:ascii="Times New Roman" w:hAnsi="Times New Roman" w:eastAsia="宋体" w:cs="Times New Roman"/>
                      <w:color w:val="auto"/>
                      <w:sz w:val="18"/>
                      <w:szCs w:val="18"/>
                      <w:highlight w:val="none"/>
                    </w:rPr>
                    <w:t>实行雨污分流，地面冲洗水与生活污水预处理接管</w:t>
                  </w:r>
                  <w:r>
                    <w:rPr>
                      <w:rFonts w:hint="eastAsia" w:ascii="Times New Roman" w:hAnsi="Times New Roman" w:eastAsia="宋体" w:cs="Times New Roman"/>
                      <w:color w:val="auto"/>
                      <w:sz w:val="18"/>
                      <w:szCs w:val="18"/>
                      <w:highlight w:val="none"/>
                      <w:lang w:eastAsia="zh-CN"/>
                    </w:rPr>
                    <w:t>至如皋市富港水处理有限公司</w:t>
                  </w:r>
                  <w:r>
                    <w:rPr>
                      <w:rFonts w:hint="eastAsia" w:ascii="Times New Roman" w:hAnsi="Times New Roman" w:eastAsia="宋体" w:cs="Times New Roman"/>
                      <w:color w:val="auto"/>
                      <w:sz w:val="18"/>
                      <w:szCs w:val="18"/>
                      <w:highlight w:val="none"/>
                    </w:rPr>
                    <w:t>处理达标后排放</w:t>
                  </w:r>
                  <w:r>
                    <w:rPr>
                      <w:rFonts w:hint="eastAsia" w:ascii="Times New Roman" w:hAnsi="Times New Roman" w:eastAsia="宋体" w:cs="Times New Roman"/>
                      <w:color w:val="auto"/>
                      <w:sz w:val="18"/>
                      <w:szCs w:val="18"/>
                      <w:highlight w:val="none"/>
                      <w:lang w:eastAsia="zh-CN"/>
                    </w:rPr>
                    <w:t>，污水</w:t>
                  </w:r>
                  <w:r>
                    <w:rPr>
                      <w:rFonts w:hint="eastAsia" w:ascii="Times New Roman" w:hAnsi="Times New Roman" w:eastAsia="宋体" w:cs="Times New Roman"/>
                      <w:color w:val="auto"/>
                      <w:sz w:val="18"/>
                      <w:szCs w:val="18"/>
                      <w:highlight w:val="none"/>
                    </w:rPr>
                    <w:t>限值满足《污水综合排放标准》(GB8978-1996)表4中的三级标准</w:t>
                  </w:r>
                  <w:r>
                    <w:rPr>
                      <w:rFonts w:hint="eastAsia" w:ascii="Times New Roman" w:hAnsi="Times New Roman" w:eastAsia="宋体" w:cs="Times New Roman"/>
                      <w:color w:val="auto"/>
                      <w:sz w:val="18"/>
                      <w:szCs w:val="18"/>
                      <w:highlight w:val="none"/>
                      <w:lang w:eastAsia="zh-CN"/>
                    </w:rPr>
                    <w:t>、</w:t>
                  </w:r>
                  <w:r>
                    <w:rPr>
                      <w:rFonts w:hint="eastAsia" w:ascii="Times New Roman" w:hAnsi="Times New Roman" w:eastAsia="宋体" w:cs="Times New Roman"/>
                      <w:color w:val="auto"/>
                      <w:sz w:val="18"/>
                      <w:szCs w:val="18"/>
                      <w:highlight w:val="none"/>
                    </w:rPr>
                    <w:t>《污水排入城镇下水道水质标准》(GB/T31962-2015)表1中B级标准和污水处理厂接管要求。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3" w:hRule="atLeast"/>
                <w:jc w:val="center"/>
              </w:trPr>
              <w:tc>
                <w:tcPr>
                  <w:tcW w:w="708" w:type="dxa"/>
                  <w:noWrap w:val="0"/>
                  <w:vAlign w:val="center"/>
                </w:tcPr>
                <w:p>
                  <w:pPr>
                    <w:adjustRightInd w:val="0"/>
                    <w:snapToGrid w:val="0"/>
                    <w:jc w:val="center"/>
                    <w:rPr>
                      <w:color w:val="auto"/>
                      <w:sz w:val="18"/>
                      <w:szCs w:val="18"/>
                      <w:highlight w:val="none"/>
                    </w:rPr>
                  </w:pPr>
                  <w:r>
                    <w:rPr>
                      <w:rFonts w:hint="eastAsia"/>
                      <w:color w:val="auto"/>
                      <w:sz w:val="18"/>
                      <w:szCs w:val="18"/>
                      <w:highlight w:val="none"/>
                    </w:rPr>
                    <w:t>废气</w:t>
                  </w:r>
                </w:p>
              </w:tc>
              <w:tc>
                <w:tcPr>
                  <w:tcW w:w="3211" w:type="dxa"/>
                  <w:noWrap w:val="0"/>
                  <w:vAlign w:val="top"/>
                </w:tcPr>
                <w:p>
                  <w:pPr>
                    <w:numPr>
                      <w:ilvl w:val="0"/>
                      <w:numId w:val="0"/>
                    </w:numPr>
                    <w:wordWrap w:val="0"/>
                    <w:adjustRightInd w:val="0"/>
                    <w:snapToGrid w:val="0"/>
                    <w:rPr>
                      <w:rFonts w:hint="eastAsia" w:ascii="Times New Roman" w:hAnsi="Times New Roman" w:eastAsia="宋体" w:cs="Times New Roman"/>
                      <w:color w:val="auto"/>
                      <w:sz w:val="18"/>
                      <w:szCs w:val="18"/>
                      <w:highlight w:val="none"/>
                      <w:lang w:eastAsia="zh-CN"/>
                    </w:rPr>
                  </w:pPr>
                  <w:r>
                    <w:rPr>
                      <w:rFonts w:hint="eastAsia" w:ascii="Times New Roman" w:hAnsi="Times New Roman" w:eastAsia="宋体" w:cs="Times New Roman"/>
                      <w:color w:val="auto"/>
                      <w:sz w:val="18"/>
                      <w:szCs w:val="18"/>
                      <w:highlight w:val="none"/>
                    </w:rPr>
                    <w:t>废气污染防治</w:t>
                  </w:r>
                  <w:r>
                    <w:rPr>
                      <w:rFonts w:hint="eastAsia" w:ascii="Times New Roman" w:hAnsi="Times New Roman" w:eastAsia="宋体" w:cs="Times New Roman"/>
                      <w:color w:val="auto"/>
                      <w:sz w:val="18"/>
                      <w:szCs w:val="18"/>
                      <w:highlight w:val="none"/>
                      <w:lang w:eastAsia="zh-CN"/>
                    </w:rPr>
                    <w:t>：</w:t>
                  </w:r>
                </w:p>
                <w:p>
                  <w:pPr>
                    <w:numPr>
                      <w:ilvl w:val="0"/>
                      <w:numId w:val="0"/>
                    </w:numPr>
                    <w:wordWrap w:val="0"/>
                    <w:adjustRightInd w:val="0"/>
                    <w:snapToGrid w:val="0"/>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1)该项目须使用天然气等清洁能源作燃料。</w:t>
                  </w:r>
                </w:p>
                <w:p>
                  <w:pPr>
                    <w:wordWrap w:val="0"/>
                    <w:adjustRightInd w:val="0"/>
                    <w:snapToGrid w:val="0"/>
                    <w:rPr>
                      <w:rFonts w:hint="eastAsia" w:ascii="Times New Roman" w:hAnsi="Times New Roman" w:eastAsia="宋体" w:cs="Times New Roman"/>
                      <w:color w:val="auto"/>
                      <w:sz w:val="18"/>
                      <w:szCs w:val="18"/>
                      <w:highlight w:val="none"/>
                      <w:lang w:eastAsia="zh-CN"/>
                    </w:rPr>
                  </w:pPr>
                  <w:r>
                    <w:rPr>
                      <w:rFonts w:hint="eastAsia" w:ascii="Times New Roman" w:hAnsi="Times New Roman" w:eastAsia="宋体" w:cs="Times New Roman"/>
                      <w:color w:val="auto"/>
                      <w:sz w:val="18"/>
                      <w:szCs w:val="18"/>
                      <w:highlight w:val="none"/>
                    </w:rPr>
                    <w:t>2)加热炉、退火炉燃烧废气须达到《工业炉窑大气污染物排放标准》(GB9078-1996)表2、4中二类区标准，烟尘排气筒高度不低于30M，适当合并排气筒，减少排气筒数量</w:t>
                  </w:r>
                  <w:r>
                    <w:rPr>
                      <w:rFonts w:hint="eastAsia" w:ascii="Times New Roman" w:hAnsi="Times New Roman" w:eastAsia="宋体" w:cs="Times New Roman"/>
                      <w:color w:val="auto"/>
                      <w:sz w:val="18"/>
                      <w:szCs w:val="18"/>
                      <w:highlight w:val="none"/>
                      <w:lang w:eastAsia="zh-CN"/>
                    </w:rPr>
                    <w:t>。</w:t>
                  </w:r>
                </w:p>
                <w:p>
                  <w:pPr>
                    <w:wordWrap w:val="0"/>
                    <w:adjustRightInd w:val="0"/>
                    <w:snapToGrid w:val="0"/>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4)加强生产过程管理，减少废气的无组织排放。</w:t>
                  </w:r>
                </w:p>
                <w:p>
                  <w:pPr>
                    <w:wordWrap w:val="0"/>
                    <w:adjustRightInd w:val="0"/>
                    <w:snapToGrid w:val="0"/>
                    <w:rPr>
                      <w:rFonts w:hint="eastAsia" w:ascii="Times New Roman" w:hAnsi="Times New Roman" w:eastAsia="宋体" w:cs="Times New Roman"/>
                      <w:color w:val="auto"/>
                      <w:sz w:val="18"/>
                      <w:szCs w:val="18"/>
                      <w:highlight w:val="none"/>
                      <w:lang w:eastAsia="zh-CN"/>
                    </w:rPr>
                  </w:pPr>
                  <w:r>
                    <w:rPr>
                      <w:rFonts w:hint="eastAsia" w:ascii="Times New Roman" w:hAnsi="Times New Roman" w:eastAsia="宋体" w:cs="Times New Roman"/>
                      <w:color w:val="auto"/>
                      <w:sz w:val="18"/>
                      <w:szCs w:val="18"/>
                      <w:highlight w:val="none"/>
                    </w:rPr>
                    <w:t>5)该项目卫生防护距离为300米。</w:t>
                  </w:r>
                </w:p>
              </w:tc>
              <w:tc>
                <w:tcPr>
                  <w:tcW w:w="3960" w:type="dxa"/>
                  <w:noWrap w:val="0"/>
                  <w:vAlign w:val="top"/>
                </w:tcPr>
                <w:p>
                  <w:pPr>
                    <w:wordWrap w:val="0"/>
                    <w:adjustRightInd w:val="0"/>
                    <w:snapToGrid w:val="0"/>
                    <w:rPr>
                      <w:rFonts w:hint="eastAsia" w:ascii="Times New Roman" w:hAnsi="Times New Roman" w:eastAsia="宋体" w:cs="Times New Roman"/>
                      <w:color w:val="auto"/>
                      <w:sz w:val="18"/>
                      <w:szCs w:val="18"/>
                      <w:highlight w:val="none"/>
                      <w:lang w:eastAsia="zh-CN"/>
                    </w:rPr>
                  </w:pPr>
                  <w:r>
                    <w:rPr>
                      <w:rFonts w:hint="eastAsia" w:ascii="Times New Roman" w:hAnsi="Times New Roman" w:eastAsia="宋体" w:cs="Times New Roman"/>
                      <w:color w:val="auto"/>
                      <w:sz w:val="18"/>
                      <w:szCs w:val="18"/>
                      <w:highlight w:val="none"/>
                    </w:rPr>
                    <w:t>项目</w:t>
                  </w:r>
                  <w:r>
                    <w:rPr>
                      <w:rFonts w:hint="eastAsia" w:ascii="Times New Roman" w:hAnsi="Times New Roman" w:eastAsia="宋体" w:cs="Times New Roman"/>
                      <w:color w:val="auto"/>
                      <w:sz w:val="18"/>
                      <w:szCs w:val="18"/>
                      <w:highlight w:val="none"/>
                      <w:lang w:eastAsia="zh-CN"/>
                    </w:rPr>
                    <w:t>严格按照要求采取</w:t>
                  </w:r>
                  <w:r>
                    <w:rPr>
                      <w:rFonts w:hint="eastAsia" w:ascii="Times New Roman" w:hAnsi="Times New Roman" w:eastAsia="宋体" w:cs="Times New Roman"/>
                      <w:color w:val="auto"/>
                      <w:sz w:val="18"/>
                      <w:szCs w:val="18"/>
                      <w:highlight w:val="none"/>
                    </w:rPr>
                    <w:t>废气治理措施</w:t>
                  </w:r>
                  <w:r>
                    <w:rPr>
                      <w:rFonts w:hint="eastAsia" w:ascii="Times New Roman" w:hAnsi="Times New Roman" w:eastAsia="宋体" w:cs="Times New Roman"/>
                      <w:color w:val="auto"/>
                      <w:sz w:val="18"/>
                      <w:szCs w:val="18"/>
                      <w:highlight w:val="none"/>
                      <w:lang w:eastAsia="zh-CN"/>
                    </w:rPr>
                    <w:t>：</w:t>
                  </w:r>
                </w:p>
                <w:p>
                  <w:pPr>
                    <w:numPr>
                      <w:ilvl w:val="0"/>
                      <w:numId w:val="0"/>
                    </w:numPr>
                    <w:wordWrap w:val="0"/>
                    <w:adjustRightInd w:val="0"/>
                    <w:snapToGrid w:val="0"/>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1)</w:t>
                  </w:r>
                  <w:r>
                    <w:rPr>
                      <w:rFonts w:hint="eastAsia" w:ascii="Times New Roman" w:hAnsi="Times New Roman" w:eastAsia="宋体" w:cs="Times New Roman"/>
                      <w:color w:val="auto"/>
                      <w:sz w:val="18"/>
                      <w:szCs w:val="18"/>
                      <w:highlight w:val="none"/>
                      <w:lang w:eastAsia="zh-CN"/>
                    </w:rPr>
                    <w:t>现有</w:t>
                  </w:r>
                  <w:r>
                    <w:rPr>
                      <w:rFonts w:hint="eastAsia" w:ascii="Times New Roman" w:hAnsi="Times New Roman" w:eastAsia="宋体" w:cs="Times New Roman"/>
                      <w:color w:val="auto"/>
                      <w:sz w:val="18"/>
                      <w:szCs w:val="18"/>
                      <w:highlight w:val="none"/>
                    </w:rPr>
                    <w:t>项目使用天然气等清洁能源作燃料。</w:t>
                  </w:r>
                </w:p>
                <w:p>
                  <w:pPr>
                    <w:wordWrap w:val="0"/>
                    <w:adjustRightInd w:val="0"/>
                    <w:snapToGrid w:val="0"/>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rPr>
                    <w:t>2)燃烧废气须达</w:t>
                  </w:r>
                  <w:r>
                    <w:rPr>
                      <w:rFonts w:hint="eastAsia" w:ascii="Times New Roman" w:hAnsi="Times New Roman" w:eastAsia="宋体" w:cs="Times New Roman"/>
                      <w:color w:val="auto"/>
                      <w:sz w:val="18"/>
                      <w:szCs w:val="18"/>
                      <w:highlight w:val="none"/>
                      <w:lang w:eastAsia="zh-CN"/>
                    </w:rPr>
                    <w:t>到</w:t>
                  </w:r>
                  <w:r>
                    <w:rPr>
                      <w:rFonts w:hint="eastAsia" w:ascii="Times New Roman" w:hAnsi="Times New Roman" w:eastAsia="宋体" w:cs="Times New Roman"/>
                      <w:color w:val="auto"/>
                      <w:sz w:val="18"/>
                      <w:szCs w:val="18"/>
                      <w:highlight w:val="none"/>
                      <w:lang w:val="en-US" w:eastAsia="zh-CN"/>
                    </w:rPr>
                    <w:t>《工业炉窑大气污染物排放标准》（DB32/3728—2020）</w:t>
                  </w:r>
                  <w:r>
                    <w:rPr>
                      <w:rFonts w:hint="eastAsia" w:ascii="Times New Roman" w:hAnsi="Times New Roman" w:eastAsia="宋体" w:cs="Times New Roman"/>
                      <w:color w:val="auto"/>
                      <w:sz w:val="18"/>
                      <w:szCs w:val="18"/>
                      <w:highlight w:val="none"/>
                      <w:lang w:eastAsia="zh-CN"/>
                    </w:rPr>
                    <w:t>表</w:t>
                  </w:r>
                  <w:r>
                    <w:rPr>
                      <w:rFonts w:hint="eastAsia" w:ascii="Times New Roman" w:hAnsi="Times New Roman" w:eastAsia="宋体" w:cs="Times New Roman"/>
                      <w:color w:val="auto"/>
                      <w:sz w:val="18"/>
                      <w:szCs w:val="18"/>
                      <w:highlight w:val="none"/>
                      <w:lang w:val="en-US" w:eastAsia="zh-CN"/>
                    </w:rPr>
                    <w:t>1</w:t>
                  </w:r>
                  <w:r>
                    <w:rPr>
                      <w:rFonts w:hint="eastAsia" w:ascii="Times New Roman" w:hAnsi="Times New Roman" w:eastAsia="宋体" w:cs="Times New Roman"/>
                      <w:color w:val="auto"/>
                      <w:sz w:val="18"/>
                      <w:szCs w:val="18"/>
                      <w:highlight w:val="none"/>
                      <w:lang w:eastAsia="zh-CN"/>
                    </w:rPr>
                    <w:t>中标准，现排气筒高度比周围半径</w:t>
                  </w:r>
                  <w:r>
                    <w:rPr>
                      <w:rFonts w:hint="eastAsia" w:ascii="Times New Roman" w:hAnsi="Times New Roman" w:eastAsia="宋体" w:cs="Times New Roman"/>
                      <w:color w:val="auto"/>
                      <w:sz w:val="18"/>
                      <w:szCs w:val="18"/>
                      <w:highlight w:val="none"/>
                      <w:lang w:val="en-US" w:eastAsia="zh-CN"/>
                    </w:rPr>
                    <w:t>200m距离内建筑物高3m。</w:t>
                  </w:r>
                </w:p>
                <w:p>
                  <w:pPr>
                    <w:wordWrap w:val="0"/>
                    <w:adjustRightInd w:val="0"/>
                    <w:snapToGrid w:val="0"/>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现有排放污染物（如二氧化硫、氮氧化物）的速率未超过《制定地方大气污染物排放标准的技术方法》规定的临界值（二氧化硫≤14kg/h、氮氧化物≤9kg/h），则无需强制要求30米高度。</w:t>
                  </w:r>
                </w:p>
                <w:p>
                  <w:pPr>
                    <w:wordWrap w:val="0"/>
                    <w:adjustRightInd w:val="0"/>
                    <w:snapToGrid w:val="0"/>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4)</w:t>
                  </w:r>
                  <w:r>
                    <w:rPr>
                      <w:rFonts w:hint="eastAsia" w:ascii="Times New Roman" w:hAnsi="Times New Roman" w:eastAsia="宋体" w:cs="Times New Roman"/>
                      <w:color w:val="auto"/>
                      <w:sz w:val="18"/>
                      <w:szCs w:val="18"/>
                      <w:highlight w:val="none"/>
                      <w:lang w:eastAsia="zh-CN"/>
                    </w:rPr>
                    <w:t>已</w:t>
                  </w:r>
                  <w:r>
                    <w:rPr>
                      <w:rFonts w:hint="eastAsia" w:ascii="Times New Roman" w:hAnsi="Times New Roman" w:eastAsia="宋体" w:cs="Times New Roman"/>
                      <w:color w:val="auto"/>
                      <w:sz w:val="18"/>
                      <w:szCs w:val="18"/>
                      <w:highlight w:val="none"/>
                    </w:rPr>
                    <w:t>加强</w:t>
                  </w:r>
                  <w:r>
                    <w:rPr>
                      <w:rFonts w:hint="eastAsia" w:ascii="Times New Roman" w:hAnsi="Times New Roman" w:eastAsia="宋体" w:cs="Times New Roman"/>
                      <w:color w:val="auto"/>
                      <w:sz w:val="18"/>
                      <w:szCs w:val="18"/>
                      <w:highlight w:val="none"/>
                      <w:lang w:eastAsia="zh-CN"/>
                    </w:rPr>
                    <w:t>全</w:t>
                  </w:r>
                  <w:r>
                    <w:rPr>
                      <w:rFonts w:hint="eastAsia" w:ascii="Times New Roman" w:hAnsi="Times New Roman" w:eastAsia="宋体" w:cs="Times New Roman"/>
                      <w:color w:val="auto"/>
                      <w:sz w:val="18"/>
                      <w:szCs w:val="18"/>
                      <w:highlight w:val="none"/>
                    </w:rPr>
                    <w:t>过程管理，减少废气的无组织排放。</w:t>
                  </w:r>
                </w:p>
                <w:p>
                  <w:pPr>
                    <w:wordWrap w:val="0"/>
                    <w:adjustRightInd w:val="0"/>
                    <w:snapToGrid w:val="0"/>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5</w:t>
                  </w:r>
                  <w:r>
                    <w:rPr>
                      <w:rFonts w:hint="eastAsia" w:ascii="Times New Roman" w:hAnsi="Times New Roman" w:eastAsia="宋体" w:cs="Times New Roman"/>
                      <w:color w:val="auto"/>
                      <w:sz w:val="18"/>
                      <w:szCs w:val="18"/>
                      <w:highlight w:val="none"/>
                    </w:rPr>
                    <w:t>)</w:t>
                  </w:r>
                  <w:r>
                    <w:rPr>
                      <w:rFonts w:hint="eastAsia" w:ascii="Times New Roman" w:hAnsi="Times New Roman" w:eastAsia="宋体" w:cs="Times New Roman"/>
                      <w:color w:val="auto"/>
                      <w:sz w:val="18"/>
                      <w:szCs w:val="18"/>
                      <w:lang w:val="en-US" w:eastAsia="zh-CN"/>
                    </w:rPr>
                    <w:t>现在</w:t>
                  </w:r>
                  <w:r>
                    <w:rPr>
                      <w:rFonts w:hint="eastAsia" w:ascii="Times New Roman" w:hAnsi="Times New Roman" w:eastAsia="宋体" w:cs="Times New Roman"/>
                      <w:color w:val="auto"/>
                      <w:sz w:val="18"/>
                      <w:szCs w:val="18"/>
                      <w:lang w:eastAsia="zh-CN"/>
                    </w:rPr>
                    <w:t>生态环境管理中已不再作为强制要求</w:t>
                  </w:r>
                  <w:r>
                    <w:rPr>
                      <w:rFonts w:hint="eastAsia" w:ascii="Times New Roman" w:hAnsi="Times New Roman" w:eastAsia="宋体" w:cs="Times New Roman"/>
                      <w:color w:val="auto"/>
                      <w:sz w:val="18"/>
                      <w:szCs w:val="18"/>
                      <w:lang w:val="en-US" w:eastAsia="zh-CN"/>
                    </w:rPr>
                    <w:t>。</w:t>
                  </w:r>
                  <w:r>
                    <w:rPr>
                      <w:rFonts w:hint="eastAsia" w:ascii="Times New Roman" w:hAnsi="Times New Roman" w:eastAsia="宋体" w:cs="Times New Roman"/>
                      <w:color w:val="auto"/>
                      <w:sz w:val="18"/>
                      <w:szCs w:val="18"/>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708" w:type="dxa"/>
                  <w:noWrap w:val="0"/>
                  <w:vAlign w:val="center"/>
                </w:tcPr>
                <w:p>
                  <w:pPr>
                    <w:adjustRightInd w:val="0"/>
                    <w:snapToGrid w:val="0"/>
                    <w:jc w:val="center"/>
                    <w:rPr>
                      <w:color w:val="auto"/>
                      <w:sz w:val="18"/>
                      <w:szCs w:val="18"/>
                      <w:highlight w:val="none"/>
                    </w:rPr>
                  </w:pPr>
                  <w:r>
                    <w:rPr>
                      <w:rFonts w:hint="eastAsia"/>
                      <w:color w:val="auto"/>
                      <w:sz w:val="18"/>
                      <w:szCs w:val="18"/>
                      <w:highlight w:val="none"/>
                    </w:rPr>
                    <w:t>噪声</w:t>
                  </w:r>
                </w:p>
              </w:tc>
              <w:tc>
                <w:tcPr>
                  <w:tcW w:w="3211" w:type="dxa"/>
                  <w:noWrap w:val="0"/>
                  <w:vAlign w:val="top"/>
                </w:tcPr>
                <w:p>
                  <w:pPr>
                    <w:wordWrap w:val="0"/>
                    <w:adjustRightInd w:val="0"/>
                    <w:snapToGrid w:val="0"/>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噪声污染控制。合理布局，选用低噪音设备，采取隔音降噪措施，厂界噪声达到《工业企业厂界噪声排放标准》(GB12348-2008)中Ⅲ类标准;选用低振动设备，安装减振装置，并设置减振沟，锻造车间的振动须达到《城市区域环境振动标准》(GB10070-88)的相关标准;施工场界噪声执行《建筑施工场界噪声限值》(GB12523-90)中相关限值标准。</w:t>
                  </w:r>
                </w:p>
              </w:tc>
              <w:tc>
                <w:tcPr>
                  <w:tcW w:w="3960" w:type="dxa"/>
                  <w:noWrap w:val="0"/>
                  <w:vAlign w:val="top"/>
                </w:tcPr>
                <w:p>
                  <w:pPr>
                    <w:wordWrap w:val="0"/>
                    <w:adjustRightInd w:val="0"/>
                    <w:snapToGrid w:val="0"/>
                    <w:rPr>
                      <w:rFonts w:hint="eastAsia" w:ascii="Times New Roman" w:hAnsi="Times New Roman" w:eastAsia="宋体" w:cs="Times New Roman"/>
                      <w:color w:val="auto"/>
                      <w:sz w:val="18"/>
                      <w:szCs w:val="18"/>
                      <w:highlight w:val="none"/>
                      <w:lang w:eastAsia="zh-CN"/>
                    </w:rPr>
                  </w:pPr>
                  <w:r>
                    <w:rPr>
                      <w:rFonts w:hint="eastAsia" w:ascii="Times New Roman" w:hAnsi="Times New Roman" w:eastAsia="宋体" w:cs="Times New Roman"/>
                      <w:color w:val="auto"/>
                      <w:sz w:val="18"/>
                      <w:szCs w:val="18"/>
                      <w:highlight w:val="none"/>
                    </w:rPr>
                    <w:t>本项目采用隔声、减震、车间安装隔声材料、厂区加强绿化建设等措施降低噪声。验收期间检测结果显示，厂界噪声</w:t>
                  </w:r>
                  <w:r>
                    <w:rPr>
                      <w:rFonts w:hint="eastAsia" w:ascii="Times New Roman" w:hAnsi="Times New Roman" w:eastAsia="宋体" w:cs="Times New Roman"/>
                      <w:color w:val="auto"/>
                      <w:sz w:val="18"/>
                      <w:szCs w:val="18"/>
                      <w:highlight w:val="none"/>
                      <w:lang w:eastAsia="zh-CN"/>
                    </w:rPr>
                    <w:t>达到</w:t>
                  </w:r>
                  <w:r>
                    <w:rPr>
                      <w:rFonts w:hint="eastAsia" w:ascii="Times New Roman" w:hAnsi="Times New Roman" w:eastAsia="宋体" w:cs="Times New Roman"/>
                      <w:color w:val="auto"/>
                      <w:sz w:val="18"/>
                      <w:szCs w:val="18"/>
                      <w:highlight w:val="none"/>
                    </w:rPr>
                    <w:t>《工业企业厂界环境噪声排放标准》(GB12348-2008)中</w:t>
                  </w:r>
                  <w:r>
                    <w:rPr>
                      <w:rFonts w:hint="eastAsia" w:ascii="Times New Roman" w:hAnsi="Times New Roman" w:eastAsia="宋体" w:cs="Times New Roman"/>
                      <w:color w:val="auto"/>
                      <w:sz w:val="18"/>
                      <w:szCs w:val="18"/>
                      <w:highlight w:val="none"/>
                      <w:lang w:val="en-US" w:eastAsia="zh-CN"/>
                    </w:rPr>
                    <w:t>2</w:t>
                  </w:r>
                  <w:r>
                    <w:rPr>
                      <w:rFonts w:hint="eastAsia" w:ascii="Times New Roman" w:hAnsi="Times New Roman" w:eastAsia="宋体" w:cs="Times New Roman"/>
                      <w:color w:val="auto"/>
                      <w:sz w:val="18"/>
                      <w:szCs w:val="18"/>
                      <w:highlight w:val="none"/>
                    </w:rPr>
                    <w:t>类、4类标准</w:t>
                  </w:r>
                  <w:r>
                    <w:rPr>
                      <w:rFonts w:hint="eastAsia" w:ascii="Times New Roman" w:hAnsi="Times New Roman" w:eastAsia="宋体" w:cs="Times New Roman"/>
                      <w:color w:val="auto"/>
                      <w:sz w:val="18"/>
                      <w:szCs w:val="18"/>
                      <w:highlight w:val="none"/>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84" w:hRule="atLeast"/>
                <w:jc w:val="center"/>
              </w:trPr>
              <w:tc>
                <w:tcPr>
                  <w:tcW w:w="708" w:type="dxa"/>
                  <w:noWrap w:val="0"/>
                  <w:vAlign w:val="center"/>
                </w:tcPr>
                <w:p>
                  <w:pPr>
                    <w:adjustRightInd w:val="0"/>
                    <w:snapToGrid w:val="0"/>
                    <w:jc w:val="center"/>
                    <w:rPr>
                      <w:color w:val="auto"/>
                      <w:sz w:val="18"/>
                      <w:szCs w:val="18"/>
                      <w:highlight w:val="none"/>
                    </w:rPr>
                  </w:pPr>
                  <w:r>
                    <w:rPr>
                      <w:rFonts w:hint="eastAsia"/>
                      <w:color w:val="auto"/>
                      <w:sz w:val="18"/>
                      <w:szCs w:val="18"/>
                      <w:highlight w:val="none"/>
                    </w:rPr>
                    <w:t>固废</w:t>
                  </w:r>
                </w:p>
              </w:tc>
              <w:tc>
                <w:tcPr>
                  <w:tcW w:w="3211" w:type="dxa"/>
                  <w:noWrap w:val="0"/>
                  <w:vAlign w:val="top"/>
                </w:tcPr>
                <w:p>
                  <w:pPr>
                    <w:wordWrap w:val="0"/>
                    <w:adjustRightInd w:val="0"/>
                    <w:snapToGrid w:val="0"/>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4、固废处理。生产过程中产生的边角料、沉淀池沉渣、氧化铁皮等出售综合利用。</w:t>
                  </w:r>
                </w:p>
              </w:tc>
              <w:tc>
                <w:tcPr>
                  <w:tcW w:w="3960" w:type="dxa"/>
                  <w:noWrap w:val="0"/>
                  <w:vAlign w:val="top"/>
                </w:tcPr>
                <w:p>
                  <w:pPr>
                    <w:wordWrap w:val="0"/>
                    <w:adjustRightInd w:val="0"/>
                    <w:snapToGrid w:val="0"/>
                    <w:rPr>
                      <w:rFonts w:hint="eastAsia" w:ascii="Times New Roman" w:hAnsi="Times New Roman" w:eastAsia="宋体" w:cs="Times New Roman"/>
                      <w:color w:val="auto"/>
                      <w:sz w:val="18"/>
                      <w:szCs w:val="18"/>
                      <w:highlight w:val="none"/>
                      <w:lang w:eastAsia="zh-CN"/>
                    </w:rPr>
                  </w:pPr>
                  <w:r>
                    <w:rPr>
                      <w:rFonts w:hint="eastAsia" w:ascii="Times New Roman" w:hAnsi="Times New Roman" w:eastAsia="宋体" w:cs="Times New Roman"/>
                      <w:color w:val="auto"/>
                      <w:sz w:val="18"/>
                      <w:szCs w:val="18"/>
                      <w:highlight w:val="none"/>
                    </w:rPr>
                    <w:t>本项目严格按照资源化、减量化、无害化”的处置原则，落实各类固废的收集、处置和综合利用措施，实现固体废物零排放。生活垃圾委托环卫部门清运。</w:t>
                  </w:r>
                </w:p>
              </w:tc>
            </w:tr>
          </w:tbl>
          <w:p>
            <w:pPr>
              <w:numPr>
                <w:ilvl w:val="0"/>
                <w:numId w:val="0"/>
              </w:numPr>
              <w:adjustRightInd w:val="0"/>
              <w:snapToGrid w:val="0"/>
              <w:spacing w:line="500" w:lineRule="exact"/>
              <w:ind w:firstLine="420" w:firstLineChars="200"/>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项目运行基本稳定，环保设施运行正常。</w:t>
            </w:r>
          </w:p>
          <w:p>
            <w:pPr>
              <w:spacing w:line="360" w:lineRule="auto"/>
              <w:ind w:right="-21" w:rightChars="-10" w:firstLine="422" w:firstLineChars="200"/>
              <w:rPr>
                <w:rFonts w:ascii="Times New Roman" w:hAnsi="Times New Roman"/>
                <w:b/>
                <w:szCs w:val="21"/>
              </w:rPr>
            </w:pPr>
            <w:r>
              <w:rPr>
                <w:rFonts w:hint="eastAsia"/>
                <w:b/>
                <w:szCs w:val="21"/>
                <w:lang w:val="en-US" w:eastAsia="zh-CN"/>
              </w:rPr>
              <w:t>7</w:t>
            </w:r>
            <w:r>
              <w:rPr>
                <w:rFonts w:ascii="Times New Roman" w:hAnsi="Times New Roman"/>
                <w:b/>
                <w:szCs w:val="21"/>
              </w:rPr>
              <w:t>、</w:t>
            </w:r>
            <w:r>
              <w:rPr>
                <w:rFonts w:hint="eastAsia" w:ascii="Times New Roman" w:hAnsi="Times New Roman" w:eastAsia="宋体" w:cs="Times New Roman"/>
                <w:b/>
                <w:szCs w:val="21"/>
              </w:rPr>
              <w:t>现有项目</w:t>
            </w:r>
            <w:r>
              <w:rPr>
                <w:rFonts w:ascii="Times New Roman" w:hAnsi="Times New Roman" w:eastAsia="宋体" w:cs="Times New Roman"/>
                <w:b/>
                <w:szCs w:val="21"/>
              </w:rPr>
              <w:t>主要</w:t>
            </w:r>
            <w:r>
              <w:rPr>
                <w:rFonts w:hint="eastAsia" w:ascii="Times New Roman" w:hAnsi="Times New Roman" w:eastAsia="宋体" w:cs="Times New Roman"/>
                <w:b/>
                <w:szCs w:val="21"/>
              </w:rPr>
              <w:t>环境</w:t>
            </w:r>
            <w:r>
              <w:rPr>
                <w:rFonts w:ascii="Times New Roman" w:hAnsi="Times New Roman" w:eastAsia="宋体" w:cs="Times New Roman"/>
                <w:b/>
                <w:szCs w:val="21"/>
              </w:rPr>
              <w:t>问题及以新带老措施</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both"/>
              <w:textAlignment w:val="auto"/>
              <w:rPr>
                <w:rFonts w:hint="default" w:ascii="Times New Roman" w:hAnsi="Times New Roman" w:eastAsia="宋体" w:cs="Times New Roman"/>
                <w:b/>
                <w:color w:val="auto"/>
                <w:highlight w:val="none"/>
                <w:lang w:val="zh-CN"/>
              </w:rPr>
            </w:pPr>
            <w:r>
              <w:rPr>
                <w:rFonts w:hint="default" w:ascii="Times New Roman" w:hAnsi="Times New Roman" w:eastAsia="宋体" w:cs="Times New Roman"/>
                <w:color w:val="auto"/>
                <w:highlight w:val="none"/>
              </w:rPr>
              <w:t>对照现有项目环评批复，项目已按环评及环评批复要求落实各项污染防治措施，且设施运行状况良好，运行期间各项污染物浓度达标排放，符合当地环保部门的管理要求。</w:t>
            </w:r>
          </w:p>
          <w:p>
            <w:pPr>
              <w:pStyle w:val="6"/>
              <w:spacing w:line="500" w:lineRule="exact"/>
              <w:ind w:firstLine="420" w:firstLineChars="200"/>
              <w:rPr>
                <w:rFonts w:hint="eastAsia" w:ascii="Times New Roman" w:hAnsi="Times New Roman" w:eastAsia="宋体" w:cs="Times New Roman"/>
                <w:color w:val="FF0000"/>
                <w:kern w:val="2"/>
                <w:sz w:val="21"/>
                <w:szCs w:val="24"/>
                <w:lang w:val="en-US" w:eastAsia="zh-CN" w:bidi="ar-SA"/>
              </w:rPr>
            </w:pPr>
            <w:r>
              <w:rPr>
                <w:rFonts w:hint="eastAsia" w:ascii="Times New Roman" w:hAnsi="Times New Roman" w:eastAsia="宋体" w:cs="Times New Roman"/>
                <w:color w:val="auto"/>
                <w:kern w:val="2"/>
                <w:sz w:val="21"/>
                <w:szCs w:val="24"/>
                <w:highlight w:val="none"/>
                <w:lang w:val="en-US" w:eastAsia="zh-CN" w:bidi="ar-SA"/>
              </w:rPr>
              <w:t>2025年6月关于群众举报的</w:t>
            </w:r>
            <w:r>
              <w:rPr>
                <w:rFonts w:hint="eastAsia"/>
                <w:color w:val="auto"/>
                <w:szCs w:val="21"/>
                <w:lang w:val="en-US" w:eastAsia="zh-CN"/>
              </w:rPr>
              <w:t>高端风电主轴及零部件绿色化智能化升级改造扩产项目</w:t>
            </w:r>
            <w:r>
              <w:rPr>
                <w:rFonts w:hint="eastAsia" w:ascii="Times New Roman" w:hAnsi="Times New Roman" w:eastAsia="宋体" w:cs="Times New Roman"/>
                <w:color w:val="auto"/>
                <w:kern w:val="2"/>
                <w:sz w:val="21"/>
                <w:szCs w:val="24"/>
                <w:highlight w:val="none"/>
                <w:lang w:val="en-US" w:eastAsia="zh-CN" w:bidi="ar-SA"/>
              </w:rPr>
              <w:t>环保手续问题，根据2025年6月19日《南通市如皋生态环境局现场勘察笔录》文件：对现场对该单位拟升级改造项目建设区域进行核查，目前该单位仅对厂区锻造车间南侧的两套室式加热炉进行了拆除，原有场地进行了平整，地基已打好，现场检查时该处地块原安装设备已拆除，其余设备暂未变动。经认定该项目尚未投产使用，不属于未批先建情形。建设单位承诺，在本次评价取得环评批复之前不得开工建设。</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both"/>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项目主要问题及整改措施</w:t>
            </w:r>
            <w:r>
              <w:rPr>
                <w:rFonts w:hint="eastAsia" w:cs="Times New Roman"/>
                <w:color w:val="auto"/>
                <w:highlight w:val="none"/>
                <w:lang w:val="en-US" w:eastAsia="zh-CN"/>
              </w:rPr>
              <w:t>见表2-27。</w:t>
            </w:r>
          </w:p>
          <w:p>
            <w:pPr>
              <w:jc w:val="center"/>
              <w:rPr>
                <w:rFonts w:hAnsi="宋体"/>
                <w:color w:val="auto"/>
                <w:kern w:val="0"/>
                <w:szCs w:val="21"/>
              </w:rPr>
            </w:pPr>
            <w:r>
              <w:rPr>
                <w:rFonts w:hint="eastAsia" w:hAnsi="宋体"/>
                <w:b/>
                <w:color w:val="auto"/>
              </w:rPr>
              <w:t>表2-</w:t>
            </w:r>
            <w:r>
              <w:rPr>
                <w:rFonts w:hint="eastAsia" w:hAnsi="宋体"/>
                <w:b/>
                <w:color w:val="auto"/>
                <w:lang w:val="en-US" w:eastAsia="zh-CN"/>
              </w:rPr>
              <w:t>27</w:t>
            </w:r>
            <w:r>
              <w:rPr>
                <w:rFonts w:hAnsi="宋体"/>
                <w:b/>
                <w:color w:val="auto"/>
              </w:rPr>
              <w:t xml:space="preserve"> </w:t>
            </w:r>
            <w:r>
              <w:rPr>
                <w:rFonts w:hint="eastAsia"/>
                <w:b/>
                <w:color w:val="auto"/>
                <w:kern w:val="0"/>
              </w:rPr>
              <w:t>现有项目存在问题及整改措施一览表</w:t>
            </w:r>
          </w:p>
          <w:tbl>
            <w:tblPr>
              <w:tblStyle w:val="21"/>
              <w:tblW w:w="789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1"/>
              <w:gridCol w:w="3125"/>
              <w:gridCol w:w="40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hAnsi="宋体"/>
                      <w:b/>
                      <w:color w:val="auto"/>
                      <w:sz w:val="18"/>
                      <w:szCs w:val="18"/>
                    </w:rPr>
                  </w:pPr>
                  <w:r>
                    <w:rPr>
                      <w:rFonts w:hint="eastAsia" w:hAnsi="宋体"/>
                      <w:b/>
                      <w:color w:val="auto"/>
                      <w:sz w:val="18"/>
                      <w:szCs w:val="18"/>
                    </w:rPr>
                    <w:t>序号</w:t>
                  </w:r>
                </w:p>
              </w:tc>
              <w:tc>
                <w:tcPr>
                  <w:tcW w:w="31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hAnsi="宋体"/>
                      <w:b/>
                      <w:color w:val="auto"/>
                      <w:sz w:val="18"/>
                      <w:szCs w:val="18"/>
                    </w:rPr>
                  </w:pPr>
                  <w:r>
                    <w:rPr>
                      <w:rFonts w:hint="eastAsia" w:hAnsi="宋体"/>
                      <w:b/>
                      <w:color w:val="auto"/>
                      <w:sz w:val="18"/>
                      <w:szCs w:val="18"/>
                    </w:rPr>
                    <w:t>存在问题</w:t>
                  </w:r>
                </w:p>
              </w:tc>
              <w:tc>
                <w:tcPr>
                  <w:tcW w:w="40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hAnsi="宋体"/>
                      <w:b/>
                      <w:color w:val="auto"/>
                      <w:sz w:val="18"/>
                      <w:szCs w:val="18"/>
                    </w:rPr>
                  </w:pPr>
                  <w:r>
                    <w:rPr>
                      <w:rFonts w:hint="eastAsia" w:hAnsi="宋体"/>
                      <w:b/>
                      <w:color w:val="auto"/>
                      <w:sz w:val="18"/>
                      <w:szCs w:val="18"/>
                    </w:rPr>
                    <w:t>“以新带老”措施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7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hAnsi="宋体"/>
                      <w:color w:val="auto"/>
                      <w:sz w:val="18"/>
                      <w:szCs w:val="18"/>
                    </w:rPr>
                  </w:pPr>
                  <w:r>
                    <w:rPr>
                      <w:rFonts w:hint="eastAsia" w:hAnsi="宋体"/>
                      <w:color w:val="auto"/>
                      <w:sz w:val="18"/>
                      <w:szCs w:val="18"/>
                    </w:rPr>
                    <w:t>1</w:t>
                  </w:r>
                </w:p>
              </w:tc>
              <w:tc>
                <w:tcPr>
                  <w:tcW w:w="31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hAnsi="宋体"/>
                      <w:color w:val="auto"/>
                      <w:sz w:val="18"/>
                      <w:szCs w:val="18"/>
                    </w:rPr>
                  </w:pPr>
                  <w:r>
                    <w:rPr>
                      <w:color w:val="auto"/>
                      <w:sz w:val="18"/>
                      <w:szCs w:val="18"/>
                    </w:rPr>
                    <w:t>突发环境事件应急预案</w:t>
                  </w:r>
                  <w:r>
                    <w:rPr>
                      <w:rFonts w:hint="eastAsia"/>
                      <w:color w:val="auto"/>
                      <w:sz w:val="18"/>
                      <w:szCs w:val="18"/>
                      <w:lang w:eastAsia="zh-CN"/>
                    </w:rPr>
                    <w:t>暂未</w:t>
                  </w:r>
                  <w:r>
                    <w:rPr>
                      <w:color w:val="auto"/>
                      <w:sz w:val="18"/>
                      <w:szCs w:val="18"/>
                    </w:rPr>
                    <w:t>编制</w:t>
                  </w:r>
                  <w:r>
                    <w:rPr>
                      <w:rFonts w:hint="eastAsia"/>
                      <w:color w:val="auto"/>
                      <w:sz w:val="18"/>
                      <w:szCs w:val="18"/>
                      <w:lang w:eastAsia="zh-CN"/>
                    </w:rPr>
                    <w:t>，</w:t>
                  </w:r>
                  <w:r>
                    <w:rPr>
                      <w:rFonts w:hint="eastAsia" w:ascii="Times New Roman" w:hAnsi="Times New Roman" w:eastAsia="宋体" w:cs="Times New Roman"/>
                      <w:color w:val="auto"/>
                      <w:sz w:val="18"/>
                      <w:szCs w:val="18"/>
                      <w:highlight w:val="none"/>
                    </w:rPr>
                    <w:t>项目环境应急措施不到位</w:t>
                  </w:r>
                  <w:r>
                    <w:rPr>
                      <w:rFonts w:hint="eastAsia" w:ascii="Times New Roman" w:hAnsi="Times New Roman" w:eastAsia="宋体" w:cs="Times New Roman"/>
                      <w:color w:val="auto"/>
                      <w:sz w:val="18"/>
                      <w:szCs w:val="18"/>
                      <w:highlight w:val="none"/>
                      <w:lang w:eastAsia="zh-CN"/>
                    </w:rPr>
                    <w:t>。</w:t>
                  </w:r>
                </w:p>
              </w:tc>
              <w:tc>
                <w:tcPr>
                  <w:tcW w:w="4073" w:type="dxa"/>
                  <w:tcBorders>
                    <w:tl2br w:val="nil"/>
                    <w:tr2bl w:val="nil"/>
                  </w:tcBorders>
                  <w:noWrap w:val="0"/>
                  <w:vAlign w:val="center"/>
                </w:tcPr>
                <w:p>
                  <w:pPr>
                    <w:keepNext w:val="0"/>
                    <w:keepLines w:val="0"/>
                    <w:pageBreakBefore w:val="0"/>
                    <w:widowControl w:val="0"/>
                    <w:tabs>
                      <w:tab w:val="left" w:pos="277"/>
                      <w:tab w:val="left" w:pos="600"/>
                      <w:tab w:val="left" w:pos="780"/>
                      <w:tab w:val="left" w:pos="2517"/>
                    </w:tabs>
                    <w:kinsoku/>
                    <w:wordWrap/>
                    <w:overflowPunct/>
                    <w:topLinePunct w:val="0"/>
                    <w:autoSpaceDE/>
                    <w:autoSpaceDN/>
                    <w:bidi w:val="0"/>
                    <w:adjustRightInd w:val="0"/>
                    <w:snapToGrid w:val="0"/>
                    <w:spacing w:line="240" w:lineRule="auto"/>
                    <w:ind w:firstLine="0" w:firstLineChars="0"/>
                    <w:jc w:val="center"/>
                    <w:textAlignment w:val="auto"/>
                    <w:rPr>
                      <w:rFonts w:hint="eastAsia" w:hAnsi="宋体" w:eastAsia="宋体"/>
                      <w:color w:val="auto"/>
                      <w:kern w:val="0"/>
                      <w:sz w:val="18"/>
                      <w:szCs w:val="18"/>
                      <w:lang w:eastAsia="zh-CN"/>
                    </w:rPr>
                  </w:pPr>
                  <w:r>
                    <w:rPr>
                      <w:rFonts w:hint="eastAsia" w:hAnsi="宋体"/>
                      <w:color w:val="auto"/>
                      <w:kern w:val="0"/>
                      <w:sz w:val="18"/>
                      <w:szCs w:val="18"/>
                    </w:rPr>
                    <w:t>本次环评</w:t>
                  </w:r>
                  <w:r>
                    <w:rPr>
                      <w:rFonts w:hint="eastAsia" w:hAnsi="宋体"/>
                      <w:color w:val="auto"/>
                      <w:kern w:val="0"/>
                      <w:sz w:val="18"/>
                      <w:szCs w:val="18"/>
                      <w:lang w:eastAsia="zh-CN"/>
                    </w:rPr>
                    <w:t>后进行</w:t>
                  </w:r>
                  <w:r>
                    <w:rPr>
                      <w:color w:val="auto"/>
                      <w:sz w:val="18"/>
                      <w:szCs w:val="18"/>
                    </w:rPr>
                    <w:t>突发环境事件应急预案</w:t>
                  </w:r>
                  <w:r>
                    <w:rPr>
                      <w:rFonts w:hint="eastAsia"/>
                      <w:color w:val="auto"/>
                      <w:sz w:val="18"/>
                      <w:szCs w:val="18"/>
                      <w:lang w:eastAsia="zh-CN"/>
                    </w:rPr>
                    <w:t>备案，</w:t>
                  </w:r>
                  <w:r>
                    <w:rPr>
                      <w:rFonts w:hint="eastAsia" w:ascii="宋体" w:hAnsi="宋体" w:eastAsia="宋体" w:cs="宋体"/>
                      <w:color w:val="auto"/>
                      <w:sz w:val="18"/>
                      <w:szCs w:val="18"/>
                      <w:highlight w:val="none"/>
                      <w:lang w:val="en-US" w:eastAsia="zh-CN"/>
                    </w:rPr>
                    <w:t>并</w:t>
                  </w:r>
                  <w:r>
                    <w:rPr>
                      <w:rFonts w:hint="eastAsia"/>
                      <w:color w:val="auto"/>
                      <w:sz w:val="18"/>
                      <w:szCs w:val="18"/>
                      <w:highlight w:val="none"/>
                    </w:rPr>
                    <w:t>补充环境应急措施</w:t>
                  </w:r>
                  <w:r>
                    <w:rPr>
                      <w:rFonts w:hint="eastAsia" w:hAnsi="宋体"/>
                      <w:color w:val="auto"/>
                      <w:kern w:val="0"/>
                      <w:sz w:val="18"/>
                      <w:szCs w:val="18"/>
                      <w:lang w:eastAsia="zh-CN"/>
                    </w:rPr>
                    <w:t>、</w:t>
                  </w:r>
                  <w:r>
                    <w:rPr>
                      <w:rFonts w:hint="eastAsia" w:hAnsi="宋体"/>
                      <w:color w:val="auto"/>
                      <w:kern w:val="0"/>
                      <w:sz w:val="18"/>
                      <w:szCs w:val="18"/>
                      <w:lang w:val="en-US" w:eastAsia="zh-CN"/>
                    </w:rPr>
                    <w:t>应急物资，根据环境应急管理制度完善应急演练与培训</w:t>
                  </w:r>
                  <w:r>
                    <w:rPr>
                      <w:rFonts w:hint="eastAsia" w:hAnsi="宋体"/>
                      <w:color w:val="auto"/>
                      <w:kern w:val="0"/>
                      <w:sz w:val="18"/>
                      <w:szCs w:val="18"/>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7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hAnsi="宋体"/>
                      <w:color w:val="auto"/>
                      <w:sz w:val="18"/>
                      <w:szCs w:val="18"/>
                    </w:rPr>
                  </w:pPr>
                  <w:r>
                    <w:rPr>
                      <w:rFonts w:hint="eastAsia" w:hAnsi="宋体"/>
                      <w:color w:val="auto"/>
                      <w:sz w:val="18"/>
                      <w:szCs w:val="18"/>
                    </w:rPr>
                    <w:t>2</w:t>
                  </w:r>
                </w:p>
              </w:tc>
              <w:tc>
                <w:tcPr>
                  <w:tcW w:w="31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Ansi="宋体"/>
                      <w:color w:val="auto"/>
                      <w:sz w:val="18"/>
                      <w:szCs w:val="18"/>
                    </w:rPr>
                  </w:pPr>
                  <w:r>
                    <w:rPr>
                      <w:rFonts w:hint="eastAsia"/>
                      <w:color w:val="auto"/>
                      <w:sz w:val="18"/>
                      <w:szCs w:val="18"/>
                      <w:lang w:val="en-US" w:eastAsia="zh-CN"/>
                    </w:rPr>
                    <w:t>危废堆场有没有按要求建设、放置标识牌。</w:t>
                  </w:r>
                </w:p>
              </w:tc>
              <w:tc>
                <w:tcPr>
                  <w:tcW w:w="4073" w:type="dxa"/>
                  <w:tcBorders>
                    <w:tl2br w:val="nil"/>
                    <w:tr2bl w:val="nil"/>
                  </w:tcBorders>
                  <w:noWrap w:val="0"/>
                  <w:vAlign w:val="center"/>
                </w:tcPr>
                <w:p>
                  <w:pPr>
                    <w:keepNext w:val="0"/>
                    <w:keepLines w:val="0"/>
                    <w:pageBreakBefore w:val="0"/>
                    <w:widowControl w:val="0"/>
                    <w:tabs>
                      <w:tab w:val="left" w:pos="277"/>
                      <w:tab w:val="left" w:pos="600"/>
                      <w:tab w:val="left" w:pos="780"/>
                      <w:tab w:val="left" w:pos="2517"/>
                    </w:tabs>
                    <w:kinsoku/>
                    <w:wordWrap/>
                    <w:overflowPunct/>
                    <w:topLinePunct w:val="0"/>
                    <w:autoSpaceDE/>
                    <w:autoSpaceDN/>
                    <w:bidi w:val="0"/>
                    <w:adjustRightInd w:val="0"/>
                    <w:snapToGrid w:val="0"/>
                    <w:spacing w:line="240" w:lineRule="auto"/>
                    <w:ind w:firstLine="0" w:firstLineChars="0"/>
                    <w:jc w:val="center"/>
                    <w:textAlignment w:val="auto"/>
                    <w:rPr>
                      <w:rFonts w:hAnsi="宋体"/>
                      <w:color w:val="auto"/>
                      <w:kern w:val="0"/>
                      <w:sz w:val="18"/>
                      <w:szCs w:val="18"/>
                    </w:rPr>
                  </w:pPr>
                  <w:r>
                    <w:rPr>
                      <w:rFonts w:hint="eastAsia" w:ascii="宋体" w:hAnsi="宋体" w:eastAsia="宋体" w:cs="宋体"/>
                      <w:color w:val="auto"/>
                      <w:sz w:val="18"/>
                      <w:szCs w:val="18"/>
                      <w:highlight w:val="none"/>
                      <w:lang w:eastAsia="zh-CN"/>
                    </w:rPr>
                    <w:t>本次</w:t>
                  </w:r>
                  <w:r>
                    <w:rPr>
                      <w:rFonts w:hint="eastAsia" w:hAnsi="宋体"/>
                      <w:color w:val="auto"/>
                      <w:kern w:val="0"/>
                      <w:sz w:val="18"/>
                      <w:szCs w:val="18"/>
                      <w:lang w:eastAsia="zh-CN"/>
                    </w:rPr>
                    <w:t>环评</w:t>
                  </w:r>
                  <w:r>
                    <w:rPr>
                      <w:rFonts w:hint="eastAsia" w:ascii="宋体" w:hAnsi="宋体" w:eastAsia="宋体" w:cs="宋体"/>
                      <w:color w:val="auto"/>
                      <w:sz w:val="18"/>
                      <w:szCs w:val="18"/>
                      <w:highlight w:val="none"/>
                      <w:lang w:eastAsia="zh-CN"/>
                    </w:rPr>
                    <w:t>投产前对废气排气筒、废水排放口标识标牌进行补充更新。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7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Ansi="宋体"/>
                      <w:color w:val="auto"/>
                      <w:sz w:val="18"/>
                      <w:szCs w:val="18"/>
                    </w:rPr>
                  </w:pPr>
                  <w:r>
                    <w:rPr>
                      <w:rFonts w:hint="eastAsia" w:hAnsi="宋体"/>
                      <w:color w:val="auto"/>
                      <w:sz w:val="18"/>
                      <w:szCs w:val="18"/>
                    </w:rPr>
                    <w:t>3</w:t>
                  </w:r>
                </w:p>
              </w:tc>
              <w:tc>
                <w:tcPr>
                  <w:tcW w:w="31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hAnsi="宋体"/>
                      <w:color w:val="auto"/>
                      <w:sz w:val="18"/>
                      <w:szCs w:val="18"/>
                    </w:rPr>
                  </w:pPr>
                  <w:r>
                    <w:rPr>
                      <w:rFonts w:hint="eastAsia"/>
                      <w:color w:val="auto"/>
                      <w:sz w:val="18"/>
                      <w:szCs w:val="18"/>
                      <w:lang w:val="en-US" w:eastAsia="zh-CN"/>
                    </w:rPr>
                    <w:t>未按时开展例行监测</w:t>
                  </w:r>
                  <w:r>
                    <w:rPr>
                      <w:rFonts w:hint="eastAsia" w:ascii="Times New Roman" w:hAnsi="Times New Roman" w:eastAsia="宋体" w:cs="Times New Roman"/>
                      <w:color w:val="auto"/>
                      <w:sz w:val="18"/>
                      <w:szCs w:val="18"/>
                      <w:lang w:val="en-US" w:eastAsia="zh-CN"/>
                    </w:rPr>
                    <w:t>。</w:t>
                  </w:r>
                </w:p>
              </w:tc>
              <w:tc>
                <w:tcPr>
                  <w:tcW w:w="4073" w:type="dxa"/>
                  <w:tcBorders>
                    <w:tl2br w:val="nil"/>
                    <w:tr2bl w:val="nil"/>
                  </w:tcBorders>
                  <w:noWrap w:val="0"/>
                  <w:vAlign w:val="center"/>
                </w:tcPr>
                <w:p>
                  <w:pPr>
                    <w:keepNext w:val="0"/>
                    <w:keepLines w:val="0"/>
                    <w:pageBreakBefore w:val="0"/>
                    <w:widowControl w:val="0"/>
                    <w:tabs>
                      <w:tab w:val="left" w:pos="277"/>
                      <w:tab w:val="left" w:pos="600"/>
                      <w:tab w:val="left" w:pos="780"/>
                      <w:tab w:val="left" w:pos="2517"/>
                    </w:tabs>
                    <w:kinsoku/>
                    <w:wordWrap/>
                    <w:overflowPunct/>
                    <w:topLinePunct w:val="0"/>
                    <w:autoSpaceDE/>
                    <w:autoSpaceDN/>
                    <w:bidi w:val="0"/>
                    <w:adjustRightInd w:val="0"/>
                    <w:snapToGrid w:val="0"/>
                    <w:spacing w:line="240" w:lineRule="auto"/>
                    <w:ind w:firstLine="0" w:firstLineChars="0"/>
                    <w:jc w:val="center"/>
                    <w:textAlignment w:val="auto"/>
                    <w:rPr>
                      <w:rFonts w:hint="eastAsia" w:hAnsi="宋体"/>
                      <w:color w:val="auto"/>
                      <w:kern w:val="0"/>
                      <w:sz w:val="18"/>
                      <w:szCs w:val="18"/>
                    </w:rPr>
                  </w:pPr>
                  <w:r>
                    <w:rPr>
                      <w:rFonts w:hint="eastAsia" w:ascii="宋体" w:hAnsi="宋体" w:eastAsia="宋体" w:cs="宋体"/>
                      <w:color w:val="auto"/>
                      <w:sz w:val="18"/>
                      <w:szCs w:val="18"/>
                      <w:highlight w:val="none"/>
                      <w:lang w:eastAsia="zh-CN"/>
                    </w:rPr>
                    <w:t>本次</w:t>
                  </w:r>
                  <w:r>
                    <w:rPr>
                      <w:rFonts w:hint="eastAsia" w:hAnsi="宋体"/>
                      <w:color w:val="auto"/>
                      <w:kern w:val="0"/>
                      <w:sz w:val="18"/>
                      <w:szCs w:val="18"/>
                      <w:lang w:eastAsia="zh-CN"/>
                    </w:rPr>
                    <w:t>环评</w:t>
                  </w:r>
                  <w:r>
                    <w:rPr>
                      <w:rFonts w:hint="eastAsia" w:ascii="宋体" w:hAnsi="宋体" w:eastAsia="宋体" w:cs="宋体"/>
                      <w:color w:val="auto"/>
                      <w:sz w:val="18"/>
                      <w:szCs w:val="18"/>
                      <w:highlight w:val="none"/>
                      <w:lang w:eastAsia="zh-CN"/>
                    </w:rPr>
                    <w:t>后及时根据</w:t>
                  </w:r>
                  <w:r>
                    <w:rPr>
                      <w:rFonts w:hint="eastAsia"/>
                      <w:color w:val="auto"/>
                      <w:sz w:val="18"/>
                      <w:szCs w:val="18"/>
                      <w:vertAlign w:val="baseline"/>
                      <w:lang w:eastAsia="zh-CN"/>
                    </w:rPr>
                    <w:t>《排污许可证申请与核发技术规范 工业炉窑》</w:t>
                  </w:r>
                  <w:r>
                    <w:rPr>
                      <w:rFonts w:hint="eastAsia" w:ascii="Times New Roman" w:hAnsi="Times New Roman" w:eastAsia="宋体" w:cs="Times New Roman"/>
                      <w:color w:val="auto"/>
                      <w:sz w:val="18"/>
                      <w:szCs w:val="18"/>
                      <w:lang w:eastAsia="zh-CN"/>
                    </w:rPr>
                    <w:t>（HJ1121-2020）、</w:t>
                  </w:r>
                  <w:r>
                    <w:rPr>
                      <w:rFonts w:ascii="Times New Roman" w:hAnsi="Times New Roman"/>
                      <w:color w:val="auto"/>
                      <w:sz w:val="18"/>
                      <w:szCs w:val="18"/>
                    </w:rPr>
                    <w:t>《</w:t>
                  </w:r>
                  <w:r>
                    <w:rPr>
                      <w:rFonts w:hint="eastAsia" w:ascii="Times New Roman" w:hAnsi="Times New Roman"/>
                      <w:color w:val="auto"/>
                      <w:sz w:val="18"/>
                      <w:szCs w:val="18"/>
                    </w:rPr>
                    <w:t>排污单位</w:t>
                  </w:r>
                  <w:r>
                    <w:rPr>
                      <w:rFonts w:ascii="Times New Roman" w:hAnsi="Times New Roman"/>
                      <w:color w:val="auto"/>
                      <w:sz w:val="18"/>
                      <w:szCs w:val="18"/>
                    </w:rPr>
                    <w:t>自行监测技术指南</w:t>
                  </w:r>
                  <w:r>
                    <w:rPr>
                      <w:rFonts w:hint="eastAsia" w:ascii="Times New Roman" w:hAnsi="Times New Roman"/>
                      <w:color w:val="auto"/>
                      <w:sz w:val="18"/>
                      <w:szCs w:val="18"/>
                      <w:lang w:val="en-US" w:eastAsia="zh-CN"/>
                    </w:rPr>
                    <w:t xml:space="preserve"> 总则</w:t>
                  </w:r>
                  <w:r>
                    <w:rPr>
                      <w:rFonts w:ascii="Times New Roman" w:hAnsi="Times New Roman"/>
                      <w:color w:val="auto"/>
                      <w:sz w:val="18"/>
                      <w:szCs w:val="18"/>
                    </w:rPr>
                    <w:t>》</w:t>
                  </w:r>
                  <w:r>
                    <w:rPr>
                      <w:rFonts w:hint="eastAsia" w:ascii="Times New Roman" w:hAnsi="Times New Roman"/>
                      <w:color w:val="auto"/>
                      <w:sz w:val="18"/>
                      <w:szCs w:val="18"/>
                    </w:rPr>
                    <w:t>（HJ819-2017）</w:t>
                  </w:r>
                  <w:r>
                    <w:rPr>
                      <w:rFonts w:hint="eastAsia"/>
                      <w:color w:val="auto"/>
                      <w:sz w:val="18"/>
                      <w:szCs w:val="18"/>
                      <w:lang w:val="en-US" w:eastAsia="zh-CN"/>
                    </w:rPr>
                    <w:t>开展例行监测</w:t>
                  </w:r>
                  <w:r>
                    <w:rPr>
                      <w:rFonts w:hint="eastAsia" w:ascii="Times New Roman" w:hAnsi="Times New Roman" w:eastAsia="宋体" w:cs="Times New Roman"/>
                      <w:color w:val="auto"/>
                      <w:sz w:val="18"/>
                      <w:szCs w:val="18"/>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hAnsi="宋体"/>
                      <w:color w:val="auto"/>
                      <w:sz w:val="18"/>
                      <w:szCs w:val="18"/>
                    </w:rPr>
                  </w:pPr>
                  <w:r>
                    <w:rPr>
                      <w:rFonts w:hint="eastAsia" w:hAnsi="宋体"/>
                      <w:color w:val="auto"/>
                      <w:sz w:val="18"/>
                      <w:szCs w:val="18"/>
                    </w:rPr>
                    <w:t>4</w:t>
                  </w:r>
                </w:p>
              </w:tc>
              <w:tc>
                <w:tcPr>
                  <w:tcW w:w="31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hAnsi="宋体"/>
                      <w:color w:val="auto"/>
                      <w:sz w:val="18"/>
                      <w:szCs w:val="18"/>
                    </w:rPr>
                  </w:pPr>
                  <w:r>
                    <w:rPr>
                      <w:rFonts w:hint="eastAsia" w:hAnsi="宋体"/>
                      <w:color w:val="auto"/>
                      <w:sz w:val="18"/>
                      <w:szCs w:val="18"/>
                      <w:lang w:eastAsia="zh-CN"/>
                    </w:rPr>
                    <w:t>现有环评废气遗漏设备维修</w:t>
                  </w:r>
                  <w:r>
                    <w:rPr>
                      <w:rFonts w:hint="eastAsia" w:ascii="Times New Roman" w:hAnsi="Times New Roman" w:eastAsia="宋体" w:cs="Times New Roman"/>
                      <w:b w:val="0"/>
                      <w:bCs w:val="0"/>
                      <w:color w:val="auto"/>
                      <w:kern w:val="2"/>
                      <w:sz w:val="18"/>
                      <w:szCs w:val="18"/>
                      <w:lang w:val="en-US" w:eastAsia="zh-CN" w:bidi="ar-SA"/>
                    </w:rPr>
                    <w:t>切割粉尘、</w:t>
                  </w:r>
                  <w:r>
                    <w:rPr>
                      <w:rFonts w:hint="eastAsia" w:hAnsi="宋体"/>
                      <w:color w:val="auto"/>
                      <w:sz w:val="18"/>
                      <w:szCs w:val="18"/>
                      <w:lang w:eastAsia="zh-CN"/>
                    </w:rPr>
                    <w:t>机加工源强核算。</w:t>
                  </w:r>
                </w:p>
              </w:tc>
              <w:tc>
                <w:tcPr>
                  <w:tcW w:w="40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hAnsi="宋体"/>
                      <w:color w:val="auto"/>
                      <w:kern w:val="0"/>
                      <w:sz w:val="18"/>
                      <w:szCs w:val="18"/>
                    </w:rPr>
                  </w:pPr>
                  <w:r>
                    <w:rPr>
                      <w:rFonts w:hint="eastAsia" w:hAnsi="宋体"/>
                      <w:color w:val="auto"/>
                      <w:kern w:val="0"/>
                      <w:sz w:val="18"/>
                      <w:szCs w:val="18"/>
                      <w:lang w:eastAsia="zh-CN"/>
                    </w:rPr>
                    <w:t>本次环评补充核算</w:t>
                  </w:r>
                  <w:r>
                    <w:rPr>
                      <w:rFonts w:hint="eastAsia" w:hAnsi="宋体"/>
                      <w:color w:val="auto"/>
                      <w:sz w:val="18"/>
                      <w:szCs w:val="18"/>
                      <w:lang w:eastAsia="zh-CN"/>
                    </w:rPr>
                    <w:t>废气</w:t>
                  </w:r>
                  <w:r>
                    <w:rPr>
                      <w:rFonts w:hint="eastAsia" w:ascii="Times New Roman" w:hAnsi="宋体" w:eastAsia="宋体" w:cs="Times New Roman"/>
                      <w:color w:val="auto"/>
                      <w:sz w:val="18"/>
                      <w:szCs w:val="18"/>
                      <w:lang w:eastAsia="zh-CN"/>
                    </w:rPr>
                    <w:t>遗漏设备维修</w:t>
                  </w:r>
                  <w:r>
                    <w:rPr>
                      <w:rFonts w:hint="eastAsia" w:ascii="Times New Roman" w:hAnsi="宋体" w:eastAsia="宋体" w:cs="Times New Roman"/>
                      <w:color w:val="auto"/>
                      <w:sz w:val="18"/>
                      <w:szCs w:val="18"/>
                      <w:lang w:val="en-US" w:eastAsia="zh-CN"/>
                    </w:rPr>
                    <w:t>切割粉尘、</w:t>
                  </w:r>
                  <w:r>
                    <w:rPr>
                      <w:rFonts w:hint="eastAsia" w:ascii="Times New Roman" w:hAnsi="宋体" w:eastAsia="宋体" w:cs="Times New Roman"/>
                      <w:color w:val="auto"/>
                      <w:sz w:val="18"/>
                      <w:szCs w:val="18"/>
                      <w:lang w:eastAsia="zh-CN"/>
                    </w:rPr>
                    <w:t>机加工源强。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hAnsi="宋体" w:eastAsia="宋体"/>
                      <w:color w:val="auto"/>
                      <w:sz w:val="18"/>
                      <w:szCs w:val="18"/>
                      <w:lang w:val="en-US" w:eastAsia="zh-CN"/>
                    </w:rPr>
                  </w:pPr>
                  <w:r>
                    <w:rPr>
                      <w:rFonts w:hint="eastAsia" w:hAnsi="宋体"/>
                      <w:color w:val="auto"/>
                      <w:sz w:val="18"/>
                      <w:szCs w:val="18"/>
                      <w:lang w:val="en-US" w:eastAsia="zh-CN"/>
                    </w:rPr>
                    <w:t>5</w:t>
                  </w:r>
                </w:p>
              </w:tc>
              <w:tc>
                <w:tcPr>
                  <w:tcW w:w="31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设备维修</w:t>
                  </w:r>
                  <w:r>
                    <w:rPr>
                      <w:rFonts w:hint="eastAsia" w:ascii="Times New Roman" w:hAnsi="Times New Roman" w:eastAsia="宋体" w:cs="Times New Roman"/>
                      <w:color w:val="auto"/>
                      <w:sz w:val="18"/>
                      <w:szCs w:val="18"/>
                      <w:lang w:val="en-US" w:eastAsia="zh-CN"/>
                    </w:rPr>
                    <w:t>切割粉尘未设置处理设施。</w:t>
                  </w:r>
                </w:p>
              </w:tc>
              <w:tc>
                <w:tcPr>
                  <w:tcW w:w="40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eastAsia="zh-CN"/>
                    </w:rPr>
                    <w:t>本次环评</w:t>
                  </w:r>
                  <w:r>
                    <w:rPr>
                      <w:rFonts w:hint="eastAsia" w:ascii="Times New Roman" w:hAnsi="Times New Roman" w:eastAsia="宋体" w:cs="Times New Roman"/>
                      <w:color w:val="auto"/>
                      <w:sz w:val="18"/>
                      <w:szCs w:val="18"/>
                      <w:lang w:val="en-US" w:eastAsia="zh-CN"/>
                    </w:rPr>
                    <w:t>切割粉尘新增移动式除尘装置。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hAnsi="宋体" w:eastAsia="宋体"/>
                      <w:color w:val="auto"/>
                      <w:sz w:val="18"/>
                      <w:szCs w:val="18"/>
                      <w:lang w:val="en-US" w:eastAsia="zh-CN"/>
                    </w:rPr>
                  </w:pPr>
                  <w:r>
                    <w:rPr>
                      <w:rFonts w:hint="eastAsia" w:hAnsi="宋体"/>
                      <w:color w:val="auto"/>
                      <w:sz w:val="18"/>
                      <w:szCs w:val="18"/>
                      <w:lang w:val="en-US" w:eastAsia="zh-CN"/>
                    </w:rPr>
                    <w:t>6</w:t>
                  </w:r>
                </w:p>
              </w:tc>
              <w:tc>
                <w:tcPr>
                  <w:tcW w:w="31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固废</w:t>
                  </w:r>
                  <w:r>
                    <w:rPr>
                      <w:rFonts w:hint="eastAsia" w:ascii="Times New Roman" w:hAnsi="Times New Roman" w:eastAsia="宋体" w:cs="Times New Roman"/>
                      <w:color w:val="auto"/>
                      <w:sz w:val="18"/>
                      <w:szCs w:val="18"/>
                      <w:lang w:val="en-US" w:eastAsia="zh-CN"/>
                    </w:rPr>
                    <w:t>遗漏废机油、废油桶、废液压油、废金属屑、废切削液、废润滑油、废乳化液危险废物。</w:t>
                  </w:r>
                </w:p>
              </w:tc>
              <w:tc>
                <w:tcPr>
                  <w:tcW w:w="40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本次环评中固废补充核算</w:t>
                  </w:r>
                  <w:r>
                    <w:rPr>
                      <w:rFonts w:hint="eastAsia" w:ascii="Times New Roman" w:hAnsi="Times New Roman" w:eastAsia="宋体" w:cs="Times New Roman"/>
                      <w:color w:val="auto"/>
                      <w:sz w:val="18"/>
                      <w:szCs w:val="18"/>
                      <w:lang w:val="en-US" w:eastAsia="zh-CN"/>
                    </w:rPr>
                    <w:t>废机油、废油桶、废液压油、废金属屑、废切削液、废润滑油、废乳化液</w:t>
                  </w:r>
                  <w:r>
                    <w:rPr>
                      <w:rFonts w:hint="eastAsia" w:ascii="Times New Roman" w:hAnsi="Times New Roman" w:eastAsia="宋体" w:cs="Times New Roman"/>
                      <w:color w:val="auto"/>
                      <w:sz w:val="18"/>
                      <w:szCs w:val="18"/>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hAnsi="宋体" w:eastAsia="宋体"/>
                      <w:color w:val="auto"/>
                      <w:sz w:val="18"/>
                      <w:szCs w:val="18"/>
                      <w:lang w:val="en-US" w:eastAsia="zh-CN"/>
                    </w:rPr>
                  </w:pPr>
                  <w:r>
                    <w:rPr>
                      <w:rFonts w:hint="eastAsia" w:hAnsi="宋体"/>
                      <w:color w:val="auto"/>
                      <w:sz w:val="18"/>
                      <w:szCs w:val="18"/>
                      <w:lang w:val="en-US" w:eastAsia="zh-CN"/>
                    </w:rPr>
                    <w:t>7</w:t>
                  </w:r>
                </w:p>
              </w:tc>
              <w:tc>
                <w:tcPr>
                  <w:tcW w:w="31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现有项目一般固废协议、危废协议暂时没有签订。</w:t>
                  </w:r>
                </w:p>
              </w:tc>
              <w:tc>
                <w:tcPr>
                  <w:tcW w:w="40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rPr>
                    <w:t>本次环评</w:t>
                  </w:r>
                  <w:r>
                    <w:rPr>
                      <w:rFonts w:hint="eastAsia" w:ascii="Times New Roman" w:hAnsi="Times New Roman" w:eastAsia="宋体" w:cs="Times New Roman"/>
                      <w:color w:val="auto"/>
                      <w:sz w:val="18"/>
                      <w:szCs w:val="18"/>
                      <w:lang w:eastAsia="zh-CN"/>
                    </w:rPr>
                    <w:t>后补签一般固废协议、危废协议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hAnsi="宋体"/>
                      <w:color w:val="auto"/>
                      <w:sz w:val="18"/>
                      <w:szCs w:val="18"/>
                      <w:lang w:val="en-US" w:eastAsia="zh-CN"/>
                    </w:rPr>
                  </w:pPr>
                  <w:r>
                    <w:rPr>
                      <w:rFonts w:hint="eastAsia" w:hAnsi="宋体"/>
                      <w:color w:val="auto"/>
                      <w:sz w:val="18"/>
                      <w:szCs w:val="18"/>
                      <w:lang w:val="en-US" w:eastAsia="zh-CN"/>
                    </w:rPr>
                    <w:t>8</w:t>
                  </w:r>
                </w:p>
              </w:tc>
              <w:tc>
                <w:tcPr>
                  <w:tcW w:w="31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sz w:val="18"/>
                      <w:szCs w:val="18"/>
                      <w:lang w:eastAsia="zh-CN"/>
                    </w:rPr>
                  </w:pPr>
                  <w:r>
                    <w:rPr>
                      <w:rFonts w:hint="eastAsia" w:cs="Times New Roman"/>
                      <w:color w:val="auto"/>
                      <w:sz w:val="18"/>
                      <w:szCs w:val="18"/>
                      <w:lang w:eastAsia="zh-CN"/>
                    </w:rPr>
                    <w:t>一般工业固废露天堆放，未采取防护措施</w:t>
                  </w:r>
                </w:p>
              </w:tc>
              <w:tc>
                <w:tcPr>
                  <w:tcW w:w="40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sz w:val="18"/>
                      <w:szCs w:val="18"/>
                      <w:lang w:eastAsia="zh-CN"/>
                    </w:rPr>
                  </w:pPr>
                  <w:r>
                    <w:rPr>
                      <w:rFonts w:hint="eastAsia" w:cs="Times New Roman"/>
                      <w:color w:val="auto"/>
                      <w:sz w:val="18"/>
                      <w:szCs w:val="18"/>
                      <w:lang w:eastAsia="zh-CN"/>
                    </w:rPr>
                    <w:t>本次环评</w:t>
                  </w:r>
                  <w:r>
                    <w:rPr>
                      <w:rFonts w:hint="eastAsia" w:ascii="宋体" w:hAnsi="宋体" w:eastAsia="宋体" w:cs="宋体"/>
                      <w:color w:val="auto"/>
                      <w:sz w:val="18"/>
                      <w:szCs w:val="18"/>
                      <w:highlight w:val="none"/>
                      <w:lang w:eastAsia="zh-CN"/>
                    </w:rPr>
                    <w:t>投产前</w:t>
                  </w:r>
                  <w:r>
                    <w:rPr>
                      <w:rFonts w:hint="eastAsia" w:cs="Times New Roman"/>
                      <w:color w:val="auto"/>
                      <w:sz w:val="18"/>
                      <w:szCs w:val="18"/>
                      <w:lang w:eastAsia="zh-CN"/>
                    </w:rPr>
                    <w:t>严格按照固废管理要求贮存、处置产生的一般工业固废</w:t>
                  </w:r>
                </w:p>
              </w:tc>
            </w:tr>
          </w:tbl>
          <w:p>
            <w:pPr>
              <w:pStyle w:val="7"/>
              <w:rPr>
                <w:rFonts w:hint="eastAsia"/>
                <w:lang w:val="en-US" w:eastAsia="zh-CN"/>
              </w:rPr>
            </w:pPr>
          </w:p>
        </w:tc>
      </w:tr>
    </w:tbl>
    <w:p>
      <w:pPr>
        <w:spacing w:before="156" w:beforeLines="50" w:after="156" w:afterLines="50"/>
        <w:jc w:val="center"/>
        <w:outlineLvl w:val="0"/>
        <w:rPr>
          <w:rFonts w:eastAsia="黑体"/>
          <w:sz w:val="30"/>
          <w:szCs w:val="30"/>
        </w:rPr>
      </w:pPr>
      <w:r>
        <w:rPr>
          <w:rFonts w:eastAsia="黑体"/>
          <w:sz w:val="30"/>
          <w:szCs w:val="30"/>
        </w:rPr>
        <w:t>三、区域环境质量现状、环境保护目标及评价标准</w:t>
      </w:r>
    </w:p>
    <w:tbl>
      <w:tblPr>
        <w:tblStyle w:val="22"/>
        <w:tblW w:w="0" w:type="auto"/>
        <w:tblInd w:w="-2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1"/>
        <w:gridCol w:w="8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vAlign w:val="center"/>
          </w:tcPr>
          <w:p>
            <w:pPr>
              <w:spacing w:line="500" w:lineRule="exact"/>
              <w:jc w:val="center"/>
              <w:rPr>
                <w:sz w:val="24"/>
                <w:szCs w:val="32"/>
              </w:rPr>
            </w:pPr>
            <w:r>
              <w:rPr>
                <w:sz w:val="24"/>
                <w:szCs w:val="32"/>
              </w:rPr>
              <w:t>区</w:t>
            </w:r>
          </w:p>
          <w:p>
            <w:pPr>
              <w:spacing w:line="500" w:lineRule="exact"/>
              <w:jc w:val="center"/>
              <w:rPr>
                <w:sz w:val="24"/>
                <w:szCs w:val="32"/>
              </w:rPr>
            </w:pPr>
            <w:r>
              <w:rPr>
                <w:sz w:val="24"/>
                <w:szCs w:val="32"/>
              </w:rPr>
              <w:t>域</w:t>
            </w:r>
          </w:p>
          <w:p>
            <w:pPr>
              <w:spacing w:line="500" w:lineRule="exact"/>
              <w:jc w:val="center"/>
              <w:rPr>
                <w:sz w:val="24"/>
                <w:szCs w:val="32"/>
              </w:rPr>
            </w:pPr>
            <w:r>
              <w:rPr>
                <w:sz w:val="24"/>
                <w:szCs w:val="32"/>
              </w:rPr>
              <w:t>环</w:t>
            </w:r>
          </w:p>
          <w:p>
            <w:pPr>
              <w:spacing w:line="500" w:lineRule="exact"/>
              <w:jc w:val="center"/>
              <w:rPr>
                <w:sz w:val="24"/>
                <w:szCs w:val="32"/>
              </w:rPr>
            </w:pPr>
            <w:r>
              <w:rPr>
                <w:sz w:val="24"/>
                <w:szCs w:val="32"/>
              </w:rPr>
              <w:t>境</w:t>
            </w:r>
          </w:p>
          <w:p>
            <w:pPr>
              <w:spacing w:line="500" w:lineRule="exact"/>
              <w:jc w:val="center"/>
              <w:rPr>
                <w:sz w:val="24"/>
                <w:szCs w:val="32"/>
              </w:rPr>
            </w:pPr>
            <w:r>
              <w:rPr>
                <w:sz w:val="24"/>
                <w:szCs w:val="32"/>
              </w:rPr>
              <w:t>质</w:t>
            </w:r>
          </w:p>
          <w:p>
            <w:pPr>
              <w:spacing w:line="500" w:lineRule="exact"/>
              <w:jc w:val="center"/>
              <w:rPr>
                <w:sz w:val="24"/>
                <w:szCs w:val="32"/>
              </w:rPr>
            </w:pPr>
            <w:r>
              <w:rPr>
                <w:sz w:val="24"/>
                <w:szCs w:val="32"/>
              </w:rPr>
              <w:t>量</w:t>
            </w:r>
          </w:p>
          <w:p>
            <w:pPr>
              <w:spacing w:line="500" w:lineRule="exact"/>
              <w:jc w:val="center"/>
              <w:rPr>
                <w:sz w:val="24"/>
                <w:szCs w:val="32"/>
              </w:rPr>
            </w:pPr>
            <w:r>
              <w:rPr>
                <w:sz w:val="24"/>
                <w:szCs w:val="32"/>
              </w:rPr>
              <w:t>现</w:t>
            </w:r>
          </w:p>
          <w:p>
            <w:pPr>
              <w:spacing w:line="500" w:lineRule="exact"/>
              <w:jc w:val="center"/>
            </w:pPr>
            <w:r>
              <w:rPr>
                <w:sz w:val="24"/>
                <w:szCs w:val="32"/>
              </w:rPr>
              <w:t>状</w:t>
            </w:r>
          </w:p>
        </w:tc>
        <w:tc>
          <w:tcPr>
            <w:tcW w:w="7718" w:type="dxa"/>
          </w:tcPr>
          <w:p>
            <w:pPr>
              <w:spacing w:line="500" w:lineRule="exact"/>
              <w:rPr>
                <w:b/>
                <w:bCs/>
                <w:szCs w:val="21"/>
              </w:rPr>
            </w:pPr>
            <w:r>
              <w:rPr>
                <w:b/>
                <w:bCs/>
                <w:szCs w:val="21"/>
              </w:rPr>
              <w:t>1、大气环境质量现状</w:t>
            </w:r>
          </w:p>
          <w:p>
            <w:pPr>
              <w:adjustRightInd w:val="0"/>
              <w:snapToGrid w:val="0"/>
              <w:spacing w:line="500" w:lineRule="exact"/>
              <w:ind w:firstLine="420" w:firstLineChars="200"/>
              <w:rPr>
                <w:rFonts w:hint="eastAsia"/>
                <w:color w:val="auto"/>
                <w:kern w:val="0"/>
                <w:szCs w:val="21"/>
              </w:rPr>
            </w:pPr>
            <w:r>
              <w:rPr>
                <w:rFonts w:hint="eastAsia"/>
                <w:color w:val="auto"/>
                <w:kern w:val="0"/>
                <w:szCs w:val="21"/>
              </w:rPr>
              <w:t>根据</w:t>
            </w:r>
            <w:r>
              <w:rPr>
                <w:rFonts w:hint="eastAsia"/>
                <w:color w:val="auto"/>
                <w:kern w:val="0"/>
                <w:szCs w:val="21"/>
                <w:lang w:eastAsia="zh-CN"/>
              </w:rPr>
              <w:t>《南通市生态环境状况公报（202</w:t>
            </w:r>
            <w:r>
              <w:rPr>
                <w:rFonts w:hint="eastAsia"/>
                <w:color w:val="auto"/>
                <w:kern w:val="0"/>
                <w:szCs w:val="21"/>
                <w:lang w:val="en-US" w:eastAsia="zh-CN"/>
              </w:rPr>
              <w:t>4</w:t>
            </w:r>
            <w:r>
              <w:rPr>
                <w:rFonts w:hint="eastAsia"/>
                <w:color w:val="auto"/>
                <w:kern w:val="0"/>
                <w:szCs w:val="21"/>
                <w:lang w:eastAsia="zh-CN"/>
              </w:rPr>
              <w:t>年）》</w:t>
            </w:r>
            <w:r>
              <w:rPr>
                <w:rFonts w:hint="eastAsia"/>
                <w:color w:val="auto"/>
                <w:kern w:val="0"/>
                <w:szCs w:val="21"/>
              </w:rPr>
              <w:t>，区域环境空气质量状况见表3-1。</w:t>
            </w:r>
          </w:p>
          <w:p>
            <w:pPr>
              <w:spacing w:line="500" w:lineRule="exact"/>
              <w:jc w:val="center"/>
              <w:rPr>
                <w:b/>
                <w:color w:val="auto"/>
                <w:lang w:val="zh-CN"/>
              </w:rPr>
            </w:pPr>
            <w:r>
              <w:rPr>
                <w:b/>
                <w:color w:val="auto"/>
                <w:lang w:val="zh-CN"/>
              </w:rPr>
              <w:t>表</w:t>
            </w:r>
            <w:r>
              <w:rPr>
                <w:rFonts w:hint="eastAsia"/>
                <w:b/>
                <w:color w:val="auto"/>
                <w:lang w:val="zh-CN"/>
              </w:rPr>
              <w:t>3-1  环境空气质量状况</w:t>
            </w:r>
          </w:p>
          <w:tbl>
            <w:tblPr>
              <w:tblStyle w:val="21"/>
              <w:tblW w:w="8011"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724"/>
              <w:gridCol w:w="3085"/>
              <w:gridCol w:w="1179"/>
              <w:gridCol w:w="1179"/>
              <w:gridCol w:w="940"/>
              <w:gridCol w:w="90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728" w:type="dxa"/>
                  <w:noWrap w:val="0"/>
                  <w:vAlign w:val="center"/>
                </w:tcPr>
                <w:p>
                  <w:pPr>
                    <w:jc w:val="center"/>
                    <w:rPr>
                      <w:b/>
                      <w:bCs/>
                      <w:color w:val="auto"/>
                      <w:sz w:val="18"/>
                      <w:szCs w:val="18"/>
                    </w:rPr>
                  </w:pPr>
                  <w:r>
                    <w:rPr>
                      <w:rFonts w:hint="eastAsia"/>
                      <w:b/>
                      <w:bCs/>
                      <w:color w:val="auto"/>
                      <w:sz w:val="18"/>
                      <w:szCs w:val="18"/>
                    </w:rPr>
                    <w:t>评价因子</w:t>
                  </w:r>
                </w:p>
              </w:tc>
              <w:tc>
                <w:tcPr>
                  <w:tcW w:w="3320" w:type="dxa"/>
                  <w:noWrap w:val="0"/>
                  <w:vAlign w:val="center"/>
                </w:tcPr>
                <w:p>
                  <w:pPr>
                    <w:jc w:val="center"/>
                    <w:rPr>
                      <w:b/>
                      <w:bCs/>
                      <w:color w:val="auto"/>
                      <w:sz w:val="18"/>
                      <w:szCs w:val="18"/>
                    </w:rPr>
                  </w:pPr>
                  <w:r>
                    <w:rPr>
                      <w:rFonts w:hint="eastAsia"/>
                      <w:b/>
                      <w:bCs/>
                      <w:color w:val="auto"/>
                      <w:sz w:val="18"/>
                      <w:szCs w:val="18"/>
                    </w:rPr>
                    <w:t>平均时段</w:t>
                  </w:r>
                </w:p>
              </w:tc>
              <w:tc>
                <w:tcPr>
                  <w:tcW w:w="1028" w:type="dxa"/>
                  <w:noWrap w:val="0"/>
                  <w:vAlign w:val="center"/>
                </w:tcPr>
                <w:p>
                  <w:pPr>
                    <w:widowControl/>
                    <w:adjustRightInd w:val="0"/>
                    <w:snapToGrid w:val="0"/>
                    <w:jc w:val="center"/>
                    <w:rPr>
                      <w:rFonts w:hint="eastAsia"/>
                      <w:b/>
                      <w:bCs/>
                      <w:color w:val="auto"/>
                      <w:kern w:val="0"/>
                      <w:sz w:val="18"/>
                      <w:szCs w:val="18"/>
                    </w:rPr>
                  </w:pPr>
                  <w:r>
                    <w:rPr>
                      <w:b/>
                      <w:bCs/>
                      <w:color w:val="auto"/>
                      <w:kern w:val="0"/>
                      <w:sz w:val="18"/>
                      <w:szCs w:val="18"/>
                    </w:rPr>
                    <w:t>现状浓度</w:t>
                  </w:r>
                </w:p>
                <w:p>
                  <w:pPr>
                    <w:widowControl/>
                    <w:adjustRightInd w:val="0"/>
                    <w:snapToGrid w:val="0"/>
                    <w:jc w:val="center"/>
                    <w:rPr>
                      <w:b/>
                      <w:bCs/>
                      <w:color w:val="auto"/>
                      <w:kern w:val="0"/>
                      <w:sz w:val="18"/>
                      <w:szCs w:val="18"/>
                    </w:rPr>
                  </w:pPr>
                  <w:r>
                    <w:rPr>
                      <w:rFonts w:hint="eastAsia"/>
                      <w:b/>
                      <w:bCs/>
                      <w:color w:val="auto"/>
                      <w:kern w:val="0"/>
                      <w:sz w:val="18"/>
                      <w:szCs w:val="18"/>
                    </w:rPr>
                    <w:t>（</w:t>
                  </w:r>
                  <w:r>
                    <w:rPr>
                      <w:b/>
                      <w:bCs/>
                      <w:color w:val="auto"/>
                      <w:kern w:val="0"/>
                      <w:sz w:val="18"/>
                      <w:szCs w:val="18"/>
                    </w:rPr>
                    <w:t>μ</w:t>
                  </w:r>
                  <w:r>
                    <w:rPr>
                      <w:rFonts w:hint="eastAsia"/>
                      <w:b/>
                      <w:bCs/>
                      <w:color w:val="auto"/>
                      <w:kern w:val="0"/>
                      <w:sz w:val="18"/>
                      <w:szCs w:val="18"/>
                    </w:rPr>
                    <w:t>g/m</w:t>
                  </w:r>
                  <w:r>
                    <w:rPr>
                      <w:rFonts w:hint="eastAsia"/>
                      <w:b/>
                      <w:bCs/>
                      <w:color w:val="auto"/>
                      <w:kern w:val="0"/>
                      <w:sz w:val="18"/>
                      <w:szCs w:val="18"/>
                      <w:vertAlign w:val="superscript"/>
                    </w:rPr>
                    <w:t>3</w:t>
                  </w:r>
                  <w:r>
                    <w:rPr>
                      <w:rFonts w:hint="eastAsia"/>
                      <w:b/>
                      <w:bCs/>
                      <w:color w:val="auto"/>
                      <w:kern w:val="0"/>
                      <w:sz w:val="18"/>
                      <w:szCs w:val="18"/>
                    </w:rPr>
                    <w:t>）</w:t>
                  </w:r>
                </w:p>
              </w:tc>
              <w:tc>
                <w:tcPr>
                  <w:tcW w:w="1028" w:type="dxa"/>
                  <w:noWrap w:val="0"/>
                  <w:vAlign w:val="center"/>
                </w:tcPr>
                <w:p>
                  <w:pPr>
                    <w:widowControl/>
                    <w:adjustRightInd w:val="0"/>
                    <w:snapToGrid w:val="0"/>
                    <w:jc w:val="center"/>
                    <w:rPr>
                      <w:rFonts w:hint="eastAsia"/>
                      <w:b/>
                      <w:bCs/>
                      <w:color w:val="auto"/>
                      <w:kern w:val="0"/>
                      <w:sz w:val="18"/>
                      <w:szCs w:val="18"/>
                    </w:rPr>
                  </w:pPr>
                  <w:r>
                    <w:rPr>
                      <w:b/>
                      <w:bCs/>
                      <w:color w:val="auto"/>
                      <w:kern w:val="0"/>
                      <w:sz w:val="18"/>
                      <w:szCs w:val="18"/>
                    </w:rPr>
                    <w:t>标准值</w:t>
                  </w:r>
                </w:p>
                <w:p>
                  <w:pPr>
                    <w:widowControl/>
                    <w:adjustRightInd w:val="0"/>
                    <w:snapToGrid w:val="0"/>
                    <w:jc w:val="center"/>
                    <w:rPr>
                      <w:b/>
                      <w:bCs/>
                      <w:color w:val="auto"/>
                      <w:sz w:val="18"/>
                      <w:szCs w:val="18"/>
                    </w:rPr>
                  </w:pPr>
                  <w:r>
                    <w:rPr>
                      <w:rFonts w:hint="eastAsia"/>
                      <w:b/>
                      <w:bCs/>
                      <w:color w:val="auto"/>
                      <w:kern w:val="0"/>
                      <w:sz w:val="18"/>
                      <w:szCs w:val="18"/>
                    </w:rPr>
                    <w:t>（</w:t>
                  </w:r>
                  <w:r>
                    <w:rPr>
                      <w:b/>
                      <w:bCs/>
                      <w:color w:val="auto"/>
                      <w:kern w:val="0"/>
                      <w:sz w:val="18"/>
                      <w:szCs w:val="18"/>
                    </w:rPr>
                    <w:t>μ</w:t>
                  </w:r>
                  <w:r>
                    <w:rPr>
                      <w:rFonts w:hint="eastAsia"/>
                      <w:b/>
                      <w:bCs/>
                      <w:color w:val="auto"/>
                      <w:kern w:val="0"/>
                      <w:sz w:val="18"/>
                      <w:szCs w:val="18"/>
                    </w:rPr>
                    <w:t>g/m</w:t>
                  </w:r>
                  <w:r>
                    <w:rPr>
                      <w:rFonts w:hint="eastAsia"/>
                      <w:b/>
                      <w:bCs/>
                      <w:color w:val="auto"/>
                      <w:kern w:val="0"/>
                      <w:sz w:val="18"/>
                      <w:szCs w:val="18"/>
                      <w:vertAlign w:val="superscript"/>
                    </w:rPr>
                    <w:t>3</w:t>
                  </w:r>
                  <w:r>
                    <w:rPr>
                      <w:rFonts w:hint="eastAsia"/>
                      <w:b/>
                      <w:bCs/>
                      <w:color w:val="auto"/>
                      <w:kern w:val="0"/>
                      <w:sz w:val="18"/>
                      <w:szCs w:val="18"/>
                    </w:rPr>
                    <w:t>）</w:t>
                  </w:r>
                </w:p>
              </w:tc>
              <w:tc>
                <w:tcPr>
                  <w:tcW w:w="958" w:type="dxa"/>
                  <w:noWrap w:val="0"/>
                  <w:vAlign w:val="center"/>
                </w:tcPr>
                <w:p>
                  <w:pPr>
                    <w:widowControl/>
                    <w:adjustRightInd w:val="0"/>
                    <w:snapToGrid w:val="0"/>
                    <w:jc w:val="center"/>
                    <w:rPr>
                      <w:rFonts w:hint="eastAsia"/>
                      <w:b/>
                      <w:bCs/>
                      <w:color w:val="auto"/>
                      <w:kern w:val="0"/>
                      <w:sz w:val="18"/>
                      <w:szCs w:val="18"/>
                    </w:rPr>
                  </w:pPr>
                  <w:r>
                    <w:rPr>
                      <w:rFonts w:hint="eastAsia"/>
                      <w:b/>
                      <w:bCs/>
                      <w:color w:val="auto"/>
                      <w:kern w:val="0"/>
                      <w:sz w:val="18"/>
                      <w:szCs w:val="18"/>
                    </w:rPr>
                    <w:t>占标率%</w:t>
                  </w:r>
                </w:p>
              </w:tc>
              <w:tc>
                <w:tcPr>
                  <w:tcW w:w="949" w:type="dxa"/>
                  <w:noWrap w:val="0"/>
                  <w:vAlign w:val="center"/>
                </w:tcPr>
                <w:p>
                  <w:pPr>
                    <w:jc w:val="center"/>
                    <w:rPr>
                      <w:b/>
                      <w:bCs/>
                      <w:color w:val="auto"/>
                      <w:sz w:val="18"/>
                      <w:szCs w:val="18"/>
                    </w:rPr>
                  </w:pPr>
                  <w:r>
                    <w:rPr>
                      <w:rFonts w:hint="eastAsia"/>
                      <w:b/>
                      <w:bCs/>
                      <w:color w:val="auto"/>
                      <w:sz w:val="18"/>
                      <w:szCs w:val="18"/>
                    </w:rPr>
                    <w:t>达标情况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76" w:hRule="atLeast"/>
                <w:jc w:val="center"/>
              </w:trPr>
              <w:tc>
                <w:tcPr>
                  <w:tcW w:w="728" w:type="dxa"/>
                  <w:noWrap w:val="0"/>
                  <w:vAlign w:val="center"/>
                </w:tcPr>
                <w:p>
                  <w:pPr>
                    <w:widowControl/>
                    <w:adjustRightInd w:val="0"/>
                    <w:snapToGrid w:val="0"/>
                    <w:jc w:val="center"/>
                    <w:rPr>
                      <w:bCs/>
                      <w:color w:val="auto"/>
                      <w:kern w:val="0"/>
                      <w:sz w:val="18"/>
                      <w:szCs w:val="18"/>
                    </w:rPr>
                  </w:pPr>
                  <w:r>
                    <w:rPr>
                      <w:rFonts w:hint="eastAsia"/>
                      <w:bCs/>
                      <w:color w:val="auto"/>
                      <w:kern w:val="0"/>
                      <w:sz w:val="18"/>
                      <w:szCs w:val="18"/>
                    </w:rPr>
                    <w:t>SO</w:t>
                  </w:r>
                  <w:r>
                    <w:rPr>
                      <w:rFonts w:hint="eastAsia"/>
                      <w:bCs/>
                      <w:color w:val="auto"/>
                      <w:kern w:val="0"/>
                      <w:sz w:val="18"/>
                      <w:szCs w:val="18"/>
                      <w:vertAlign w:val="subscript"/>
                    </w:rPr>
                    <w:t>2</w:t>
                  </w:r>
                </w:p>
              </w:tc>
              <w:tc>
                <w:tcPr>
                  <w:tcW w:w="3320" w:type="dxa"/>
                  <w:noWrap w:val="0"/>
                  <w:vAlign w:val="center"/>
                </w:tcPr>
                <w:p>
                  <w:pPr>
                    <w:widowControl/>
                    <w:adjustRightInd w:val="0"/>
                    <w:snapToGrid w:val="0"/>
                    <w:jc w:val="center"/>
                    <w:rPr>
                      <w:bCs/>
                      <w:color w:val="auto"/>
                      <w:kern w:val="0"/>
                      <w:sz w:val="18"/>
                      <w:szCs w:val="18"/>
                    </w:rPr>
                  </w:pPr>
                  <w:r>
                    <w:rPr>
                      <w:rFonts w:hint="eastAsia"/>
                      <w:bCs/>
                      <w:color w:val="auto"/>
                      <w:kern w:val="0"/>
                      <w:sz w:val="18"/>
                      <w:szCs w:val="18"/>
                    </w:rPr>
                    <w:t>年均值</w:t>
                  </w:r>
                </w:p>
              </w:tc>
              <w:tc>
                <w:tcPr>
                  <w:tcW w:w="1028" w:type="dxa"/>
                  <w:noWrap w:val="0"/>
                  <w:vAlign w:val="center"/>
                </w:tcPr>
                <w:p>
                  <w:pPr>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highlight w:val="none"/>
                    </w:rPr>
                    <w:t>9</w:t>
                  </w:r>
                </w:p>
              </w:tc>
              <w:tc>
                <w:tcPr>
                  <w:tcW w:w="1028" w:type="dxa"/>
                  <w:noWrap w:val="0"/>
                  <w:vAlign w:val="center"/>
                </w:tcPr>
                <w:p>
                  <w:pPr>
                    <w:jc w:val="center"/>
                    <w:rPr>
                      <w:bCs/>
                      <w:color w:val="auto"/>
                      <w:sz w:val="18"/>
                      <w:szCs w:val="18"/>
                    </w:rPr>
                  </w:pPr>
                  <w:r>
                    <w:rPr>
                      <w:rFonts w:hint="eastAsia" w:ascii="Times New Roman" w:hAnsi="Times New Roman" w:eastAsia="宋体" w:cs="Times New Roman"/>
                      <w:bCs/>
                      <w:color w:val="auto"/>
                      <w:sz w:val="18"/>
                      <w:szCs w:val="18"/>
                      <w:highlight w:val="none"/>
                    </w:rPr>
                    <w:t>60</w:t>
                  </w:r>
                </w:p>
              </w:tc>
              <w:tc>
                <w:tcPr>
                  <w:tcW w:w="958" w:type="dxa"/>
                  <w:noWrap w:val="0"/>
                  <w:vAlign w:val="center"/>
                </w:tcPr>
                <w:p>
                  <w:pPr>
                    <w:jc w:val="center"/>
                    <w:rPr>
                      <w:rFonts w:hint="default" w:eastAsia="宋体"/>
                      <w:color w:val="auto"/>
                      <w:sz w:val="18"/>
                      <w:szCs w:val="18"/>
                      <w:lang w:val="en-US" w:eastAsia="zh-CN"/>
                    </w:rPr>
                  </w:pPr>
                  <w:r>
                    <w:rPr>
                      <w:rFonts w:hint="eastAsia" w:ascii="Times New Roman" w:hAnsi="Times New Roman" w:eastAsia="宋体" w:cs="Times New Roman"/>
                      <w:bCs/>
                      <w:color w:val="auto"/>
                      <w:sz w:val="18"/>
                      <w:szCs w:val="18"/>
                      <w:highlight w:val="none"/>
                      <w:lang w:val="en-US" w:eastAsia="zh-CN"/>
                    </w:rPr>
                    <w:t>15</w:t>
                  </w:r>
                </w:p>
              </w:tc>
              <w:tc>
                <w:tcPr>
                  <w:tcW w:w="949" w:type="dxa"/>
                  <w:noWrap w:val="0"/>
                  <w:vAlign w:val="center"/>
                </w:tcPr>
                <w:p>
                  <w:pPr>
                    <w:jc w:val="center"/>
                    <w:rPr>
                      <w:color w:val="auto"/>
                      <w:sz w:val="18"/>
                      <w:szCs w:val="18"/>
                    </w:rPr>
                  </w:pPr>
                  <w:r>
                    <w:rPr>
                      <w:rFonts w:hint="eastAsia"/>
                      <w:color w:val="auto"/>
                      <w:sz w:val="18"/>
                      <w:szCs w:val="18"/>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76" w:hRule="atLeast"/>
                <w:jc w:val="center"/>
              </w:trPr>
              <w:tc>
                <w:tcPr>
                  <w:tcW w:w="728" w:type="dxa"/>
                  <w:noWrap w:val="0"/>
                  <w:vAlign w:val="center"/>
                </w:tcPr>
                <w:p>
                  <w:pPr>
                    <w:widowControl/>
                    <w:adjustRightInd w:val="0"/>
                    <w:snapToGrid w:val="0"/>
                    <w:jc w:val="center"/>
                    <w:rPr>
                      <w:bCs/>
                      <w:color w:val="auto"/>
                      <w:kern w:val="0"/>
                      <w:sz w:val="18"/>
                      <w:szCs w:val="18"/>
                    </w:rPr>
                  </w:pPr>
                  <w:r>
                    <w:rPr>
                      <w:rFonts w:hint="eastAsia"/>
                      <w:bCs/>
                      <w:color w:val="auto"/>
                      <w:kern w:val="0"/>
                      <w:sz w:val="18"/>
                      <w:szCs w:val="18"/>
                    </w:rPr>
                    <w:t>NO</w:t>
                  </w:r>
                  <w:r>
                    <w:rPr>
                      <w:rFonts w:hint="eastAsia"/>
                      <w:bCs/>
                      <w:color w:val="auto"/>
                      <w:kern w:val="0"/>
                      <w:sz w:val="18"/>
                      <w:szCs w:val="18"/>
                      <w:vertAlign w:val="subscript"/>
                    </w:rPr>
                    <w:t>2</w:t>
                  </w:r>
                </w:p>
              </w:tc>
              <w:tc>
                <w:tcPr>
                  <w:tcW w:w="3320" w:type="dxa"/>
                  <w:noWrap w:val="0"/>
                  <w:vAlign w:val="center"/>
                </w:tcPr>
                <w:p>
                  <w:pPr>
                    <w:widowControl/>
                    <w:adjustRightInd w:val="0"/>
                    <w:snapToGrid w:val="0"/>
                    <w:jc w:val="center"/>
                    <w:rPr>
                      <w:bCs/>
                      <w:color w:val="auto"/>
                      <w:kern w:val="0"/>
                      <w:sz w:val="18"/>
                      <w:szCs w:val="18"/>
                    </w:rPr>
                  </w:pPr>
                  <w:r>
                    <w:rPr>
                      <w:rFonts w:hint="eastAsia"/>
                      <w:bCs/>
                      <w:color w:val="auto"/>
                      <w:kern w:val="0"/>
                      <w:sz w:val="18"/>
                      <w:szCs w:val="18"/>
                    </w:rPr>
                    <w:t>年均值</w:t>
                  </w:r>
                </w:p>
              </w:tc>
              <w:tc>
                <w:tcPr>
                  <w:tcW w:w="1028" w:type="dxa"/>
                  <w:noWrap w:val="0"/>
                  <w:vAlign w:val="center"/>
                </w:tcPr>
                <w:p>
                  <w:pPr>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highlight w:val="none"/>
                    </w:rPr>
                    <w:t>18</w:t>
                  </w:r>
                </w:p>
              </w:tc>
              <w:tc>
                <w:tcPr>
                  <w:tcW w:w="1028" w:type="dxa"/>
                  <w:noWrap w:val="0"/>
                  <w:vAlign w:val="center"/>
                </w:tcPr>
                <w:p>
                  <w:pPr>
                    <w:jc w:val="center"/>
                    <w:rPr>
                      <w:bCs/>
                      <w:color w:val="auto"/>
                      <w:sz w:val="18"/>
                      <w:szCs w:val="18"/>
                    </w:rPr>
                  </w:pPr>
                  <w:r>
                    <w:rPr>
                      <w:rFonts w:hint="eastAsia" w:ascii="Times New Roman" w:hAnsi="Times New Roman" w:eastAsia="宋体" w:cs="Times New Roman"/>
                      <w:bCs/>
                      <w:color w:val="auto"/>
                      <w:sz w:val="18"/>
                      <w:szCs w:val="18"/>
                      <w:highlight w:val="none"/>
                    </w:rPr>
                    <w:t>40</w:t>
                  </w:r>
                </w:p>
              </w:tc>
              <w:tc>
                <w:tcPr>
                  <w:tcW w:w="958" w:type="dxa"/>
                  <w:noWrap w:val="0"/>
                  <w:vAlign w:val="center"/>
                </w:tcPr>
                <w:p>
                  <w:pPr>
                    <w:jc w:val="center"/>
                    <w:rPr>
                      <w:rFonts w:hint="default" w:eastAsia="宋体"/>
                      <w:color w:val="auto"/>
                      <w:sz w:val="18"/>
                      <w:szCs w:val="18"/>
                      <w:lang w:val="en-US" w:eastAsia="zh-CN"/>
                    </w:rPr>
                  </w:pPr>
                  <w:r>
                    <w:rPr>
                      <w:rFonts w:hint="eastAsia" w:ascii="Times New Roman" w:hAnsi="Times New Roman" w:eastAsia="宋体" w:cs="Times New Roman"/>
                      <w:bCs/>
                      <w:color w:val="auto"/>
                      <w:sz w:val="18"/>
                      <w:szCs w:val="18"/>
                      <w:highlight w:val="none"/>
                      <w:lang w:val="en-US" w:eastAsia="zh-CN"/>
                    </w:rPr>
                    <w:t>45</w:t>
                  </w:r>
                </w:p>
              </w:tc>
              <w:tc>
                <w:tcPr>
                  <w:tcW w:w="949" w:type="dxa"/>
                  <w:noWrap w:val="0"/>
                  <w:vAlign w:val="center"/>
                </w:tcPr>
                <w:p>
                  <w:pPr>
                    <w:jc w:val="center"/>
                    <w:rPr>
                      <w:color w:val="auto"/>
                      <w:sz w:val="18"/>
                      <w:szCs w:val="18"/>
                    </w:rPr>
                  </w:pPr>
                  <w:r>
                    <w:rPr>
                      <w:rFonts w:hint="eastAsia"/>
                      <w:color w:val="auto"/>
                      <w:sz w:val="18"/>
                      <w:szCs w:val="18"/>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76" w:hRule="atLeast"/>
                <w:jc w:val="center"/>
              </w:trPr>
              <w:tc>
                <w:tcPr>
                  <w:tcW w:w="728" w:type="dxa"/>
                  <w:noWrap w:val="0"/>
                  <w:vAlign w:val="center"/>
                </w:tcPr>
                <w:p>
                  <w:pPr>
                    <w:widowControl/>
                    <w:adjustRightInd w:val="0"/>
                    <w:snapToGrid w:val="0"/>
                    <w:jc w:val="center"/>
                    <w:rPr>
                      <w:bCs/>
                      <w:color w:val="auto"/>
                      <w:kern w:val="0"/>
                      <w:sz w:val="18"/>
                      <w:szCs w:val="18"/>
                    </w:rPr>
                  </w:pPr>
                  <w:r>
                    <w:rPr>
                      <w:rFonts w:hint="eastAsia"/>
                      <w:bCs/>
                      <w:color w:val="auto"/>
                      <w:kern w:val="0"/>
                      <w:sz w:val="18"/>
                      <w:szCs w:val="18"/>
                    </w:rPr>
                    <w:t>PM</w:t>
                  </w:r>
                  <w:r>
                    <w:rPr>
                      <w:rFonts w:hint="eastAsia"/>
                      <w:bCs/>
                      <w:color w:val="auto"/>
                      <w:kern w:val="0"/>
                      <w:sz w:val="18"/>
                      <w:szCs w:val="18"/>
                      <w:vertAlign w:val="subscript"/>
                    </w:rPr>
                    <w:t>10</w:t>
                  </w:r>
                </w:p>
              </w:tc>
              <w:tc>
                <w:tcPr>
                  <w:tcW w:w="3320" w:type="dxa"/>
                  <w:noWrap w:val="0"/>
                  <w:vAlign w:val="center"/>
                </w:tcPr>
                <w:p>
                  <w:pPr>
                    <w:widowControl/>
                    <w:adjustRightInd w:val="0"/>
                    <w:snapToGrid w:val="0"/>
                    <w:jc w:val="center"/>
                    <w:rPr>
                      <w:bCs/>
                      <w:color w:val="auto"/>
                      <w:kern w:val="0"/>
                      <w:sz w:val="18"/>
                      <w:szCs w:val="18"/>
                    </w:rPr>
                  </w:pPr>
                  <w:r>
                    <w:rPr>
                      <w:rFonts w:hint="eastAsia"/>
                      <w:bCs/>
                      <w:color w:val="auto"/>
                      <w:kern w:val="0"/>
                      <w:sz w:val="18"/>
                      <w:szCs w:val="18"/>
                    </w:rPr>
                    <w:t>年均值</w:t>
                  </w:r>
                </w:p>
              </w:tc>
              <w:tc>
                <w:tcPr>
                  <w:tcW w:w="1028" w:type="dxa"/>
                  <w:noWrap w:val="0"/>
                  <w:vAlign w:val="center"/>
                </w:tcPr>
                <w:p>
                  <w:pPr>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highlight w:val="none"/>
                    </w:rPr>
                    <w:t>49</w:t>
                  </w:r>
                </w:p>
              </w:tc>
              <w:tc>
                <w:tcPr>
                  <w:tcW w:w="1028" w:type="dxa"/>
                  <w:noWrap w:val="0"/>
                  <w:vAlign w:val="center"/>
                </w:tcPr>
                <w:p>
                  <w:pPr>
                    <w:jc w:val="center"/>
                    <w:rPr>
                      <w:bCs/>
                      <w:color w:val="auto"/>
                      <w:sz w:val="18"/>
                      <w:szCs w:val="18"/>
                    </w:rPr>
                  </w:pPr>
                  <w:r>
                    <w:rPr>
                      <w:rFonts w:hint="eastAsia" w:ascii="Times New Roman" w:hAnsi="Times New Roman" w:eastAsia="宋体" w:cs="Times New Roman"/>
                      <w:bCs/>
                      <w:color w:val="auto"/>
                      <w:sz w:val="18"/>
                      <w:szCs w:val="18"/>
                      <w:highlight w:val="none"/>
                    </w:rPr>
                    <w:t>70</w:t>
                  </w:r>
                </w:p>
              </w:tc>
              <w:tc>
                <w:tcPr>
                  <w:tcW w:w="958" w:type="dxa"/>
                  <w:noWrap w:val="0"/>
                  <w:vAlign w:val="center"/>
                </w:tcPr>
                <w:p>
                  <w:pPr>
                    <w:jc w:val="center"/>
                    <w:rPr>
                      <w:rFonts w:hint="default" w:eastAsia="宋体"/>
                      <w:color w:val="auto"/>
                      <w:sz w:val="18"/>
                      <w:szCs w:val="18"/>
                      <w:lang w:val="en-US" w:eastAsia="zh-CN"/>
                    </w:rPr>
                  </w:pPr>
                  <w:r>
                    <w:rPr>
                      <w:rFonts w:hint="eastAsia" w:ascii="Times New Roman" w:hAnsi="Times New Roman" w:eastAsia="宋体" w:cs="Times New Roman"/>
                      <w:bCs/>
                      <w:color w:val="auto"/>
                      <w:sz w:val="18"/>
                      <w:szCs w:val="18"/>
                      <w:highlight w:val="none"/>
                      <w:lang w:val="en-US" w:eastAsia="zh-CN"/>
                    </w:rPr>
                    <w:t>70</w:t>
                  </w:r>
                </w:p>
              </w:tc>
              <w:tc>
                <w:tcPr>
                  <w:tcW w:w="949" w:type="dxa"/>
                  <w:noWrap w:val="0"/>
                  <w:vAlign w:val="center"/>
                </w:tcPr>
                <w:p>
                  <w:pPr>
                    <w:jc w:val="center"/>
                    <w:rPr>
                      <w:color w:val="auto"/>
                      <w:sz w:val="18"/>
                      <w:szCs w:val="18"/>
                    </w:rPr>
                  </w:pPr>
                  <w:r>
                    <w:rPr>
                      <w:rFonts w:hint="eastAsia"/>
                      <w:color w:val="auto"/>
                      <w:sz w:val="18"/>
                      <w:szCs w:val="18"/>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76" w:hRule="atLeast"/>
                <w:jc w:val="center"/>
              </w:trPr>
              <w:tc>
                <w:tcPr>
                  <w:tcW w:w="728" w:type="dxa"/>
                  <w:noWrap w:val="0"/>
                  <w:vAlign w:val="center"/>
                </w:tcPr>
                <w:p>
                  <w:pPr>
                    <w:widowControl/>
                    <w:adjustRightInd w:val="0"/>
                    <w:snapToGrid w:val="0"/>
                    <w:jc w:val="center"/>
                    <w:rPr>
                      <w:bCs/>
                      <w:color w:val="auto"/>
                      <w:kern w:val="0"/>
                      <w:sz w:val="18"/>
                      <w:szCs w:val="18"/>
                    </w:rPr>
                  </w:pPr>
                  <w:r>
                    <w:rPr>
                      <w:rFonts w:hint="eastAsia"/>
                      <w:bCs/>
                      <w:color w:val="auto"/>
                      <w:kern w:val="0"/>
                      <w:sz w:val="18"/>
                      <w:szCs w:val="18"/>
                    </w:rPr>
                    <w:t>PM</w:t>
                  </w:r>
                  <w:r>
                    <w:rPr>
                      <w:rFonts w:hint="eastAsia"/>
                      <w:bCs/>
                      <w:color w:val="auto"/>
                      <w:kern w:val="0"/>
                      <w:sz w:val="18"/>
                      <w:szCs w:val="18"/>
                      <w:vertAlign w:val="subscript"/>
                    </w:rPr>
                    <w:t>2.5</w:t>
                  </w:r>
                </w:p>
              </w:tc>
              <w:tc>
                <w:tcPr>
                  <w:tcW w:w="3320" w:type="dxa"/>
                  <w:noWrap w:val="0"/>
                  <w:vAlign w:val="center"/>
                </w:tcPr>
                <w:p>
                  <w:pPr>
                    <w:widowControl/>
                    <w:adjustRightInd w:val="0"/>
                    <w:snapToGrid w:val="0"/>
                    <w:jc w:val="center"/>
                    <w:rPr>
                      <w:bCs/>
                      <w:color w:val="auto"/>
                      <w:kern w:val="0"/>
                      <w:sz w:val="18"/>
                      <w:szCs w:val="18"/>
                    </w:rPr>
                  </w:pPr>
                  <w:r>
                    <w:rPr>
                      <w:rFonts w:hint="eastAsia"/>
                      <w:bCs/>
                      <w:color w:val="auto"/>
                      <w:kern w:val="0"/>
                      <w:sz w:val="18"/>
                      <w:szCs w:val="18"/>
                    </w:rPr>
                    <w:t>年均值</w:t>
                  </w:r>
                </w:p>
              </w:tc>
              <w:tc>
                <w:tcPr>
                  <w:tcW w:w="1028" w:type="dxa"/>
                  <w:noWrap w:val="0"/>
                  <w:vAlign w:val="center"/>
                </w:tcPr>
                <w:p>
                  <w:pPr>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highlight w:val="none"/>
                    </w:rPr>
                    <w:t>31</w:t>
                  </w:r>
                </w:p>
              </w:tc>
              <w:tc>
                <w:tcPr>
                  <w:tcW w:w="1028" w:type="dxa"/>
                  <w:noWrap w:val="0"/>
                  <w:vAlign w:val="center"/>
                </w:tcPr>
                <w:p>
                  <w:pPr>
                    <w:jc w:val="center"/>
                    <w:rPr>
                      <w:bCs/>
                      <w:color w:val="auto"/>
                      <w:sz w:val="18"/>
                      <w:szCs w:val="18"/>
                    </w:rPr>
                  </w:pPr>
                  <w:r>
                    <w:rPr>
                      <w:rFonts w:hint="eastAsia" w:ascii="Times New Roman" w:hAnsi="Times New Roman" w:eastAsia="宋体" w:cs="Times New Roman"/>
                      <w:bCs/>
                      <w:color w:val="auto"/>
                      <w:sz w:val="18"/>
                      <w:szCs w:val="18"/>
                      <w:highlight w:val="none"/>
                    </w:rPr>
                    <w:t>35</w:t>
                  </w:r>
                </w:p>
              </w:tc>
              <w:tc>
                <w:tcPr>
                  <w:tcW w:w="958" w:type="dxa"/>
                  <w:noWrap w:val="0"/>
                  <w:vAlign w:val="center"/>
                </w:tcPr>
                <w:p>
                  <w:pPr>
                    <w:jc w:val="center"/>
                    <w:rPr>
                      <w:rFonts w:hint="default" w:eastAsia="宋体"/>
                      <w:color w:val="auto"/>
                      <w:sz w:val="18"/>
                      <w:szCs w:val="18"/>
                      <w:lang w:val="en-US" w:eastAsia="zh-CN"/>
                    </w:rPr>
                  </w:pPr>
                  <w:r>
                    <w:rPr>
                      <w:rFonts w:hint="eastAsia" w:ascii="Times New Roman" w:hAnsi="Times New Roman" w:eastAsia="宋体" w:cs="Times New Roman"/>
                      <w:bCs/>
                      <w:color w:val="auto"/>
                      <w:sz w:val="18"/>
                      <w:szCs w:val="18"/>
                      <w:highlight w:val="none"/>
                      <w:lang w:val="en-US" w:eastAsia="zh-CN"/>
                    </w:rPr>
                    <w:t>88.57</w:t>
                  </w:r>
                </w:p>
              </w:tc>
              <w:tc>
                <w:tcPr>
                  <w:tcW w:w="949" w:type="dxa"/>
                  <w:noWrap w:val="0"/>
                  <w:vAlign w:val="center"/>
                </w:tcPr>
                <w:p>
                  <w:pPr>
                    <w:jc w:val="center"/>
                    <w:rPr>
                      <w:color w:val="auto"/>
                      <w:sz w:val="18"/>
                      <w:szCs w:val="18"/>
                    </w:rPr>
                  </w:pPr>
                  <w:r>
                    <w:rPr>
                      <w:rFonts w:hint="eastAsia"/>
                      <w:color w:val="auto"/>
                      <w:sz w:val="18"/>
                      <w:szCs w:val="18"/>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76" w:hRule="atLeast"/>
                <w:jc w:val="center"/>
              </w:trPr>
              <w:tc>
                <w:tcPr>
                  <w:tcW w:w="728" w:type="dxa"/>
                  <w:noWrap w:val="0"/>
                  <w:vAlign w:val="center"/>
                </w:tcPr>
                <w:p>
                  <w:pPr>
                    <w:widowControl/>
                    <w:adjustRightInd w:val="0"/>
                    <w:snapToGrid w:val="0"/>
                    <w:jc w:val="center"/>
                    <w:rPr>
                      <w:bCs/>
                      <w:color w:val="auto"/>
                      <w:kern w:val="0"/>
                      <w:sz w:val="18"/>
                      <w:szCs w:val="18"/>
                    </w:rPr>
                  </w:pPr>
                  <w:r>
                    <w:rPr>
                      <w:bCs/>
                      <w:color w:val="auto"/>
                      <w:kern w:val="0"/>
                      <w:sz w:val="18"/>
                      <w:szCs w:val="18"/>
                    </w:rPr>
                    <w:t>CO</w:t>
                  </w:r>
                </w:p>
              </w:tc>
              <w:tc>
                <w:tcPr>
                  <w:tcW w:w="3320" w:type="dxa"/>
                  <w:noWrap w:val="0"/>
                  <w:vAlign w:val="center"/>
                </w:tcPr>
                <w:p>
                  <w:pPr>
                    <w:widowControl/>
                    <w:adjustRightInd w:val="0"/>
                    <w:snapToGrid w:val="0"/>
                    <w:jc w:val="center"/>
                    <w:rPr>
                      <w:bCs/>
                      <w:color w:val="auto"/>
                      <w:kern w:val="0"/>
                      <w:sz w:val="18"/>
                      <w:szCs w:val="18"/>
                    </w:rPr>
                  </w:pPr>
                  <w:r>
                    <w:rPr>
                      <w:bCs/>
                      <w:color w:val="auto"/>
                      <w:kern w:val="0"/>
                      <w:sz w:val="18"/>
                      <w:szCs w:val="18"/>
                    </w:rPr>
                    <w:t>24小时平均第95百分位数</w:t>
                  </w:r>
                </w:p>
              </w:tc>
              <w:tc>
                <w:tcPr>
                  <w:tcW w:w="1028" w:type="dxa"/>
                  <w:noWrap w:val="0"/>
                  <w:vAlign w:val="center"/>
                </w:tcPr>
                <w:p>
                  <w:pPr>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highlight w:val="none"/>
                      <w:lang w:val="en-US" w:eastAsia="zh-CN"/>
                    </w:rPr>
                    <w:t>1200</w:t>
                  </w:r>
                </w:p>
              </w:tc>
              <w:tc>
                <w:tcPr>
                  <w:tcW w:w="1028" w:type="dxa"/>
                  <w:noWrap w:val="0"/>
                  <w:vAlign w:val="center"/>
                </w:tcPr>
                <w:p>
                  <w:pPr>
                    <w:jc w:val="center"/>
                    <w:rPr>
                      <w:rFonts w:hint="eastAsia"/>
                      <w:bCs/>
                      <w:color w:val="auto"/>
                      <w:sz w:val="18"/>
                      <w:szCs w:val="18"/>
                    </w:rPr>
                  </w:pPr>
                  <w:r>
                    <w:rPr>
                      <w:rFonts w:hint="eastAsia" w:ascii="Times New Roman" w:hAnsi="Times New Roman" w:eastAsia="宋体" w:cs="Times New Roman"/>
                      <w:bCs/>
                      <w:color w:val="auto"/>
                      <w:sz w:val="18"/>
                      <w:szCs w:val="18"/>
                      <w:highlight w:val="none"/>
                    </w:rPr>
                    <w:t>4000</w:t>
                  </w:r>
                </w:p>
              </w:tc>
              <w:tc>
                <w:tcPr>
                  <w:tcW w:w="958" w:type="dxa"/>
                  <w:noWrap w:val="0"/>
                  <w:vAlign w:val="center"/>
                </w:tcPr>
                <w:p>
                  <w:pPr>
                    <w:jc w:val="center"/>
                    <w:rPr>
                      <w:rFonts w:hint="default" w:eastAsia="宋体"/>
                      <w:color w:val="auto"/>
                      <w:sz w:val="18"/>
                      <w:szCs w:val="18"/>
                      <w:lang w:val="en-US" w:eastAsia="zh-CN"/>
                    </w:rPr>
                  </w:pPr>
                  <w:r>
                    <w:rPr>
                      <w:rFonts w:hint="eastAsia" w:ascii="Times New Roman" w:hAnsi="Times New Roman" w:eastAsia="宋体" w:cs="Times New Roman"/>
                      <w:bCs/>
                      <w:color w:val="auto"/>
                      <w:sz w:val="18"/>
                      <w:szCs w:val="18"/>
                      <w:highlight w:val="none"/>
                      <w:lang w:val="en-US" w:eastAsia="zh-CN"/>
                    </w:rPr>
                    <w:t>30</w:t>
                  </w:r>
                </w:p>
              </w:tc>
              <w:tc>
                <w:tcPr>
                  <w:tcW w:w="949" w:type="dxa"/>
                  <w:noWrap w:val="0"/>
                  <w:vAlign w:val="center"/>
                </w:tcPr>
                <w:p>
                  <w:pPr>
                    <w:jc w:val="center"/>
                    <w:rPr>
                      <w:color w:val="auto"/>
                      <w:sz w:val="18"/>
                      <w:szCs w:val="18"/>
                    </w:rPr>
                  </w:pPr>
                  <w:r>
                    <w:rPr>
                      <w:rFonts w:hint="eastAsia"/>
                      <w:color w:val="auto"/>
                      <w:sz w:val="18"/>
                      <w:szCs w:val="18"/>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76" w:hRule="atLeast"/>
                <w:jc w:val="center"/>
              </w:trPr>
              <w:tc>
                <w:tcPr>
                  <w:tcW w:w="728" w:type="dxa"/>
                  <w:noWrap w:val="0"/>
                  <w:vAlign w:val="center"/>
                </w:tcPr>
                <w:p>
                  <w:pPr>
                    <w:widowControl/>
                    <w:adjustRightInd w:val="0"/>
                    <w:snapToGrid w:val="0"/>
                    <w:jc w:val="center"/>
                    <w:rPr>
                      <w:bCs/>
                      <w:color w:val="auto"/>
                      <w:sz w:val="18"/>
                      <w:szCs w:val="18"/>
                    </w:rPr>
                  </w:pPr>
                  <w:r>
                    <w:rPr>
                      <w:bCs/>
                      <w:color w:val="auto"/>
                      <w:sz w:val="18"/>
                      <w:szCs w:val="18"/>
                    </w:rPr>
                    <w:t>O</w:t>
                  </w:r>
                  <w:r>
                    <w:rPr>
                      <w:bCs/>
                      <w:color w:val="auto"/>
                      <w:sz w:val="18"/>
                      <w:szCs w:val="18"/>
                      <w:vertAlign w:val="subscript"/>
                    </w:rPr>
                    <w:t>3</w:t>
                  </w:r>
                </w:p>
              </w:tc>
              <w:tc>
                <w:tcPr>
                  <w:tcW w:w="3320" w:type="dxa"/>
                  <w:noWrap w:val="0"/>
                  <w:vAlign w:val="center"/>
                </w:tcPr>
                <w:p>
                  <w:pPr>
                    <w:widowControl/>
                    <w:adjustRightInd w:val="0"/>
                    <w:snapToGrid w:val="0"/>
                    <w:jc w:val="center"/>
                    <w:rPr>
                      <w:rFonts w:hint="eastAsia"/>
                      <w:bCs/>
                      <w:color w:val="auto"/>
                      <w:kern w:val="0"/>
                      <w:sz w:val="18"/>
                      <w:szCs w:val="18"/>
                    </w:rPr>
                  </w:pPr>
                  <w:r>
                    <w:rPr>
                      <w:rFonts w:hint="eastAsia"/>
                      <w:bCs/>
                      <w:color w:val="auto"/>
                      <w:kern w:val="0"/>
                      <w:sz w:val="18"/>
                      <w:szCs w:val="18"/>
                    </w:rPr>
                    <w:t>日最大8小时滑动平均值第90百分位数</w:t>
                  </w:r>
                </w:p>
              </w:tc>
              <w:tc>
                <w:tcPr>
                  <w:tcW w:w="1028" w:type="dxa"/>
                  <w:noWrap w:val="0"/>
                  <w:vAlign w:val="center"/>
                </w:tcPr>
                <w:p>
                  <w:pPr>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highlight w:val="none"/>
                    </w:rPr>
                    <w:t>152</w:t>
                  </w:r>
                </w:p>
              </w:tc>
              <w:tc>
                <w:tcPr>
                  <w:tcW w:w="1028" w:type="dxa"/>
                  <w:noWrap w:val="0"/>
                  <w:vAlign w:val="center"/>
                </w:tcPr>
                <w:p>
                  <w:pPr>
                    <w:jc w:val="center"/>
                    <w:rPr>
                      <w:rFonts w:hint="eastAsia"/>
                      <w:bCs/>
                      <w:color w:val="auto"/>
                      <w:sz w:val="18"/>
                      <w:szCs w:val="18"/>
                    </w:rPr>
                  </w:pPr>
                  <w:r>
                    <w:rPr>
                      <w:rFonts w:hint="eastAsia" w:ascii="Times New Roman" w:hAnsi="Times New Roman" w:eastAsia="宋体" w:cs="Times New Roman"/>
                      <w:bCs/>
                      <w:color w:val="auto"/>
                      <w:sz w:val="18"/>
                      <w:szCs w:val="18"/>
                      <w:highlight w:val="none"/>
                    </w:rPr>
                    <w:t>160</w:t>
                  </w:r>
                </w:p>
              </w:tc>
              <w:tc>
                <w:tcPr>
                  <w:tcW w:w="958" w:type="dxa"/>
                  <w:noWrap w:val="0"/>
                  <w:vAlign w:val="center"/>
                </w:tcPr>
                <w:p>
                  <w:pPr>
                    <w:jc w:val="center"/>
                    <w:rPr>
                      <w:rFonts w:hint="default" w:eastAsia="宋体"/>
                      <w:color w:val="auto"/>
                      <w:sz w:val="18"/>
                      <w:szCs w:val="18"/>
                      <w:lang w:val="en-US" w:eastAsia="zh-CN"/>
                    </w:rPr>
                  </w:pPr>
                  <w:r>
                    <w:rPr>
                      <w:rFonts w:hint="eastAsia" w:ascii="Times New Roman" w:hAnsi="Times New Roman" w:eastAsia="宋体" w:cs="Times New Roman"/>
                      <w:bCs/>
                      <w:color w:val="auto"/>
                      <w:sz w:val="18"/>
                      <w:szCs w:val="18"/>
                      <w:highlight w:val="none"/>
                      <w:lang w:val="en-US" w:eastAsia="zh-CN"/>
                    </w:rPr>
                    <w:t>95</w:t>
                  </w:r>
                </w:p>
              </w:tc>
              <w:tc>
                <w:tcPr>
                  <w:tcW w:w="949" w:type="dxa"/>
                  <w:noWrap w:val="0"/>
                  <w:vAlign w:val="center"/>
                </w:tcPr>
                <w:p>
                  <w:pPr>
                    <w:jc w:val="center"/>
                    <w:rPr>
                      <w:rFonts w:hint="eastAsia" w:eastAsia="宋体"/>
                      <w:color w:val="auto"/>
                      <w:sz w:val="18"/>
                      <w:szCs w:val="18"/>
                      <w:lang w:eastAsia="zh-CN"/>
                    </w:rPr>
                  </w:pPr>
                  <w:r>
                    <w:rPr>
                      <w:rFonts w:hint="eastAsia"/>
                      <w:color w:val="auto"/>
                      <w:sz w:val="18"/>
                      <w:szCs w:val="18"/>
                    </w:rPr>
                    <w:t>达标</w:t>
                  </w:r>
                </w:p>
              </w:tc>
            </w:tr>
          </w:tbl>
          <w:p>
            <w:pPr>
              <w:adjustRightInd w:val="0"/>
              <w:snapToGrid w:val="0"/>
              <w:spacing w:line="500" w:lineRule="exact"/>
              <w:ind w:firstLine="420" w:firstLineChars="200"/>
              <w:rPr>
                <w:rFonts w:hint="eastAsia"/>
                <w:color w:val="auto"/>
                <w:kern w:val="0"/>
                <w:szCs w:val="21"/>
                <w:lang w:val="en-US" w:eastAsia="zh-CN"/>
              </w:rPr>
            </w:pPr>
            <w:r>
              <w:rPr>
                <w:rFonts w:hint="eastAsia"/>
                <w:color w:val="auto"/>
                <w:kern w:val="0"/>
                <w:szCs w:val="21"/>
              </w:rPr>
              <w:t>根据监测结果可知，</w:t>
            </w:r>
            <w:r>
              <w:rPr>
                <w:rFonts w:hint="eastAsia"/>
                <w:color w:val="auto"/>
                <w:kern w:val="0"/>
                <w:szCs w:val="21"/>
                <w:lang w:val="en-US" w:eastAsia="zh-CN"/>
              </w:rPr>
              <w:t>各污染物基本因子均可</w:t>
            </w:r>
            <w:r>
              <w:rPr>
                <w:rFonts w:hint="eastAsia"/>
                <w:color w:val="auto"/>
                <w:kern w:val="0"/>
                <w:szCs w:val="21"/>
              </w:rPr>
              <w:t>满足《环境空气质量标准》（GB3095-2012）中二级标准</w:t>
            </w:r>
            <w:r>
              <w:rPr>
                <w:rFonts w:hint="eastAsia"/>
                <w:color w:val="auto"/>
                <w:kern w:val="0"/>
                <w:szCs w:val="21"/>
                <w:lang w:eastAsia="zh-CN"/>
              </w:rPr>
              <w:t>，</w:t>
            </w:r>
            <w:r>
              <w:rPr>
                <w:rFonts w:hint="eastAsia"/>
                <w:color w:val="auto"/>
                <w:kern w:val="0"/>
                <w:szCs w:val="21"/>
              </w:rPr>
              <w:t>因此判定项目所在区域属于达标区。根据《市政府关于印发南通市空气质量持续改善行动计划实施方案的通知》（通政发〔2024〕24号），为贯彻落实《国务院关于印发〈空气质量持续改善行动计划&gt;的通知》《江苏省空气质量持续改善行动计划实施方案》要求，持续深入打好蓝天保卫战，以空气质量持续改善推动经济高质量发展，制定《南通市空气质量持续改善行动计划实施方案》。方案主要内容为：坚决遏制“两高一低”项目盲目上马；加快退出重点行业落后产能；推进园区、产业集群绿色低碳化改造与综合整治；优化含VOCs原辅材料和产品结构；严格合理控制煤炭消费总量；推进燃煤锅炉关停整合和工业炉窑清洁能源替代；持续优化调整货物运输结构；加快提升机动车清洁化水平；强化非道路移动源综合治理；加强扬尘精细化管控；加强秸秆综合利用和禁烧；强化VOCs全流程、全环节综合治理；推进重点行业超低排放与提标改造；开展餐饮油烟、恶臭异味专项；治理；稳步推进大气氨污染防控；健全区域大气污染防治协作机制；完善重污染天气应对机制</w:t>
            </w:r>
            <w:r>
              <w:rPr>
                <w:rFonts w:hint="eastAsia"/>
                <w:color w:val="auto"/>
                <w:kern w:val="0"/>
                <w:szCs w:val="21"/>
                <w:lang w:eastAsia="zh-CN"/>
              </w:rPr>
              <w:t>；持</w:t>
            </w:r>
            <w:r>
              <w:rPr>
                <w:rFonts w:hint="eastAsia"/>
                <w:color w:val="auto"/>
                <w:kern w:val="0"/>
                <w:szCs w:val="21"/>
              </w:rPr>
              <w:t>续加强监测能力建设和执法监管能力建设；加强决策科技支撑；强化标准引领；积极发挥财政金融引导作用；加强组织领导；严格监督考核；推进信息公开</w:t>
            </w:r>
            <w:r>
              <w:rPr>
                <w:rFonts w:hint="eastAsia"/>
                <w:color w:val="auto"/>
                <w:kern w:val="0"/>
                <w:szCs w:val="21"/>
                <w:lang w:val="en-US" w:eastAsia="zh-CN"/>
              </w:rPr>
              <w:t>。</w:t>
            </w:r>
          </w:p>
          <w:p>
            <w:pPr>
              <w:adjustRightInd w:val="0"/>
              <w:snapToGrid w:val="0"/>
              <w:spacing w:line="500" w:lineRule="exact"/>
              <w:ind w:firstLine="420" w:firstLineChars="200"/>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本项目排放污染物包括TSP、氮氧化物、二氧化硫、非甲烷总烃，其中二氧化硫</w:t>
            </w:r>
            <w:r>
              <w:rPr>
                <w:rFonts w:hint="eastAsia"/>
                <w:color w:val="auto"/>
                <w:lang w:val="en-US" w:eastAsia="zh-CN"/>
              </w:rPr>
              <w:t>采用</w:t>
            </w:r>
            <w:r>
              <w:rPr>
                <w:rFonts w:hint="eastAsia"/>
                <w:color w:val="auto"/>
                <w:kern w:val="0"/>
                <w:szCs w:val="21"/>
                <w:lang w:eastAsia="zh-CN"/>
              </w:rPr>
              <w:t>《南通市生态环境状况公报（</w:t>
            </w:r>
            <w:r>
              <w:rPr>
                <w:rFonts w:hint="eastAsia"/>
                <w:color w:val="auto"/>
                <w:kern w:val="0"/>
                <w:szCs w:val="21"/>
                <w:lang w:val="en-US" w:eastAsia="zh-CN"/>
              </w:rPr>
              <w:t>2024</w:t>
            </w:r>
            <w:r>
              <w:rPr>
                <w:rFonts w:hint="eastAsia"/>
                <w:color w:val="auto"/>
                <w:kern w:val="0"/>
                <w:szCs w:val="21"/>
                <w:lang w:eastAsia="zh-CN"/>
              </w:rPr>
              <w:t>））》</w:t>
            </w:r>
            <w:r>
              <w:rPr>
                <w:rFonts w:hint="eastAsia"/>
                <w:color w:val="auto"/>
                <w:lang w:val="en-US" w:eastAsia="zh-CN"/>
              </w:rPr>
              <w:t>发布数据，</w:t>
            </w:r>
            <w:r>
              <w:rPr>
                <w:rFonts w:hint="eastAsia" w:cs="Times New Roman"/>
                <w:color w:val="auto"/>
                <w:kern w:val="0"/>
                <w:szCs w:val="21"/>
                <w:lang w:val="en-US" w:eastAsia="zh-CN"/>
              </w:rPr>
              <w:t>非甲烷总烃</w:t>
            </w:r>
            <w:r>
              <w:rPr>
                <w:rFonts w:hint="default" w:ascii="Times New Roman" w:hAnsi="Times New Roman" w:eastAsia="宋体" w:cs="Times New Roman"/>
                <w:color w:val="auto"/>
                <w:lang w:val="en-US" w:eastAsia="zh-CN"/>
              </w:rPr>
              <w:t>不属于《环境空气质量标准》（GB3095-2012）中所列因子，</w:t>
            </w:r>
            <w:r>
              <w:rPr>
                <w:rFonts w:hint="eastAsia"/>
                <w:color w:val="auto"/>
                <w:lang w:val="en-US" w:eastAsia="zh-CN"/>
              </w:rPr>
              <w:t>无需进行现状监测的</w:t>
            </w:r>
            <w:r>
              <w:rPr>
                <w:rFonts w:hint="default" w:ascii="Times New Roman" w:hAnsi="Times New Roman" w:eastAsia="宋体" w:cs="Times New Roman"/>
                <w:color w:val="auto"/>
                <w:lang w:val="en-US" w:eastAsia="zh-CN"/>
              </w:rPr>
              <w:t>。</w:t>
            </w:r>
          </w:p>
          <w:p>
            <w:pPr>
              <w:adjustRightInd w:val="0"/>
              <w:snapToGrid w:val="0"/>
              <w:spacing w:line="500" w:lineRule="exact"/>
              <w:ind w:firstLine="420" w:firstLineChars="200"/>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lang w:val="en-US" w:eastAsia="zh-CN"/>
              </w:rPr>
              <w:t>TSP</w:t>
            </w:r>
            <w:r>
              <w:rPr>
                <w:rFonts w:hint="eastAsia" w:cs="Times New Roman"/>
                <w:color w:val="auto"/>
                <w:kern w:val="0"/>
                <w:szCs w:val="21"/>
                <w:lang w:val="en-US" w:eastAsia="zh-CN"/>
              </w:rPr>
              <w:t>、氮氧化物</w:t>
            </w:r>
            <w:r>
              <w:rPr>
                <w:rFonts w:hint="eastAsia" w:ascii="Times New Roman" w:hAnsi="Times New Roman" w:eastAsia="宋体" w:cs="Times New Roman"/>
                <w:color w:val="auto"/>
                <w:kern w:val="0"/>
                <w:szCs w:val="21"/>
                <w:lang w:val="en-US" w:eastAsia="zh-CN"/>
              </w:rPr>
              <w:t>数据</w:t>
            </w:r>
            <w:r>
              <w:rPr>
                <w:rFonts w:hint="eastAsia" w:ascii="Times New Roman" w:hAnsi="Times New Roman" w:eastAsia="宋体" w:cs="Times New Roman"/>
                <w:color w:val="auto"/>
                <w:kern w:val="0"/>
                <w:szCs w:val="21"/>
              </w:rPr>
              <w:t>引用《</w:t>
            </w:r>
            <w:r>
              <w:rPr>
                <w:rFonts w:hint="eastAsia" w:cs="Times New Roman"/>
                <w:color w:val="auto"/>
                <w:kern w:val="0"/>
                <w:szCs w:val="21"/>
                <w:lang w:eastAsia="zh-CN"/>
              </w:rPr>
              <w:t>南通剑祥铸造有限公司</w:t>
            </w:r>
            <w:r>
              <w:rPr>
                <w:rFonts w:hint="eastAsia" w:ascii="Times New Roman" w:hAnsi="Times New Roman" w:eastAsia="宋体" w:cs="Times New Roman"/>
                <w:color w:val="auto"/>
                <w:kern w:val="0"/>
                <w:szCs w:val="21"/>
              </w:rPr>
              <w:t>年产</w:t>
            </w:r>
            <w:r>
              <w:rPr>
                <w:rFonts w:hint="eastAsia" w:cs="Times New Roman"/>
                <w:color w:val="auto"/>
                <w:kern w:val="0"/>
                <w:szCs w:val="21"/>
                <w:lang w:val="en-US" w:eastAsia="zh-CN"/>
              </w:rPr>
              <w:t>4130</w:t>
            </w:r>
            <w:r>
              <w:rPr>
                <w:rFonts w:hint="eastAsia" w:ascii="Times New Roman" w:hAnsi="Times New Roman" w:eastAsia="宋体" w:cs="Times New Roman"/>
                <w:color w:val="auto"/>
                <w:kern w:val="0"/>
                <w:szCs w:val="21"/>
              </w:rPr>
              <w:t>吨</w:t>
            </w:r>
            <w:r>
              <w:rPr>
                <w:rFonts w:hint="eastAsia" w:cs="Times New Roman"/>
                <w:color w:val="auto"/>
                <w:kern w:val="0"/>
                <w:szCs w:val="21"/>
                <w:lang w:eastAsia="zh-CN"/>
              </w:rPr>
              <w:t>精密铸件迁建技改项目</w:t>
            </w:r>
            <w:r>
              <w:rPr>
                <w:rFonts w:hint="eastAsia" w:ascii="Times New Roman" w:hAnsi="Times New Roman" w:eastAsia="宋体" w:cs="Times New Roman"/>
                <w:color w:val="auto"/>
                <w:kern w:val="0"/>
                <w:szCs w:val="21"/>
              </w:rPr>
              <w:t>》中202</w:t>
            </w:r>
            <w:r>
              <w:rPr>
                <w:rFonts w:hint="eastAsia" w:cs="Times New Roman"/>
                <w:color w:val="auto"/>
                <w:kern w:val="0"/>
                <w:szCs w:val="21"/>
                <w:lang w:val="en-US" w:eastAsia="zh-CN"/>
              </w:rPr>
              <w:t>4</w:t>
            </w:r>
            <w:r>
              <w:rPr>
                <w:rFonts w:hint="eastAsia" w:ascii="Times New Roman" w:hAnsi="Times New Roman" w:eastAsia="宋体" w:cs="Times New Roman"/>
                <w:color w:val="auto"/>
                <w:kern w:val="0"/>
                <w:szCs w:val="21"/>
              </w:rPr>
              <w:t>年</w:t>
            </w:r>
            <w:r>
              <w:rPr>
                <w:rFonts w:hint="eastAsia" w:cs="Times New Roman"/>
                <w:color w:val="auto"/>
                <w:kern w:val="0"/>
                <w:szCs w:val="21"/>
                <w:lang w:val="en-US" w:eastAsia="zh-CN"/>
              </w:rPr>
              <w:t>5</w:t>
            </w:r>
            <w:r>
              <w:rPr>
                <w:rFonts w:hint="eastAsia" w:ascii="Times New Roman" w:hAnsi="Times New Roman" w:eastAsia="宋体" w:cs="Times New Roman"/>
                <w:color w:val="auto"/>
                <w:kern w:val="0"/>
                <w:szCs w:val="21"/>
              </w:rPr>
              <w:t>月</w:t>
            </w:r>
            <w:r>
              <w:rPr>
                <w:rFonts w:hint="eastAsia" w:cs="Times New Roman"/>
                <w:color w:val="auto"/>
                <w:kern w:val="0"/>
                <w:szCs w:val="21"/>
                <w:lang w:val="en-US" w:eastAsia="zh-CN"/>
              </w:rPr>
              <w:t>14</w:t>
            </w:r>
            <w:r>
              <w:rPr>
                <w:rFonts w:hint="eastAsia" w:ascii="Times New Roman" w:hAnsi="Times New Roman" w:eastAsia="宋体" w:cs="Times New Roman"/>
                <w:color w:val="auto"/>
                <w:kern w:val="0"/>
                <w:szCs w:val="21"/>
              </w:rPr>
              <w:t>日~202</w:t>
            </w:r>
            <w:r>
              <w:rPr>
                <w:rFonts w:hint="eastAsia" w:cs="Times New Roman"/>
                <w:color w:val="auto"/>
                <w:kern w:val="0"/>
                <w:szCs w:val="21"/>
                <w:lang w:val="en-US" w:eastAsia="zh-CN"/>
              </w:rPr>
              <w:t>4</w:t>
            </w:r>
            <w:r>
              <w:rPr>
                <w:rFonts w:hint="eastAsia" w:ascii="Times New Roman" w:hAnsi="Times New Roman" w:eastAsia="宋体" w:cs="Times New Roman"/>
                <w:color w:val="auto"/>
                <w:kern w:val="0"/>
                <w:szCs w:val="21"/>
              </w:rPr>
              <w:t>年</w:t>
            </w:r>
            <w:r>
              <w:rPr>
                <w:rFonts w:hint="eastAsia" w:cs="Times New Roman"/>
                <w:color w:val="auto"/>
                <w:kern w:val="0"/>
                <w:szCs w:val="21"/>
                <w:lang w:val="en-US" w:eastAsia="zh-CN"/>
              </w:rPr>
              <w:t>5</w:t>
            </w:r>
            <w:r>
              <w:rPr>
                <w:rFonts w:hint="eastAsia" w:ascii="Times New Roman" w:hAnsi="Times New Roman" w:eastAsia="宋体" w:cs="Times New Roman"/>
                <w:color w:val="auto"/>
                <w:kern w:val="0"/>
                <w:szCs w:val="21"/>
              </w:rPr>
              <w:t>月</w:t>
            </w:r>
            <w:r>
              <w:rPr>
                <w:rFonts w:hint="eastAsia" w:cs="Times New Roman"/>
                <w:color w:val="auto"/>
                <w:kern w:val="0"/>
                <w:szCs w:val="21"/>
                <w:lang w:val="en-US" w:eastAsia="zh-CN"/>
              </w:rPr>
              <w:t>21</w:t>
            </w:r>
            <w:r>
              <w:rPr>
                <w:rFonts w:hint="eastAsia" w:ascii="Times New Roman" w:hAnsi="Times New Roman" w:eastAsia="宋体" w:cs="Times New Roman"/>
                <w:color w:val="auto"/>
                <w:kern w:val="0"/>
                <w:szCs w:val="21"/>
              </w:rPr>
              <w:t>日委托江苏</w:t>
            </w:r>
            <w:r>
              <w:rPr>
                <w:rFonts w:hint="eastAsia" w:cs="Times New Roman"/>
                <w:color w:val="auto"/>
                <w:kern w:val="0"/>
                <w:szCs w:val="21"/>
                <w:lang w:eastAsia="zh-CN"/>
              </w:rPr>
              <w:t>迈斯特环境</w:t>
            </w:r>
            <w:r>
              <w:rPr>
                <w:rFonts w:hint="eastAsia" w:ascii="Times New Roman" w:hAnsi="Times New Roman" w:eastAsia="宋体" w:cs="Times New Roman"/>
                <w:color w:val="auto"/>
                <w:kern w:val="0"/>
                <w:szCs w:val="21"/>
              </w:rPr>
              <w:t>检测技术有限公司对</w:t>
            </w:r>
            <w:r>
              <w:rPr>
                <w:rFonts w:hint="eastAsia" w:cs="Times New Roman"/>
                <w:color w:val="auto"/>
                <w:kern w:val="0"/>
                <w:szCs w:val="21"/>
                <w:lang w:eastAsia="zh-CN"/>
              </w:rPr>
              <w:t>项目下风向</w:t>
            </w:r>
            <w:r>
              <w:rPr>
                <w:rFonts w:hint="eastAsia" w:ascii="Times New Roman" w:hAnsi="Times New Roman" w:eastAsia="宋体" w:cs="Times New Roman"/>
                <w:color w:val="auto"/>
                <w:kern w:val="0"/>
                <w:szCs w:val="21"/>
                <w:lang w:eastAsia="zh-CN"/>
              </w:rPr>
              <w:t>蒲港</w:t>
            </w:r>
            <w:r>
              <w:rPr>
                <w:rFonts w:hint="eastAsia" w:cs="Times New Roman"/>
                <w:color w:val="auto"/>
                <w:kern w:val="0"/>
                <w:szCs w:val="21"/>
                <w:lang w:eastAsia="zh-CN"/>
              </w:rPr>
              <w:t>居委二十九组</w:t>
            </w:r>
            <w:r>
              <w:rPr>
                <w:rFonts w:hint="eastAsia" w:ascii="Times New Roman" w:hAnsi="Times New Roman" w:eastAsia="宋体" w:cs="Times New Roman"/>
                <w:color w:val="auto"/>
                <w:kern w:val="0"/>
                <w:szCs w:val="21"/>
              </w:rPr>
              <w:t>的实测数据，</w:t>
            </w:r>
            <w:r>
              <w:rPr>
                <w:rFonts w:hint="eastAsia" w:ascii="Times New Roman" w:hAnsi="Times New Roman" w:eastAsia="宋体" w:cs="Times New Roman"/>
                <w:color w:val="auto"/>
                <w:kern w:val="0"/>
                <w:szCs w:val="21"/>
                <w:lang w:eastAsia="zh-CN"/>
              </w:rPr>
              <w:t>蒲港</w:t>
            </w:r>
            <w:r>
              <w:rPr>
                <w:rFonts w:hint="eastAsia" w:cs="Times New Roman"/>
                <w:color w:val="auto"/>
                <w:kern w:val="0"/>
                <w:szCs w:val="21"/>
                <w:lang w:eastAsia="zh-CN"/>
              </w:rPr>
              <w:t>居委二十九组</w:t>
            </w:r>
            <w:r>
              <w:rPr>
                <w:rFonts w:hint="eastAsia" w:ascii="Times New Roman" w:hAnsi="Times New Roman" w:eastAsia="宋体" w:cs="Times New Roman"/>
                <w:color w:val="auto"/>
                <w:kern w:val="0"/>
                <w:szCs w:val="21"/>
                <w:lang w:eastAsia="zh-CN"/>
              </w:rPr>
              <w:t>位于</w:t>
            </w:r>
            <w:r>
              <w:rPr>
                <w:rFonts w:hint="eastAsia" w:ascii="Times New Roman" w:hAnsi="Times New Roman" w:eastAsia="宋体" w:cs="Times New Roman"/>
                <w:color w:val="auto"/>
                <w:kern w:val="0"/>
                <w:szCs w:val="21"/>
              </w:rPr>
              <w:t>本项目</w:t>
            </w:r>
            <w:r>
              <w:rPr>
                <w:rFonts w:hint="eastAsia" w:cs="Times New Roman"/>
                <w:color w:val="auto"/>
                <w:kern w:val="0"/>
                <w:szCs w:val="21"/>
                <w:lang w:eastAsia="zh-CN"/>
              </w:rPr>
              <w:t>西南向</w:t>
            </w:r>
            <w:r>
              <w:rPr>
                <w:rFonts w:hint="eastAsia" w:ascii="Times New Roman" w:hAnsi="Times New Roman" w:eastAsia="宋体" w:cs="Times New Roman"/>
                <w:color w:val="auto"/>
                <w:kern w:val="0"/>
                <w:szCs w:val="21"/>
              </w:rPr>
              <w:t>约</w:t>
            </w:r>
            <w:r>
              <w:rPr>
                <w:rFonts w:hint="eastAsia" w:cs="Times New Roman"/>
                <w:color w:val="auto"/>
                <w:kern w:val="0"/>
                <w:szCs w:val="21"/>
                <w:lang w:val="en-US" w:eastAsia="zh-CN"/>
              </w:rPr>
              <w:t>1700</w:t>
            </w:r>
            <w:r>
              <w:rPr>
                <w:rFonts w:hint="eastAsia" w:ascii="Times New Roman" w:hAnsi="Times New Roman" w:eastAsia="宋体" w:cs="Times New Roman"/>
                <w:color w:val="auto"/>
                <w:kern w:val="0"/>
                <w:szCs w:val="21"/>
              </w:rPr>
              <w:t>m</w:t>
            </w:r>
            <w:r>
              <w:rPr>
                <w:rFonts w:hint="eastAsia" w:ascii="Times New Roman" w:hAnsi="Times New Roman" w:eastAsia="宋体" w:cs="Times New Roman"/>
                <w:color w:val="auto"/>
                <w:kern w:val="0"/>
                <w:szCs w:val="21"/>
                <w:lang w:eastAsia="zh-CN"/>
              </w:rPr>
              <w:t>处</w:t>
            </w:r>
            <w:r>
              <w:rPr>
                <w:rFonts w:hint="eastAsia" w:ascii="Times New Roman" w:hAnsi="Times New Roman" w:eastAsia="宋体" w:cs="Times New Roman"/>
                <w:color w:val="auto"/>
                <w:kern w:val="0"/>
                <w:szCs w:val="21"/>
              </w:rPr>
              <w:t>，且监测数据为3年内的有效数据，</w:t>
            </w:r>
            <w:r>
              <w:rPr>
                <w:rFonts w:hint="eastAsia"/>
                <w:color w:val="auto"/>
                <w:u w:val="none"/>
                <w:lang w:val="en-US" w:eastAsia="zh-CN"/>
              </w:rPr>
              <w:t>符合《建设项目环境影响报告表编制技术指南（污染影响类）（试行）》（环办环评〔2020〕33号）中“建设项目周边5千米范围内近3年的现有监测数据”引用要求。</w:t>
            </w:r>
            <w:r>
              <w:rPr>
                <w:rFonts w:hint="eastAsia" w:ascii="Times New Roman" w:hAnsi="Times New Roman" w:eastAsia="宋体" w:cs="Times New Roman"/>
                <w:color w:val="auto"/>
                <w:kern w:val="0"/>
                <w:szCs w:val="21"/>
              </w:rPr>
              <w:t>监测结果见表3-2。</w:t>
            </w:r>
          </w:p>
          <w:p>
            <w:pPr>
              <w:spacing w:line="500" w:lineRule="exact"/>
              <w:jc w:val="center"/>
              <w:rPr>
                <w:rFonts w:ascii="Times New Roman" w:hAnsi="Times New Roman" w:eastAsia="宋体" w:cs="Times New Roman"/>
                <w:b/>
                <w:color w:val="auto"/>
                <w:lang w:val="zh-CN"/>
              </w:rPr>
            </w:pPr>
            <w:r>
              <w:rPr>
                <w:rFonts w:ascii="Times New Roman" w:hAnsi="Times New Roman" w:eastAsia="宋体" w:cs="Times New Roman"/>
                <w:b/>
                <w:color w:val="auto"/>
                <w:lang w:val="zh-CN"/>
              </w:rPr>
              <w:t xml:space="preserve">表3-2  </w:t>
            </w:r>
            <w:r>
              <w:rPr>
                <w:rFonts w:hint="eastAsia" w:ascii="Times New Roman" w:hAnsi="Times New Roman" w:eastAsia="宋体" w:cs="Times New Roman"/>
                <w:b/>
                <w:color w:val="auto"/>
                <w:lang w:val="zh-CN"/>
              </w:rPr>
              <w:t>特征</w:t>
            </w:r>
            <w:r>
              <w:rPr>
                <w:rFonts w:ascii="Times New Roman" w:hAnsi="Times New Roman" w:eastAsia="宋体" w:cs="Times New Roman"/>
                <w:b/>
                <w:color w:val="auto"/>
                <w:lang w:val="zh-CN"/>
              </w:rPr>
              <w:t>污染物监测结果</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50"/>
              <w:gridCol w:w="1008"/>
              <w:gridCol w:w="882"/>
              <w:gridCol w:w="1235"/>
              <w:gridCol w:w="1398"/>
              <w:gridCol w:w="876"/>
              <w:gridCol w:w="687"/>
              <w:gridCol w:w="7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51" w:type="pct"/>
                  <w:shd w:val="clear" w:color="000000" w:fill="FFFFFF"/>
                  <w:noWrap w:val="0"/>
                  <w:vAlign w:val="center"/>
                </w:tcPr>
                <w:p>
                  <w:pPr>
                    <w:widowControl/>
                    <w:adjustRightInd w:val="0"/>
                    <w:snapToGrid w:val="0"/>
                    <w:jc w:val="center"/>
                    <w:rPr>
                      <w:rFonts w:hint="eastAsia" w:ascii="Times New Roman" w:hAnsi="Times New Roman" w:eastAsia="宋体" w:cs="Times New Roman"/>
                      <w:b/>
                      <w:bCs w:val="0"/>
                      <w:color w:val="auto"/>
                      <w:kern w:val="0"/>
                      <w:sz w:val="18"/>
                      <w:szCs w:val="18"/>
                    </w:rPr>
                  </w:pPr>
                  <w:r>
                    <w:rPr>
                      <w:rFonts w:hint="eastAsia" w:ascii="Times New Roman" w:hAnsi="Times New Roman" w:eastAsia="宋体" w:cs="Times New Roman"/>
                      <w:b/>
                      <w:bCs w:val="0"/>
                      <w:color w:val="auto"/>
                      <w:kern w:val="0"/>
                      <w:sz w:val="18"/>
                      <w:szCs w:val="18"/>
                    </w:rPr>
                    <w:t>监测点位</w:t>
                  </w:r>
                </w:p>
              </w:tc>
              <w:tc>
                <w:tcPr>
                  <w:tcW w:w="641" w:type="pct"/>
                  <w:shd w:val="clear" w:color="000000" w:fill="FFFFFF"/>
                  <w:noWrap w:val="0"/>
                  <w:vAlign w:val="center"/>
                </w:tcPr>
                <w:p>
                  <w:pPr>
                    <w:widowControl/>
                    <w:adjustRightInd w:val="0"/>
                    <w:snapToGrid w:val="0"/>
                    <w:jc w:val="center"/>
                    <w:rPr>
                      <w:rFonts w:hint="eastAsia" w:ascii="Times New Roman" w:hAnsi="Times New Roman" w:eastAsia="宋体" w:cs="Times New Roman"/>
                      <w:b/>
                      <w:bCs w:val="0"/>
                      <w:color w:val="auto"/>
                      <w:kern w:val="0"/>
                      <w:sz w:val="18"/>
                      <w:szCs w:val="18"/>
                    </w:rPr>
                  </w:pPr>
                  <w:r>
                    <w:rPr>
                      <w:rFonts w:hint="eastAsia" w:ascii="Times New Roman" w:hAnsi="Times New Roman" w:eastAsia="宋体" w:cs="Times New Roman"/>
                      <w:b/>
                      <w:bCs w:val="0"/>
                      <w:color w:val="auto"/>
                      <w:kern w:val="0"/>
                      <w:sz w:val="18"/>
                      <w:szCs w:val="18"/>
                    </w:rPr>
                    <w:t>监测因子</w:t>
                  </w:r>
                </w:p>
              </w:tc>
              <w:tc>
                <w:tcPr>
                  <w:tcW w:w="564" w:type="pct"/>
                  <w:shd w:val="clear" w:color="000000" w:fill="FFFFFF"/>
                  <w:noWrap w:val="0"/>
                  <w:vAlign w:val="center"/>
                </w:tcPr>
                <w:p>
                  <w:pPr>
                    <w:widowControl/>
                    <w:adjustRightInd w:val="0"/>
                    <w:snapToGrid w:val="0"/>
                    <w:jc w:val="center"/>
                    <w:rPr>
                      <w:rFonts w:hint="eastAsia" w:ascii="Times New Roman" w:hAnsi="Times New Roman" w:eastAsia="宋体" w:cs="Times New Roman"/>
                      <w:b/>
                      <w:bCs w:val="0"/>
                      <w:color w:val="auto"/>
                      <w:kern w:val="0"/>
                      <w:sz w:val="18"/>
                      <w:szCs w:val="18"/>
                    </w:rPr>
                  </w:pPr>
                  <w:r>
                    <w:rPr>
                      <w:rFonts w:hint="eastAsia" w:ascii="Times New Roman" w:hAnsi="Times New Roman" w:eastAsia="宋体" w:cs="Times New Roman"/>
                      <w:b/>
                      <w:bCs w:val="0"/>
                      <w:color w:val="auto"/>
                      <w:kern w:val="0"/>
                      <w:sz w:val="18"/>
                      <w:szCs w:val="18"/>
                    </w:rPr>
                    <w:t>平均</w:t>
                  </w:r>
                </w:p>
                <w:p>
                  <w:pPr>
                    <w:widowControl/>
                    <w:adjustRightInd w:val="0"/>
                    <w:snapToGrid w:val="0"/>
                    <w:jc w:val="center"/>
                    <w:rPr>
                      <w:rFonts w:hint="eastAsia" w:ascii="Times New Roman" w:hAnsi="Times New Roman" w:eastAsia="宋体" w:cs="Times New Roman"/>
                      <w:b/>
                      <w:bCs w:val="0"/>
                      <w:color w:val="auto"/>
                      <w:kern w:val="0"/>
                      <w:sz w:val="18"/>
                      <w:szCs w:val="18"/>
                    </w:rPr>
                  </w:pPr>
                  <w:r>
                    <w:rPr>
                      <w:rFonts w:hint="eastAsia" w:ascii="Times New Roman" w:hAnsi="Times New Roman" w:eastAsia="宋体" w:cs="Times New Roman"/>
                      <w:b/>
                      <w:bCs w:val="0"/>
                      <w:color w:val="auto"/>
                      <w:kern w:val="0"/>
                      <w:sz w:val="18"/>
                      <w:szCs w:val="18"/>
                    </w:rPr>
                    <w:t>时间</w:t>
                  </w:r>
                </w:p>
              </w:tc>
              <w:tc>
                <w:tcPr>
                  <w:tcW w:w="660" w:type="pct"/>
                  <w:shd w:val="clear" w:color="000000" w:fill="FFFFFF"/>
                  <w:noWrap w:val="0"/>
                  <w:vAlign w:val="center"/>
                </w:tcPr>
                <w:p>
                  <w:pPr>
                    <w:widowControl/>
                    <w:adjustRightInd w:val="0"/>
                    <w:snapToGrid w:val="0"/>
                    <w:jc w:val="center"/>
                    <w:rPr>
                      <w:rFonts w:hint="eastAsia" w:ascii="Times New Roman" w:hAnsi="Times New Roman" w:eastAsia="宋体" w:cs="Times New Roman"/>
                      <w:b/>
                      <w:bCs w:val="0"/>
                      <w:color w:val="auto"/>
                      <w:kern w:val="0"/>
                      <w:sz w:val="18"/>
                      <w:szCs w:val="18"/>
                    </w:rPr>
                  </w:pPr>
                  <w:r>
                    <w:rPr>
                      <w:rFonts w:hint="eastAsia" w:ascii="Times New Roman" w:hAnsi="Times New Roman" w:eastAsia="宋体" w:cs="Times New Roman"/>
                      <w:b/>
                      <w:bCs w:val="0"/>
                      <w:color w:val="auto"/>
                      <w:kern w:val="0"/>
                      <w:sz w:val="18"/>
                      <w:szCs w:val="18"/>
                    </w:rPr>
                    <w:t>标准值/（mg/m</w:t>
                  </w:r>
                  <w:r>
                    <w:rPr>
                      <w:rFonts w:hint="eastAsia" w:ascii="Times New Roman" w:hAnsi="Times New Roman" w:eastAsia="宋体" w:cs="Times New Roman"/>
                      <w:b/>
                      <w:bCs w:val="0"/>
                      <w:color w:val="auto"/>
                      <w:kern w:val="0"/>
                      <w:sz w:val="18"/>
                      <w:szCs w:val="18"/>
                      <w:vertAlign w:val="superscript"/>
                    </w:rPr>
                    <w:t>3</w:t>
                  </w:r>
                  <w:r>
                    <w:rPr>
                      <w:rFonts w:hint="eastAsia" w:ascii="Times New Roman" w:hAnsi="Times New Roman" w:eastAsia="宋体" w:cs="Times New Roman"/>
                      <w:b/>
                      <w:bCs w:val="0"/>
                      <w:color w:val="auto"/>
                      <w:kern w:val="0"/>
                      <w:sz w:val="18"/>
                      <w:szCs w:val="18"/>
                    </w:rPr>
                    <w:t>）</w:t>
                  </w:r>
                </w:p>
              </w:tc>
              <w:tc>
                <w:tcPr>
                  <w:tcW w:w="819" w:type="pct"/>
                  <w:shd w:val="clear" w:color="000000" w:fill="FFFFFF"/>
                  <w:noWrap w:val="0"/>
                  <w:vAlign w:val="center"/>
                </w:tcPr>
                <w:p>
                  <w:pPr>
                    <w:widowControl/>
                    <w:adjustRightInd w:val="0"/>
                    <w:snapToGrid w:val="0"/>
                    <w:jc w:val="center"/>
                    <w:rPr>
                      <w:rFonts w:hint="eastAsia" w:ascii="Times New Roman" w:hAnsi="Times New Roman" w:eastAsia="宋体" w:cs="Times New Roman"/>
                      <w:b/>
                      <w:bCs w:val="0"/>
                      <w:color w:val="auto"/>
                      <w:kern w:val="0"/>
                      <w:sz w:val="18"/>
                      <w:szCs w:val="18"/>
                    </w:rPr>
                  </w:pPr>
                  <w:r>
                    <w:rPr>
                      <w:rFonts w:hint="eastAsia" w:ascii="Times New Roman" w:hAnsi="Times New Roman" w:eastAsia="宋体" w:cs="Times New Roman"/>
                      <w:b/>
                      <w:bCs w:val="0"/>
                      <w:color w:val="auto"/>
                      <w:kern w:val="0"/>
                      <w:sz w:val="18"/>
                      <w:szCs w:val="18"/>
                    </w:rPr>
                    <w:t>浓度范围/（mg/m</w:t>
                  </w:r>
                  <w:r>
                    <w:rPr>
                      <w:rFonts w:hint="eastAsia" w:ascii="Times New Roman" w:hAnsi="Times New Roman" w:eastAsia="宋体" w:cs="Times New Roman"/>
                      <w:b/>
                      <w:bCs w:val="0"/>
                      <w:color w:val="auto"/>
                      <w:kern w:val="0"/>
                      <w:sz w:val="18"/>
                      <w:szCs w:val="18"/>
                      <w:vertAlign w:val="superscript"/>
                    </w:rPr>
                    <w:t>3</w:t>
                  </w:r>
                  <w:r>
                    <w:rPr>
                      <w:rFonts w:hint="eastAsia" w:ascii="Times New Roman" w:hAnsi="Times New Roman" w:eastAsia="宋体" w:cs="Times New Roman"/>
                      <w:b/>
                      <w:bCs w:val="0"/>
                      <w:color w:val="auto"/>
                      <w:kern w:val="0"/>
                      <w:sz w:val="18"/>
                      <w:szCs w:val="18"/>
                    </w:rPr>
                    <w:t>）</w:t>
                  </w:r>
                </w:p>
              </w:tc>
              <w:tc>
                <w:tcPr>
                  <w:tcW w:w="560" w:type="pct"/>
                  <w:shd w:val="clear" w:color="000000" w:fill="FFFFFF"/>
                  <w:noWrap w:val="0"/>
                  <w:vAlign w:val="center"/>
                </w:tcPr>
                <w:p>
                  <w:pPr>
                    <w:widowControl/>
                    <w:adjustRightInd w:val="0"/>
                    <w:snapToGrid w:val="0"/>
                    <w:jc w:val="center"/>
                    <w:rPr>
                      <w:rFonts w:hint="eastAsia" w:ascii="Times New Roman" w:hAnsi="Times New Roman" w:eastAsia="宋体" w:cs="Times New Roman"/>
                      <w:b/>
                      <w:bCs w:val="0"/>
                      <w:color w:val="auto"/>
                      <w:kern w:val="0"/>
                      <w:sz w:val="18"/>
                      <w:szCs w:val="18"/>
                    </w:rPr>
                  </w:pPr>
                  <w:r>
                    <w:rPr>
                      <w:rFonts w:hint="eastAsia" w:ascii="Times New Roman" w:hAnsi="Times New Roman" w:eastAsia="宋体" w:cs="Times New Roman"/>
                      <w:b/>
                      <w:bCs w:val="0"/>
                      <w:color w:val="auto"/>
                      <w:kern w:val="0"/>
                      <w:sz w:val="18"/>
                      <w:szCs w:val="18"/>
                    </w:rPr>
                    <w:t>最大浓度占标率/%</w:t>
                  </w:r>
                </w:p>
              </w:tc>
              <w:tc>
                <w:tcPr>
                  <w:tcW w:w="444" w:type="pct"/>
                  <w:shd w:val="clear" w:color="000000" w:fill="FFFFFF"/>
                  <w:noWrap w:val="0"/>
                  <w:vAlign w:val="center"/>
                </w:tcPr>
                <w:p>
                  <w:pPr>
                    <w:widowControl/>
                    <w:adjustRightInd w:val="0"/>
                    <w:snapToGrid w:val="0"/>
                    <w:jc w:val="center"/>
                    <w:rPr>
                      <w:rFonts w:hint="eastAsia" w:ascii="Times New Roman" w:hAnsi="Times New Roman" w:eastAsia="宋体" w:cs="Times New Roman"/>
                      <w:b/>
                      <w:bCs w:val="0"/>
                      <w:color w:val="auto"/>
                      <w:kern w:val="0"/>
                      <w:sz w:val="18"/>
                      <w:szCs w:val="18"/>
                    </w:rPr>
                  </w:pPr>
                  <w:r>
                    <w:rPr>
                      <w:rFonts w:hint="eastAsia" w:ascii="Times New Roman" w:hAnsi="Times New Roman" w:eastAsia="宋体" w:cs="Times New Roman"/>
                      <w:b/>
                      <w:bCs w:val="0"/>
                      <w:color w:val="auto"/>
                      <w:kern w:val="0"/>
                      <w:sz w:val="18"/>
                      <w:szCs w:val="18"/>
                    </w:rPr>
                    <w:t>超标率/%</w:t>
                  </w:r>
                </w:p>
              </w:tc>
              <w:tc>
                <w:tcPr>
                  <w:tcW w:w="456" w:type="pct"/>
                  <w:shd w:val="clear" w:color="000000" w:fill="FFFFFF"/>
                  <w:noWrap w:val="0"/>
                  <w:vAlign w:val="center"/>
                </w:tcPr>
                <w:p>
                  <w:pPr>
                    <w:widowControl/>
                    <w:adjustRightInd w:val="0"/>
                    <w:snapToGrid w:val="0"/>
                    <w:jc w:val="center"/>
                    <w:rPr>
                      <w:rFonts w:hint="eastAsia" w:ascii="Times New Roman" w:hAnsi="Times New Roman" w:eastAsia="宋体" w:cs="Times New Roman"/>
                      <w:b/>
                      <w:bCs w:val="0"/>
                      <w:color w:val="auto"/>
                      <w:kern w:val="0"/>
                      <w:sz w:val="18"/>
                      <w:szCs w:val="18"/>
                    </w:rPr>
                  </w:pPr>
                  <w:r>
                    <w:rPr>
                      <w:rFonts w:hint="eastAsia" w:ascii="Times New Roman" w:hAnsi="Times New Roman" w:eastAsia="宋体" w:cs="Times New Roman"/>
                      <w:b/>
                      <w:bCs w:val="0"/>
                      <w:color w:val="auto"/>
                      <w:kern w:val="0"/>
                      <w:sz w:val="18"/>
                      <w:szCs w:val="18"/>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1" w:type="pct"/>
                  <w:vMerge w:val="restart"/>
                  <w:shd w:val="clear" w:color="auto" w:fill="auto"/>
                  <w:noWrap w:val="0"/>
                  <w:vAlign w:val="center"/>
                </w:tcPr>
                <w:p>
                  <w:pPr>
                    <w:widowControl/>
                    <w:adjustRightInd w:val="0"/>
                    <w:snapToGrid w:val="0"/>
                    <w:jc w:val="center"/>
                    <w:rPr>
                      <w:rFonts w:hint="eastAsia" w:ascii="Times New Roman" w:hAnsi="Times New Roman" w:eastAsia="宋体" w:cs="Times New Roman"/>
                      <w:bCs/>
                      <w:color w:val="auto"/>
                      <w:kern w:val="0"/>
                      <w:sz w:val="18"/>
                      <w:szCs w:val="18"/>
                      <w:lang w:val="en-US" w:eastAsia="zh-CN"/>
                    </w:rPr>
                  </w:pPr>
                  <w:r>
                    <w:rPr>
                      <w:rFonts w:hint="eastAsia" w:ascii="Times New Roman" w:hAnsi="Times New Roman" w:eastAsia="宋体" w:cs="Times New Roman"/>
                      <w:bCs/>
                      <w:color w:val="auto"/>
                      <w:kern w:val="0"/>
                      <w:sz w:val="18"/>
                      <w:szCs w:val="18"/>
                      <w:lang w:val="en-US" w:eastAsia="zh-CN"/>
                    </w:rPr>
                    <w:t>蒲港居委二十九组</w:t>
                  </w:r>
                </w:p>
              </w:tc>
              <w:tc>
                <w:tcPr>
                  <w:tcW w:w="641" w:type="pct"/>
                  <w:shd w:val="clear" w:color="auto" w:fill="auto"/>
                  <w:noWrap w:val="0"/>
                  <w:vAlign w:val="center"/>
                </w:tcPr>
                <w:p>
                  <w:pPr>
                    <w:widowControl/>
                    <w:adjustRightInd w:val="0"/>
                    <w:snapToGrid w:val="0"/>
                    <w:jc w:val="center"/>
                    <w:rPr>
                      <w:rFonts w:hint="eastAsia" w:ascii="Times New Roman" w:hAnsi="Times New Roman" w:eastAsia="宋体" w:cs="Times New Roman"/>
                      <w:bCs/>
                      <w:color w:val="auto"/>
                      <w:kern w:val="0"/>
                      <w:sz w:val="18"/>
                      <w:szCs w:val="18"/>
                      <w:lang w:val="en-US" w:eastAsia="zh-CN" w:bidi="ar-SA"/>
                    </w:rPr>
                  </w:pPr>
                  <w:r>
                    <w:rPr>
                      <w:rFonts w:hint="eastAsia" w:ascii="Times New Roman" w:hAnsi="Times New Roman" w:eastAsia="宋体" w:cs="Times New Roman"/>
                      <w:bCs/>
                      <w:color w:val="auto"/>
                      <w:kern w:val="0"/>
                      <w:sz w:val="18"/>
                      <w:szCs w:val="18"/>
                      <w:lang w:val="en-US" w:eastAsia="zh-CN"/>
                    </w:rPr>
                    <w:t>TSP</w:t>
                  </w:r>
                </w:p>
              </w:tc>
              <w:tc>
                <w:tcPr>
                  <w:tcW w:w="564" w:type="pct"/>
                  <w:shd w:val="clear" w:color="auto" w:fill="auto"/>
                  <w:noWrap w:val="0"/>
                  <w:vAlign w:val="center"/>
                </w:tcPr>
                <w:p>
                  <w:pPr>
                    <w:widowControl/>
                    <w:adjustRightInd w:val="0"/>
                    <w:snapToGrid w:val="0"/>
                    <w:jc w:val="center"/>
                    <w:rPr>
                      <w:rFonts w:hint="eastAsia" w:ascii="Times New Roman" w:hAnsi="Times New Roman" w:eastAsia="宋体" w:cs="Times New Roman"/>
                      <w:bCs/>
                      <w:color w:val="auto"/>
                      <w:kern w:val="0"/>
                      <w:sz w:val="18"/>
                      <w:szCs w:val="18"/>
                      <w:lang w:val="en-US" w:eastAsia="zh-CN" w:bidi="ar-SA"/>
                    </w:rPr>
                  </w:pPr>
                  <w:r>
                    <w:rPr>
                      <w:rFonts w:hint="eastAsia" w:ascii="Times New Roman" w:hAnsi="Times New Roman" w:eastAsia="宋体" w:cs="Times New Roman"/>
                      <w:bCs/>
                      <w:color w:val="auto"/>
                      <w:kern w:val="0"/>
                      <w:sz w:val="18"/>
                      <w:szCs w:val="18"/>
                      <w:lang w:eastAsia="zh-CN"/>
                    </w:rPr>
                    <w:t>日</w:t>
                  </w:r>
                  <w:r>
                    <w:rPr>
                      <w:rFonts w:hint="eastAsia" w:ascii="Times New Roman" w:hAnsi="Times New Roman" w:eastAsia="宋体" w:cs="Times New Roman"/>
                      <w:bCs/>
                      <w:color w:val="auto"/>
                      <w:kern w:val="0"/>
                      <w:sz w:val="18"/>
                      <w:szCs w:val="18"/>
                    </w:rPr>
                    <w:t>平均</w:t>
                  </w:r>
                </w:p>
              </w:tc>
              <w:tc>
                <w:tcPr>
                  <w:tcW w:w="660" w:type="pct"/>
                  <w:shd w:val="clear" w:color="000000" w:fill="FFFFFF"/>
                  <w:noWrap w:val="0"/>
                  <w:vAlign w:val="center"/>
                </w:tcPr>
                <w:p>
                  <w:pPr>
                    <w:widowControl/>
                    <w:adjustRightInd w:val="0"/>
                    <w:snapToGrid w:val="0"/>
                    <w:jc w:val="center"/>
                    <w:rPr>
                      <w:rFonts w:hint="eastAsia" w:ascii="Times New Roman" w:hAnsi="Times New Roman" w:eastAsia="宋体" w:cs="Times New Roman"/>
                      <w:bCs/>
                      <w:color w:val="auto"/>
                      <w:kern w:val="0"/>
                      <w:sz w:val="18"/>
                      <w:szCs w:val="18"/>
                      <w:lang w:val="en-US" w:eastAsia="zh-CN" w:bidi="ar-SA"/>
                    </w:rPr>
                  </w:pPr>
                  <w:r>
                    <w:rPr>
                      <w:rFonts w:hint="eastAsia" w:ascii="Times New Roman" w:hAnsi="Times New Roman" w:eastAsia="宋体" w:cs="Times New Roman"/>
                      <w:bCs/>
                      <w:color w:val="auto"/>
                      <w:kern w:val="0"/>
                      <w:sz w:val="18"/>
                      <w:szCs w:val="18"/>
                    </w:rPr>
                    <w:t>0.</w:t>
                  </w:r>
                  <w:r>
                    <w:rPr>
                      <w:rFonts w:hint="eastAsia" w:ascii="Times New Roman" w:hAnsi="Times New Roman" w:eastAsia="宋体" w:cs="Times New Roman"/>
                      <w:bCs/>
                      <w:color w:val="auto"/>
                      <w:kern w:val="0"/>
                      <w:sz w:val="18"/>
                      <w:szCs w:val="18"/>
                      <w:lang w:val="en-US" w:eastAsia="zh-CN"/>
                    </w:rPr>
                    <w:t>3</w:t>
                  </w:r>
                </w:p>
              </w:tc>
              <w:tc>
                <w:tcPr>
                  <w:tcW w:w="819" w:type="pct"/>
                  <w:shd w:val="clear" w:color="auto" w:fill="auto"/>
                  <w:noWrap w:val="0"/>
                  <w:vAlign w:val="center"/>
                </w:tcPr>
                <w:p>
                  <w:pPr>
                    <w:widowControl/>
                    <w:adjustRightInd w:val="0"/>
                    <w:snapToGrid w:val="0"/>
                    <w:jc w:val="center"/>
                    <w:rPr>
                      <w:rFonts w:hint="default" w:ascii="Times New Roman" w:hAnsi="Times New Roman" w:eastAsia="宋体" w:cs="Times New Roman"/>
                      <w:bCs/>
                      <w:color w:val="auto"/>
                      <w:kern w:val="0"/>
                      <w:sz w:val="18"/>
                      <w:szCs w:val="18"/>
                      <w:lang w:val="en-US" w:eastAsia="zh-CN" w:bidi="ar-SA"/>
                    </w:rPr>
                  </w:pPr>
                  <w:r>
                    <w:rPr>
                      <w:rFonts w:hint="eastAsia" w:cs="Times New Roman"/>
                      <w:bCs/>
                      <w:color w:val="auto"/>
                      <w:kern w:val="0"/>
                      <w:sz w:val="18"/>
                      <w:szCs w:val="18"/>
                      <w:lang w:val="en-US" w:eastAsia="zh-CN"/>
                    </w:rPr>
                    <w:t>0.161~0.210</w:t>
                  </w:r>
                </w:p>
              </w:tc>
              <w:tc>
                <w:tcPr>
                  <w:tcW w:w="560" w:type="pct"/>
                  <w:shd w:val="clear" w:color="auto" w:fill="auto"/>
                  <w:noWrap w:val="0"/>
                  <w:vAlign w:val="center"/>
                </w:tcPr>
                <w:p>
                  <w:pPr>
                    <w:widowControl/>
                    <w:adjustRightInd w:val="0"/>
                    <w:snapToGrid w:val="0"/>
                    <w:jc w:val="center"/>
                    <w:rPr>
                      <w:rFonts w:hint="default" w:ascii="Times New Roman" w:hAnsi="Times New Roman" w:eastAsia="宋体" w:cs="Times New Roman"/>
                      <w:bCs/>
                      <w:color w:val="auto"/>
                      <w:kern w:val="0"/>
                      <w:sz w:val="18"/>
                      <w:szCs w:val="18"/>
                      <w:lang w:val="en-US" w:eastAsia="zh-CN" w:bidi="ar-SA"/>
                    </w:rPr>
                  </w:pPr>
                  <w:r>
                    <w:rPr>
                      <w:rFonts w:hint="eastAsia" w:cs="Times New Roman"/>
                      <w:bCs/>
                      <w:color w:val="auto"/>
                      <w:kern w:val="0"/>
                      <w:sz w:val="18"/>
                      <w:szCs w:val="18"/>
                      <w:lang w:val="en-US" w:eastAsia="zh-CN"/>
                    </w:rPr>
                    <w:t>70</w:t>
                  </w:r>
                </w:p>
              </w:tc>
              <w:tc>
                <w:tcPr>
                  <w:tcW w:w="444" w:type="pct"/>
                  <w:shd w:val="clear" w:color="auto" w:fill="auto"/>
                  <w:noWrap w:val="0"/>
                  <w:vAlign w:val="center"/>
                </w:tcPr>
                <w:p>
                  <w:pPr>
                    <w:widowControl/>
                    <w:adjustRightInd w:val="0"/>
                    <w:snapToGrid w:val="0"/>
                    <w:jc w:val="center"/>
                    <w:rPr>
                      <w:rFonts w:hint="eastAsia" w:ascii="Times New Roman" w:hAnsi="Times New Roman" w:eastAsia="宋体" w:cs="Times New Roman"/>
                      <w:bCs/>
                      <w:color w:val="auto"/>
                      <w:kern w:val="0"/>
                      <w:sz w:val="18"/>
                      <w:szCs w:val="18"/>
                      <w:lang w:val="en-US" w:eastAsia="zh-CN" w:bidi="ar-SA"/>
                    </w:rPr>
                  </w:pPr>
                  <w:r>
                    <w:rPr>
                      <w:rFonts w:hint="eastAsia" w:ascii="Times New Roman" w:hAnsi="Times New Roman" w:eastAsia="宋体" w:cs="Times New Roman"/>
                      <w:bCs/>
                      <w:color w:val="auto"/>
                      <w:kern w:val="0"/>
                      <w:sz w:val="18"/>
                      <w:szCs w:val="18"/>
                    </w:rPr>
                    <w:t>0</w:t>
                  </w:r>
                </w:p>
              </w:tc>
              <w:tc>
                <w:tcPr>
                  <w:tcW w:w="456" w:type="pct"/>
                  <w:shd w:val="clear" w:color="000000" w:fill="FFFFFF"/>
                  <w:noWrap w:val="0"/>
                  <w:vAlign w:val="center"/>
                </w:tcPr>
                <w:p>
                  <w:pPr>
                    <w:widowControl/>
                    <w:adjustRightInd w:val="0"/>
                    <w:snapToGrid w:val="0"/>
                    <w:jc w:val="center"/>
                    <w:rPr>
                      <w:rFonts w:hint="eastAsia" w:ascii="Times New Roman" w:hAnsi="Times New Roman" w:eastAsia="宋体" w:cs="Times New Roman"/>
                      <w:bCs/>
                      <w:color w:val="auto"/>
                      <w:kern w:val="0"/>
                      <w:sz w:val="18"/>
                      <w:szCs w:val="18"/>
                      <w:lang w:val="en-US" w:eastAsia="zh-CN" w:bidi="ar-SA"/>
                    </w:rPr>
                  </w:pPr>
                  <w:r>
                    <w:rPr>
                      <w:rFonts w:hint="eastAsia" w:ascii="Times New Roman" w:hAnsi="Times New Roman" w:eastAsia="宋体" w:cs="Times New Roman"/>
                      <w:bCs/>
                      <w:color w:val="auto"/>
                      <w:kern w:val="0"/>
                      <w:sz w:val="18"/>
                      <w:szCs w:val="18"/>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1" w:type="pct"/>
                  <w:vMerge w:val="continue"/>
                  <w:shd w:val="clear" w:color="auto" w:fill="auto"/>
                  <w:noWrap w:val="0"/>
                  <w:vAlign w:val="center"/>
                </w:tcPr>
                <w:p>
                  <w:pPr>
                    <w:widowControl/>
                    <w:adjustRightInd w:val="0"/>
                    <w:snapToGrid w:val="0"/>
                    <w:jc w:val="center"/>
                    <w:rPr>
                      <w:rFonts w:hint="eastAsia" w:ascii="Times New Roman" w:hAnsi="Times New Roman" w:eastAsia="宋体" w:cs="Times New Roman"/>
                      <w:bCs/>
                      <w:color w:val="auto"/>
                      <w:kern w:val="0"/>
                      <w:sz w:val="18"/>
                      <w:szCs w:val="18"/>
                      <w:lang w:val="en-US" w:eastAsia="zh-CN"/>
                    </w:rPr>
                  </w:pPr>
                </w:p>
              </w:tc>
              <w:tc>
                <w:tcPr>
                  <w:tcW w:w="641" w:type="pct"/>
                  <w:shd w:val="clear" w:color="auto" w:fill="auto"/>
                  <w:noWrap w:val="0"/>
                  <w:vAlign w:val="center"/>
                </w:tcPr>
                <w:p>
                  <w:pPr>
                    <w:widowControl/>
                    <w:adjustRightInd w:val="0"/>
                    <w:snapToGrid w:val="0"/>
                    <w:jc w:val="center"/>
                    <w:rPr>
                      <w:rFonts w:hint="eastAsia" w:ascii="Times New Roman" w:hAnsi="Times New Roman" w:eastAsia="宋体" w:cs="Times New Roman"/>
                      <w:bCs/>
                      <w:color w:val="auto"/>
                      <w:kern w:val="0"/>
                      <w:sz w:val="18"/>
                      <w:szCs w:val="18"/>
                      <w:lang w:val="en-US" w:eastAsia="zh-CN"/>
                    </w:rPr>
                  </w:pPr>
                  <w:r>
                    <w:rPr>
                      <w:rFonts w:hint="eastAsia" w:cs="Times New Roman"/>
                      <w:bCs/>
                      <w:color w:val="auto"/>
                      <w:kern w:val="0"/>
                      <w:sz w:val="18"/>
                      <w:szCs w:val="18"/>
                      <w:lang w:val="en-US" w:eastAsia="zh-CN"/>
                    </w:rPr>
                    <w:t>氮氧化物</w:t>
                  </w:r>
                </w:p>
              </w:tc>
              <w:tc>
                <w:tcPr>
                  <w:tcW w:w="564" w:type="pct"/>
                  <w:shd w:val="clear" w:color="auto" w:fill="auto"/>
                  <w:noWrap w:val="0"/>
                  <w:vAlign w:val="center"/>
                </w:tcPr>
                <w:p>
                  <w:pPr>
                    <w:widowControl/>
                    <w:adjustRightInd w:val="0"/>
                    <w:snapToGrid w:val="0"/>
                    <w:jc w:val="center"/>
                    <w:rPr>
                      <w:rFonts w:hint="eastAsia" w:ascii="Times New Roman" w:hAnsi="Times New Roman" w:eastAsia="宋体" w:cs="Times New Roman"/>
                      <w:bCs/>
                      <w:color w:val="auto"/>
                      <w:kern w:val="0"/>
                      <w:sz w:val="18"/>
                      <w:szCs w:val="18"/>
                      <w:lang w:eastAsia="zh-CN"/>
                    </w:rPr>
                  </w:pPr>
                  <w:r>
                    <w:rPr>
                      <w:rFonts w:ascii="TimesNewRomanPSMT" w:hAnsi="TimesNewRomanPSMT" w:eastAsia="TimesNewRomanPSMT" w:cs="TimesNewRomanPSMT"/>
                      <w:b w:val="0"/>
                      <w:bCs w:val="0"/>
                      <w:color w:val="auto"/>
                      <w:sz w:val="18"/>
                      <w:szCs w:val="18"/>
                    </w:rPr>
                    <w:t>1</w:t>
                  </w:r>
                  <w:r>
                    <w:rPr>
                      <w:rFonts w:ascii="宋体" w:hAnsi="宋体" w:eastAsia="宋体" w:cs="宋体"/>
                      <w:b w:val="0"/>
                      <w:bCs w:val="0"/>
                      <w:color w:val="auto"/>
                      <w:sz w:val="18"/>
                      <w:szCs w:val="18"/>
                    </w:rPr>
                    <w:t>小时平均</w:t>
                  </w:r>
                </w:p>
              </w:tc>
              <w:tc>
                <w:tcPr>
                  <w:tcW w:w="660" w:type="pct"/>
                  <w:shd w:val="clear" w:color="000000" w:fill="FFFFFF"/>
                  <w:noWrap w:val="0"/>
                  <w:vAlign w:val="center"/>
                </w:tcPr>
                <w:p>
                  <w:pPr>
                    <w:widowControl/>
                    <w:adjustRightInd w:val="0"/>
                    <w:snapToGrid w:val="0"/>
                    <w:jc w:val="center"/>
                    <w:rPr>
                      <w:rFonts w:hint="default" w:ascii="Times New Roman" w:hAnsi="Times New Roman" w:eastAsia="宋体" w:cs="Times New Roman"/>
                      <w:bCs/>
                      <w:color w:val="auto"/>
                      <w:kern w:val="0"/>
                      <w:sz w:val="18"/>
                      <w:szCs w:val="18"/>
                      <w:lang w:val="en-US" w:eastAsia="zh-CN"/>
                    </w:rPr>
                  </w:pPr>
                  <w:r>
                    <w:rPr>
                      <w:rFonts w:hint="eastAsia" w:cs="Times New Roman"/>
                      <w:bCs/>
                      <w:color w:val="auto"/>
                      <w:kern w:val="0"/>
                      <w:sz w:val="18"/>
                      <w:szCs w:val="18"/>
                      <w:lang w:val="en-US" w:eastAsia="zh-CN"/>
                    </w:rPr>
                    <w:t>0.25</w:t>
                  </w:r>
                </w:p>
              </w:tc>
              <w:tc>
                <w:tcPr>
                  <w:tcW w:w="819" w:type="pct"/>
                  <w:shd w:val="clear" w:color="auto" w:fill="auto"/>
                  <w:noWrap w:val="0"/>
                  <w:vAlign w:val="center"/>
                </w:tcPr>
                <w:p>
                  <w:pPr>
                    <w:widowControl/>
                    <w:adjustRightInd w:val="0"/>
                    <w:snapToGrid w:val="0"/>
                    <w:jc w:val="center"/>
                    <w:rPr>
                      <w:rFonts w:hint="default" w:ascii="Times New Roman" w:hAnsi="Times New Roman" w:eastAsia="宋体" w:cs="Times New Roman"/>
                      <w:bCs/>
                      <w:color w:val="auto"/>
                      <w:kern w:val="0"/>
                      <w:sz w:val="18"/>
                      <w:szCs w:val="18"/>
                      <w:lang w:val="en-US" w:eastAsia="zh-CN"/>
                    </w:rPr>
                  </w:pPr>
                  <w:r>
                    <w:rPr>
                      <w:rFonts w:hint="eastAsia" w:cs="Times New Roman"/>
                      <w:bCs/>
                      <w:color w:val="auto"/>
                      <w:kern w:val="0"/>
                      <w:sz w:val="18"/>
                      <w:szCs w:val="18"/>
                      <w:lang w:val="en-US" w:eastAsia="zh-CN"/>
                    </w:rPr>
                    <w:t>0.056~0.074</w:t>
                  </w:r>
                </w:p>
              </w:tc>
              <w:tc>
                <w:tcPr>
                  <w:tcW w:w="560" w:type="pct"/>
                  <w:shd w:val="clear" w:color="auto" w:fill="auto"/>
                  <w:noWrap w:val="0"/>
                  <w:vAlign w:val="center"/>
                </w:tcPr>
                <w:p>
                  <w:pPr>
                    <w:widowControl/>
                    <w:adjustRightInd w:val="0"/>
                    <w:snapToGrid w:val="0"/>
                    <w:jc w:val="center"/>
                    <w:rPr>
                      <w:rFonts w:hint="default" w:ascii="Times New Roman" w:hAnsi="Times New Roman" w:eastAsia="宋体" w:cs="Times New Roman"/>
                      <w:bCs/>
                      <w:color w:val="auto"/>
                      <w:kern w:val="0"/>
                      <w:sz w:val="18"/>
                      <w:szCs w:val="18"/>
                      <w:lang w:val="en-US" w:eastAsia="zh-CN"/>
                    </w:rPr>
                  </w:pPr>
                  <w:r>
                    <w:rPr>
                      <w:rFonts w:hint="eastAsia" w:cs="Times New Roman"/>
                      <w:bCs/>
                      <w:color w:val="auto"/>
                      <w:kern w:val="0"/>
                      <w:sz w:val="18"/>
                      <w:szCs w:val="18"/>
                      <w:lang w:val="en-US" w:eastAsia="zh-CN"/>
                    </w:rPr>
                    <w:t>29.6</w:t>
                  </w:r>
                </w:p>
              </w:tc>
              <w:tc>
                <w:tcPr>
                  <w:tcW w:w="444" w:type="pct"/>
                  <w:shd w:val="clear" w:color="auto" w:fill="auto"/>
                  <w:noWrap w:val="0"/>
                  <w:vAlign w:val="center"/>
                </w:tcPr>
                <w:p>
                  <w:pPr>
                    <w:widowControl/>
                    <w:adjustRightInd w:val="0"/>
                    <w:snapToGrid w:val="0"/>
                    <w:jc w:val="center"/>
                    <w:rPr>
                      <w:rFonts w:hint="eastAsia" w:ascii="Times New Roman" w:hAnsi="Times New Roman" w:eastAsia="宋体" w:cs="Times New Roman"/>
                      <w:bCs/>
                      <w:color w:val="auto"/>
                      <w:kern w:val="0"/>
                      <w:sz w:val="18"/>
                      <w:szCs w:val="18"/>
                    </w:rPr>
                  </w:pPr>
                  <w:r>
                    <w:rPr>
                      <w:rFonts w:hint="eastAsia" w:ascii="Times New Roman" w:hAnsi="Times New Roman" w:eastAsia="宋体" w:cs="Times New Roman"/>
                      <w:bCs/>
                      <w:color w:val="auto"/>
                      <w:kern w:val="0"/>
                      <w:sz w:val="18"/>
                      <w:szCs w:val="18"/>
                    </w:rPr>
                    <w:t>0</w:t>
                  </w:r>
                </w:p>
              </w:tc>
              <w:tc>
                <w:tcPr>
                  <w:tcW w:w="456" w:type="pct"/>
                  <w:shd w:val="clear" w:color="000000" w:fill="FFFFFF"/>
                  <w:noWrap w:val="0"/>
                  <w:vAlign w:val="center"/>
                </w:tcPr>
                <w:p>
                  <w:pPr>
                    <w:widowControl/>
                    <w:adjustRightInd w:val="0"/>
                    <w:snapToGrid w:val="0"/>
                    <w:jc w:val="center"/>
                    <w:rPr>
                      <w:rFonts w:hint="eastAsia" w:ascii="Times New Roman" w:hAnsi="Times New Roman" w:eastAsia="宋体" w:cs="Times New Roman"/>
                      <w:bCs/>
                      <w:color w:val="auto"/>
                      <w:kern w:val="0"/>
                      <w:sz w:val="18"/>
                      <w:szCs w:val="18"/>
                    </w:rPr>
                  </w:pPr>
                  <w:r>
                    <w:rPr>
                      <w:rFonts w:hint="eastAsia" w:ascii="Times New Roman" w:hAnsi="Times New Roman" w:eastAsia="宋体" w:cs="Times New Roman"/>
                      <w:bCs/>
                      <w:color w:val="auto"/>
                      <w:kern w:val="0"/>
                      <w:sz w:val="18"/>
                      <w:szCs w:val="18"/>
                    </w:rPr>
                    <w:t>达标</w:t>
                  </w:r>
                </w:p>
              </w:tc>
            </w:tr>
          </w:tbl>
          <w:p>
            <w:pPr>
              <w:adjustRightInd w:val="0"/>
              <w:snapToGrid w:val="0"/>
              <w:spacing w:line="500" w:lineRule="exact"/>
              <w:ind w:firstLine="420" w:firstLineChars="200"/>
              <w:rPr>
                <w:b/>
                <w:bCs/>
                <w:color w:val="auto"/>
                <w:kern w:val="0"/>
                <w:szCs w:val="21"/>
                <w:lang w:bidi="ar"/>
              </w:rPr>
            </w:pPr>
            <w:r>
              <w:rPr>
                <w:rFonts w:hint="eastAsia" w:ascii="Times New Roman" w:hAnsi="Times New Roman" w:eastAsia="宋体" w:cs="Times New Roman"/>
                <w:color w:val="auto"/>
                <w:kern w:val="0"/>
                <w:szCs w:val="21"/>
              </w:rPr>
              <w:t>根据监测结果可知，特征因子</w:t>
            </w:r>
            <w:r>
              <w:rPr>
                <w:rFonts w:hint="eastAsia" w:ascii="Times New Roman" w:hAnsi="Times New Roman" w:eastAsia="宋体" w:cs="Times New Roman"/>
                <w:color w:val="auto"/>
                <w:kern w:val="0"/>
                <w:szCs w:val="21"/>
                <w:lang w:val="en-US" w:eastAsia="zh-CN"/>
              </w:rPr>
              <w:t>TSP</w:t>
            </w:r>
            <w:r>
              <w:rPr>
                <w:rFonts w:hint="eastAsia" w:cs="Times New Roman"/>
                <w:color w:val="auto"/>
                <w:kern w:val="0"/>
                <w:szCs w:val="21"/>
                <w:lang w:val="en-US" w:eastAsia="zh-CN"/>
              </w:rPr>
              <w:t>、氮氧化物</w:t>
            </w:r>
            <w:r>
              <w:rPr>
                <w:rFonts w:hint="eastAsia" w:ascii="Times New Roman" w:hAnsi="Times New Roman" w:eastAsia="宋体" w:cs="Times New Roman"/>
                <w:color w:val="auto"/>
                <w:kern w:val="0"/>
                <w:szCs w:val="21"/>
              </w:rPr>
              <w:t>可满足《环境空气质量标准》（GB3095-201</w:t>
            </w:r>
            <w:r>
              <w:rPr>
                <w:rFonts w:hint="eastAsia" w:cs="Times New Roman"/>
                <w:color w:val="auto"/>
                <w:kern w:val="0"/>
                <w:szCs w:val="21"/>
                <w:lang w:val="en-US" w:eastAsia="zh-CN"/>
              </w:rPr>
              <w:t>8</w:t>
            </w:r>
            <w:r>
              <w:rPr>
                <w:rFonts w:hint="eastAsia" w:ascii="Times New Roman" w:hAnsi="Times New Roman" w:eastAsia="宋体" w:cs="Times New Roman"/>
                <w:color w:val="auto"/>
                <w:kern w:val="0"/>
                <w:szCs w:val="21"/>
              </w:rPr>
              <w:t>）及其修改单中二级标准</w:t>
            </w:r>
            <w:r>
              <w:rPr>
                <w:rFonts w:hint="eastAsia" w:ascii="Times New Roman" w:hAnsi="Times New Roman" w:eastAsia="宋体" w:cs="Times New Roman"/>
                <w:color w:val="auto"/>
                <w:kern w:val="0"/>
                <w:szCs w:val="21"/>
                <w:lang w:eastAsia="zh-CN"/>
              </w:rPr>
              <w:t>。</w:t>
            </w:r>
          </w:p>
          <w:p>
            <w:pPr>
              <w:widowControl/>
              <w:spacing w:line="500" w:lineRule="exact"/>
              <w:ind w:firstLine="422" w:firstLineChars="200"/>
              <w:jc w:val="left"/>
              <w:rPr>
                <w:szCs w:val="21"/>
              </w:rPr>
            </w:pPr>
            <w:r>
              <w:rPr>
                <w:b/>
                <w:bCs/>
                <w:color w:val="000000"/>
                <w:kern w:val="0"/>
                <w:szCs w:val="21"/>
                <w:lang w:bidi="ar"/>
              </w:rPr>
              <w:t xml:space="preserve">2、地表水环境质量现状 </w:t>
            </w:r>
          </w:p>
          <w:p>
            <w:pPr>
              <w:adjustRightInd w:val="0"/>
              <w:snapToGrid w:val="0"/>
              <w:spacing w:line="500" w:lineRule="exact"/>
              <w:ind w:firstLine="420" w:firstLineChars="20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根据《</w:t>
            </w:r>
            <w:r>
              <w:rPr>
                <w:rFonts w:hint="eastAsia" w:ascii="Times New Roman" w:hAnsi="Times New Roman" w:cs="Times New Roman"/>
                <w:color w:val="auto"/>
                <w:kern w:val="0"/>
                <w:szCs w:val="21"/>
                <w:highlight w:val="none"/>
                <w:lang w:eastAsia="zh-CN"/>
              </w:rPr>
              <w:t>南通市生态环境状况公报（2024年）</w:t>
            </w:r>
            <w:r>
              <w:rPr>
                <w:rFonts w:hint="default" w:ascii="Times New Roman" w:hAnsi="Times New Roman" w:cs="Times New Roman"/>
                <w:color w:val="auto"/>
                <w:kern w:val="0"/>
                <w:szCs w:val="21"/>
                <w:highlight w:val="none"/>
              </w:rPr>
              <w:t>》，南通市共有16个国家考核断面，均达到省定考核要求，其中15个断面水质达到或优于《地表水环境质量标准》(GB3838-2002)Ⅲ类标准。55个省考以上断面中九圩港桥、聚南大桥、营船港闸、通吕二号桥等16个断面水质符合Ⅱ类标准，孙窑大桥、碾砣港闸、勇敢大桥、东方大道桥、城港路桥等38个断面水质符合Ⅲ类标准</w:t>
            </w:r>
            <w:r>
              <w:rPr>
                <w:rFonts w:hint="eastAsia"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rPr>
              <w:t>无V类和劣V类断面。</w:t>
            </w:r>
          </w:p>
          <w:p>
            <w:pPr>
              <w:adjustRightInd w:val="0"/>
              <w:snapToGrid w:val="0"/>
              <w:spacing w:line="500" w:lineRule="exact"/>
              <w:ind w:firstLine="420" w:firstLineChars="200"/>
              <w:rPr>
                <w:color w:val="auto"/>
                <w:kern w:val="0"/>
                <w:szCs w:val="21"/>
                <w:lang w:bidi="ar"/>
              </w:rPr>
            </w:pPr>
            <w:r>
              <w:rPr>
                <w:rFonts w:hint="eastAsia"/>
                <w:color w:val="auto"/>
                <w:kern w:val="0"/>
                <w:szCs w:val="21"/>
                <w:lang w:eastAsia="zh-CN"/>
              </w:rPr>
              <w:t>本项目雨水经雨水管网排入</w:t>
            </w:r>
            <w:r>
              <w:rPr>
                <w:rFonts w:hint="eastAsia"/>
                <w:color w:val="auto"/>
                <w:kern w:val="0"/>
                <w:szCs w:val="21"/>
                <w:lang w:val="en-US" w:eastAsia="zh-CN"/>
              </w:rPr>
              <w:t>东侧如皋港引河，</w:t>
            </w:r>
            <w:r>
              <w:rPr>
                <w:rFonts w:hint="eastAsia"/>
                <w:color w:val="auto"/>
                <w:kern w:val="0"/>
                <w:szCs w:val="21"/>
              </w:rPr>
              <w:t>其水质可满足《地表水环境质量标准》（GB3838-2002）中的</w:t>
            </w:r>
            <w:r>
              <w:rPr>
                <w:rFonts w:hint="eastAsia" w:ascii="宋体" w:hAnsi="宋体" w:eastAsia="宋体" w:cs="宋体"/>
                <w:color w:val="auto"/>
                <w:kern w:val="0"/>
                <w:szCs w:val="21"/>
                <w:lang w:val="en-US" w:eastAsia="zh-CN"/>
              </w:rPr>
              <w:t>Ⅲ</w:t>
            </w:r>
            <w:r>
              <w:rPr>
                <w:rFonts w:hint="eastAsia"/>
                <w:color w:val="auto"/>
                <w:kern w:val="0"/>
                <w:szCs w:val="21"/>
              </w:rPr>
              <w:t>类水质标准</w:t>
            </w:r>
            <w:r>
              <w:rPr>
                <w:rFonts w:hint="eastAsia"/>
                <w:color w:val="auto"/>
                <w:kern w:val="0"/>
                <w:szCs w:val="21"/>
                <w:lang w:eastAsia="zh-CN"/>
              </w:rPr>
              <w:t>；</w:t>
            </w:r>
            <w:r>
              <w:rPr>
                <w:rFonts w:hint="eastAsia"/>
                <w:color w:val="auto"/>
                <w:kern w:val="0"/>
                <w:szCs w:val="21"/>
              </w:rPr>
              <w:t>项目产生的</w:t>
            </w:r>
            <w:r>
              <w:rPr>
                <w:rFonts w:hint="eastAsia"/>
                <w:color w:val="auto"/>
                <w:kern w:val="0"/>
                <w:szCs w:val="21"/>
                <w:lang w:val="en-US" w:eastAsia="zh-CN"/>
              </w:rPr>
              <w:t>生活污水、食堂废水</w:t>
            </w:r>
            <w:r>
              <w:rPr>
                <w:rFonts w:hint="eastAsia"/>
                <w:color w:val="auto"/>
                <w:kern w:val="0"/>
                <w:szCs w:val="21"/>
              </w:rPr>
              <w:t>经化粪池</w:t>
            </w:r>
            <w:r>
              <w:rPr>
                <w:rFonts w:hint="eastAsia"/>
                <w:color w:val="auto"/>
                <w:kern w:val="0"/>
                <w:szCs w:val="21"/>
                <w:lang w:eastAsia="zh-CN"/>
              </w:rPr>
              <w:t>、隔油池</w:t>
            </w:r>
            <w:r>
              <w:rPr>
                <w:rFonts w:hint="eastAsia"/>
                <w:color w:val="auto"/>
                <w:kern w:val="0"/>
                <w:szCs w:val="21"/>
              </w:rPr>
              <w:t>处理后</w:t>
            </w:r>
            <w:r>
              <w:rPr>
                <w:rFonts w:hint="eastAsia"/>
                <w:color w:val="auto"/>
                <w:kern w:val="0"/>
                <w:szCs w:val="21"/>
                <w:lang w:val="en-US" w:eastAsia="zh-CN"/>
              </w:rPr>
              <w:t>，与经冷却水池沉淀后的冷却水</w:t>
            </w:r>
            <w:r>
              <w:rPr>
                <w:rFonts w:hint="eastAsia"/>
                <w:color w:val="auto"/>
                <w:kern w:val="0"/>
                <w:szCs w:val="21"/>
                <w:lang w:eastAsia="zh-CN"/>
              </w:rPr>
              <w:t>一起</w:t>
            </w:r>
            <w:r>
              <w:rPr>
                <w:rFonts w:hint="eastAsia"/>
                <w:color w:val="auto"/>
                <w:kern w:val="0"/>
                <w:szCs w:val="21"/>
                <w:lang w:val="en-US" w:eastAsia="zh-CN"/>
              </w:rPr>
              <w:t>接管</w:t>
            </w:r>
            <w:r>
              <w:rPr>
                <w:rFonts w:hint="eastAsia"/>
                <w:color w:val="auto"/>
                <w:kern w:val="0"/>
                <w:szCs w:val="21"/>
              </w:rPr>
              <w:t>至</w:t>
            </w:r>
            <w:r>
              <w:rPr>
                <w:rFonts w:hint="eastAsia"/>
                <w:color w:val="auto"/>
                <w:kern w:val="0"/>
                <w:szCs w:val="21"/>
                <w:lang w:eastAsia="zh-CN"/>
              </w:rPr>
              <w:t>如皋市富港水处理有限公司</w:t>
            </w:r>
            <w:r>
              <w:rPr>
                <w:rFonts w:hint="eastAsia"/>
                <w:color w:val="auto"/>
                <w:kern w:val="0"/>
                <w:szCs w:val="21"/>
              </w:rPr>
              <w:t>集中处理，纳污水体为</w:t>
            </w:r>
            <w:r>
              <w:rPr>
                <w:rFonts w:hint="eastAsia"/>
                <w:color w:val="auto"/>
                <w:kern w:val="0"/>
                <w:szCs w:val="21"/>
                <w:lang w:eastAsia="zh-CN"/>
              </w:rPr>
              <w:t>中心河</w:t>
            </w:r>
            <w:r>
              <w:rPr>
                <w:rFonts w:hint="eastAsia"/>
                <w:color w:val="auto"/>
                <w:kern w:val="0"/>
                <w:szCs w:val="21"/>
              </w:rPr>
              <w:t>，其水质可满足《地表水环境质量标准》（GB3838-2002）中的</w:t>
            </w:r>
            <w:r>
              <w:rPr>
                <w:rFonts w:hint="eastAsia" w:ascii="宋体" w:hAnsi="宋体" w:eastAsia="宋体" w:cs="宋体"/>
                <w:color w:val="auto"/>
                <w:kern w:val="0"/>
                <w:szCs w:val="21"/>
                <w:lang w:val="en-US" w:eastAsia="zh-CN"/>
              </w:rPr>
              <w:t>Ⅲ</w:t>
            </w:r>
            <w:r>
              <w:rPr>
                <w:rFonts w:hint="eastAsia"/>
                <w:color w:val="auto"/>
                <w:kern w:val="0"/>
                <w:szCs w:val="21"/>
              </w:rPr>
              <w:t>类水质标准，为达标区。</w:t>
            </w:r>
          </w:p>
          <w:p>
            <w:pPr>
              <w:widowControl/>
              <w:spacing w:line="500" w:lineRule="exact"/>
              <w:ind w:firstLine="422" w:firstLineChars="200"/>
              <w:jc w:val="left"/>
              <w:rPr>
                <w:color w:val="auto"/>
                <w:szCs w:val="21"/>
              </w:rPr>
            </w:pPr>
            <w:r>
              <w:rPr>
                <w:b/>
                <w:bCs/>
                <w:color w:val="auto"/>
                <w:kern w:val="0"/>
                <w:szCs w:val="21"/>
                <w:lang w:bidi="ar"/>
              </w:rPr>
              <w:t>3、声环境质量</w:t>
            </w:r>
          </w:p>
          <w:p>
            <w:pPr>
              <w:adjustRightInd w:val="0"/>
              <w:snapToGrid w:val="0"/>
              <w:spacing w:line="500" w:lineRule="exact"/>
              <w:ind w:firstLine="420" w:firstLineChars="20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根据《</w:t>
            </w:r>
            <w:r>
              <w:rPr>
                <w:rFonts w:hint="eastAsia" w:ascii="Times New Roman" w:hAnsi="Times New Roman" w:cs="Times New Roman"/>
                <w:color w:val="auto"/>
                <w:kern w:val="0"/>
                <w:szCs w:val="21"/>
                <w:highlight w:val="none"/>
                <w:lang w:eastAsia="zh-CN"/>
              </w:rPr>
              <w:t>南通市生态环境状况公报（2024年）</w:t>
            </w:r>
            <w:r>
              <w:rPr>
                <w:rFonts w:hint="default" w:ascii="Times New Roman" w:hAnsi="Times New Roman" w:cs="Times New Roman"/>
                <w:color w:val="auto"/>
                <w:kern w:val="0"/>
                <w:szCs w:val="21"/>
                <w:highlight w:val="none"/>
              </w:rPr>
              <w:t>》，如皋市声环境质量总体较好，声环境质量基本稳定，3类区昼间噪声等效声级值为5</w:t>
            </w:r>
            <w:r>
              <w:rPr>
                <w:rFonts w:hint="eastAsia" w:ascii="Times New Roman" w:hAnsi="Times New Roman" w:cs="Times New Roman"/>
                <w:color w:val="auto"/>
                <w:kern w:val="0"/>
                <w:szCs w:val="21"/>
                <w:highlight w:val="none"/>
                <w:lang w:val="en-US" w:eastAsia="zh-CN"/>
              </w:rPr>
              <w:t>5</w:t>
            </w:r>
            <w:r>
              <w:rPr>
                <w:rFonts w:hint="default" w:ascii="Times New Roman" w:hAnsi="Times New Roman" w:cs="Times New Roman"/>
                <w:color w:val="auto"/>
                <w:kern w:val="0"/>
                <w:szCs w:val="21"/>
                <w:highlight w:val="none"/>
              </w:rPr>
              <w:t>dB（A），夜间噪声等效声级值为50dB（A），声环境质量现状达到《声环境质量标准》（GB3096-2008）中3类标准。</w:t>
            </w:r>
          </w:p>
          <w:p>
            <w:pPr>
              <w:widowControl/>
              <w:spacing w:line="500" w:lineRule="exact"/>
              <w:ind w:firstLine="422" w:firstLineChars="200"/>
              <w:jc w:val="left"/>
              <w:rPr>
                <w:szCs w:val="21"/>
              </w:rPr>
            </w:pPr>
            <w:r>
              <w:rPr>
                <w:b/>
                <w:bCs/>
                <w:color w:val="000000"/>
                <w:kern w:val="0"/>
                <w:szCs w:val="21"/>
                <w:lang w:bidi="ar"/>
              </w:rPr>
              <w:t xml:space="preserve">4、生态环境质量 </w:t>
            </w:r>
          </w:p>
          <w:p>
            <w:pPr>
              <w:adjustRightInd w:val="0"/>
              <w:snapToGrid w:val="0"/>
              <w:spacing w:line="500" w:lineRule="exact"/>
              <w:ind w:firstLine="420" w:firstLineChars="200"/>
              <w:rPr>
                <w:rFonts w:hint="eastAsia"/>
                <w:color w:val="auto"/>
                <w:kern w:val="0"/>
                <w:szCs w:val="21"/>
              </w:rPr>
            </w:pPr>
            <w:r>
              <w:rPr>
                <w:rFonts w:hint="eastAsia"/>
                <w:color w:val="auto"/>
                <w:kern w:val="0"/>
                <w:szCs w:val="21"/>
              </w:rPr>
              <w:t>项目</w:t>
            </w:r>
            <w:r>
              <w:rPr>
                <w:rFonts w:hint="eastAsia"/>
                <w:color w:val="auto"/>
                <w:kern w:val="0"/>
                <w:szCs w:val="21"/>
                <w:lang w:val="en-US" w:eastAsia="zh-CN"/>
              </w:rPr>
              <w:t>不属于产业园区外建设的新增用地，且用地范围内无生态环境保护目标，</w:t>
            </w:r>
            <w:r>
              <w:rPr>
                <w:rFonts w:hint="eastAsia"/>
                <w:color w:val="auto"/>
                <w:kern w:val="0"/>
                <w:szCs w:val="21"/>
              </w:rPr>
              <w:t>无需</w:t>
            </w:r>
            <w:r>
              <w:rPr>
                <w:rFonts w:hint="eastAsia"/>
                <w:color w:val="auto"/>
                <w:kern w:val="0"/>
                <w:szCs w:val="21"/>
                <w:lang w:val="en-US" w:eastAsia="zh-CN"/>
              </w:rPr>
              <w:t>开展</w:t>
            </w:r>
            <w:r>
              <w:rPr>
                <w:rFonts w:hint="eastAsia"/>
                <w:color w:val="auto"/>
                <w:kern w:val="0"/>
                <w:szCs w:val="21"/>
              </w:rPr>
              <w:t>生态</w:t>
            </w:r>
            <w:r>
              <w:rPr>
                <w:rFonts w:hint="eastAsia"/>
                <w:color w:val="auto"/>
                <w:kern w:val="0"/>
                <w:szCs w:val="21"/>
                <w:lang w:val="en-US" w:eastAsia="zh-CN"/>
              </w:rPr>
              <w:t>环境</w:t>
            </w:r>
            <w:r>
              <w:rPr>
                <w:rFonts w:hint="eastAsia"/>
                <w:color w:val="auto"/>
                <w:kern w:val="0"/>
                <w:szCs w:val="21"/>
              </w:rPr>
              <w:t>现状调查。</w:t>
            </w:r>
          </w:p>
          <w:p>
            <w:pPr>
              <w:adjustRightInd w:val="0"/>
              <w:snapToGrid w:val="0"/>
              <w:spacing w:line="500" w:lineRule="exact"/>
              <w:ind w:firstLine="422" w:firstLineChars="200"/>
              <w:rPr>
                <w:b/>
                <w:bCs/>
                <w:kern w:val="0"/>
                <w:szCs w:val="21"/>
              </w:rPr>
            </w:pPr>
            <w:r>
              <w:rPr>
                <w:b/>
                <w:bCs/>
                <w:kern w:val="0"/>
                <w:szCs w:val="21"/>
              </w:rPr>
              <w:t>5、电磁辐射</w:t>
            </w:r>
          </w:p>
          <w:p>
            <w:pPr>
              <w:adjustRightInd w:val="0"/>
              <w:snapToGrid w:val="0"/>
              <w:spacing w:line="500" w:lineRule="exact"/>
              <w:ind w:firstLine="420" w:firstLineChars="200"/>
              <w:rPr>
                <w:kern w:val="0"/>
                <w:szCs w:val="21"/>
              </w:rPr>
            </w:pPr>
            <w:r>
              <w:rPr>
                <w:kern w:val="0"/>
                <w:szCs w:val="21"/>
              </w:rPr>
              <w:t>项目不涉及电磁辐射。</w:t>
            </w:r>
          </w:p>
          <w:p>
            <w:pPr>
              <w:widowControl/>
              <w:spacing w:line="500" w:lineRule="exact"/>
              <w:ind w:firstLine="422" w:firstLineChars="200"/>
              <w:jc w:val="left"/>
              <w:rPr>
                <w:szCs w:val="21"/>
              </w:rPr>
            </w:pPr>
            <w:r>
              <w:rPr>
                <w:b/>
                <w:bCs/>
                <w:color w:val="000000"/>
                <w:kern w:val="0"/>
                <w:szCs w:val="21"/>
                <w:lang w:bidi="ar"/>
              </w:rPr>
              <w:t>6、地下水</w:t>
            </w:r>
            <w:r>
              <w:rPr>
                <w:rFonts w:hint="eastAsia"/>
                <w:b/>
                <w:bCs/>
                <w:color w:val="000000"/>
                <w:kern w:val="0"/>
                <w:szCs w:val="21"/>
                <w:lang w:eastAsia="zh-CN" w:bidi="ar"/>
              </w:rPr>
              <w:t>、土壤</w:t>
            </w:r>
            <w:r>
              <w:rPr>
                <w:b/>
                <w:bCs/>
                <w:color w:val="000000"/>
                <w:kern w:val="0"/>
                <w:szCs w:val="21"/>
                <w:lang w:bidi="ar"/>
              </w:rPr>
              <w:t xml:space="preserve">环境质量 </w:t>
            </w:r>
          </w:p>
          <w:p>
            <w:pPr>
              <w:widowControl/>
              <w:spacing w:line="500" w:lineRule="exact"/>
              <w:ind w:firstLine="420" w:firstLineChars="200"/>
              <w:jc w:val="left"/>
            </w:pPr>
            <w:r>
              <w:rPr>
                <w:rFonts w:hint="eastAsia"/>
                <w:color w:val="auto"/>
                <w:kern w:val="0"/>
                <w:szCs w:val="21"/>
              </w:rPr>
              <w:t>本项目建成后地面</w:t>
            </w:r>
            <w:r>
              <w:rPr>
                <w:rFonts w:hint="eastAsia"/>
                <w:color w:val="auto"/>
                <w:kern w:val="0"/>
                <w:szCs w:val="21"/>
                <w:lang w:eastAsia="zh-CN"/>
              </w:rPr>
              <w:t>硬化处理</w:t>
            </w:r>
            <w:r>
              <w:rPr>
                <w:rFonts w:hint="eastAsia"/>
                <w:color w:val="auto"/>
                <w:kern w:val="0"/>
                <w:szCs w:val="21"/>
              </w:rPr>
              <w:t>，项目产生的危废及时收集，严禁出现跑冒滴漏情况。项目对可能产生地下水影响的各项途径均进行有效预防，在确保各项防渗措施得以落实，并加强维护和厂区环境管理的前提下，</w:t>
            </w:r>
            <w:r>
              <w:rPr>
                <w:rFonts w:hint="eastAsia"/>
                <w:color w:val="auto"/>
                <w:kern w:val="0"/>
                <w:szCs w:val="21"/>
                <w:lang w:eastAsia="zh-CN"/>
              </w:rPr>
              <w:t>基本</w:t>
            </w:r>
            <w:r>
              <w:rPr>
                <w:rFonts w:hint="eastAsia"/>
                <w:color w:val="auto"/>
                <w:kern w:val="0"/>
                <w:szCs w:val="21"/>
              </w:rPr>
              <w:t>不存在土壤、地下水环境污染途径。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vAlign w:val="center"/>
          </w:tcPr>
          <w:p>
            <w:pPr>
              <w:spacing w:line="500" w:lineRule="exact"/>
              <w:jc w:val="center"/>
              <w:rPr>
                <w:sz w:val="24"/>
                <w:szCs w:val="32"/>
              </w:rPr>
            </w:pPr>
            <w:r>
              <w:rPr>
                <w:sz w:val="24"/>
                <w:szCs w:val="32"/>
              </w:rPr>
              <w:t>环</w:t>
            </w:r>
          </w:p>
          <w:p>
            <w:pPr>
              <w:spacing w:line="500" w:lineRule="exact"/>
              <w:jc w:val="center"/>
              <w:rPr>
                <w:sz w:val="24"/>
                <w:szCs w:val="32"/>
              </w:rPr>
            </w:pPr>
            <w:r>
              <w:rPr>
                <w:sz w:val="24"/>
                <w:szCs w:val="32"/>
              </w:rPr>
              <w:t>境</w:t>
            </w:r>
          </w:p>
          <w:p>
            <w:pPr>
              <w:spacing w:line="500" w:lineRule="exact"/>
              <w:jc w:val="center"/>
              <w:rPr>
                <w:sz w:val="24"/>
                <w:szCs w:val="32"/>
              </w:rPr>
            </w:pPr>
            <w:r>
              <w:rPr>
                <w:sz w:val="24"/>
                <w:szCs w:val="32"/>
              </w:rPr>
              <w:t>保</w:t>
            </w:r>
          </w:p>
          <w:p>
            <w:pPr>
              <w:spacing w:line="500" w:lineRule="exact"/>
              <w:jc w:val="center"/>
              <w:rPr>
                <w:sz w:val="24"/>
                <w:szCs w:val="32"/>
              </w:rPr>
            </w:pPr>
            <w:r>
              <w:rPr>
                <w:sz w:val="24"/>
                <w:szCs w:val="32"/>
              </w:rPr>
              <w:t>护</w:t>
            </w:r>
          </w:p>
          <w:p>
            <w:pPr>
              <w:spacing w:line="500" w:lineRule="exact"/>
              <w:jc w:val="center"/>
              <w:rPr>
                <w:sz w:val="24"/>
                <w:szCs w:val="32"/>
              </w:rPr>
            </w:pPr>
            <w:r>
              <w:rPr>
                <w:sz w:val="24"/>
                <w:szCs w:val="32"/>
              </w:rPr>
              <w:t>目</w:t>
            </w:r>
          </w:p>
          <w:p>
            <w:pPr>
              <w:spacing w:line="500" w:lineRule="exact"/>
              <w:jc w:val="center"/>
              <w:rPr>
                <w:sz w:val="24"/>
                <w:szCs w:val="32"/>
              </w:rPr>
            </w:pPr>
            <w:r>
              <w:rPr>
                <w:sz w:val="24"/>
                <w:szCs w:val="32"/>
              </w:rPr>
              <w:t>标</w:t>
            </w:r>
          </w:p>
        </w:tc>
        <w:tc>
          <w:tcPr>
            <w:tcW w:w="7718" w:type="dxa"/>
          </w:tcPr>
          <w:p>
            <w:pPr>
              <w:spacing w:line="500" w:lineRule="exact"/>
              <w:ind w:firstLine="420" w:firstLineChars="200"/>
            </w:pPr>
            <w:r>
              <w:t xml:space="preserve">1、大气环境 </w:t>
            </w:r>
          </w:p>
          <w:p>
            <w:pPr>
              <w:spacing w:line="500" w:lineRule="exact"/>
              <w:ind w:firstLine="420" w:firstLineChars="200"/>
            </w:pPr>
            <w:r>
              <w:t>本项目位于</w:t>
            </w:r>
            <w:r>
              <w:rPr>
                <w:rFonts w:hint="eastAsia"/>
                <w:color w:val="auto"/>
                <w:szCs w:val="21"/>
                <w:lang w:val="en-US" w:eastAsia="zh-CN"/>
              </w:rPr>
              <w:t>如皋市长江镇创业路8号</w:t>
            </w:r>
            <w:r>
              <w:t>，根据现场勘查，确定本项目的环境空气保护目标见表3-3。</w:t>
            </w:r>
          </w:p>
          <w:p>
            <w:pPr>
              <w:spacing w:line="500" w:lineRule="exact"/>
              <w:jc w:val="center"/>
              <w:rPr>
                <w:b/>
                <w:bCs/>
                <w:color w:val="auto"/>
              </w:rPr>
            </w:pPr>
            <w:r>
              <w:rPr>
                <w:b/>
                <w:bCs/>
                <w:color w:val="auto"/>
              </w:rPr>
              <w:t>表3-3 大气环境保护目标一览表</w:t>
            </w:r>
          </w:p>
          <w:tbl>
            <w:tblPr>
              <w:tblStyle w:val="22"/>
              <w:tblW w:w="806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50"/>
              <w:gridCol w:w="1419"/>
              <w:gridCol w:w="1304"/>
              <w:gridCol w:w="651"/>
              <w:gridCol w:w="1175"/>
              <w:gridCol w:w="699"/>
              <w:gridCol w:w="629"/>
              <w:gridCol w:w="13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72" w:type="dxa"/>
                  <w:vMerge w:val="restart"/>
                  <w:tcBorders>
                    <w:tl2br w:val="nil"/>
                    <w:tr2bl w:val="nil"/>
                  </w:tcBorders>
                  <w:vAlign w:val="center"/>
                </w:tcPr>
                <w:p>
                  <w:pPr>
                    <w:jc w:val="center"/>
                    <w:rPr>
                      <w:color w:val="auto"/>
                      <w:sz w:val="18"/>
                      <w:szCs w:val="18"/>
                    </w:rPr>
                  </w:pPr>
                  <w:r>
                    <w:rPr>
                      <w:color w:val="auto"/>
                      <w:sz w:val="18"/>
                      <w:szCs w:val="18"/>
                    </w:rPr>
                    <w:t>环境空气保护目标名称</w:t>
                  </w:r>
                </w:p>
              </w:tc>
              <w:tc>
                <w:tcPr>
                  <w:tcW w:w="2269" w:type="dxa"/>
                  <w:gridSpan w:val="2"/>
                  <w:tcBorders>
                    <w:tl2br w:val="nil"/>
                    <w:tr2bl w:val="nil"/>
                  </w:tcBorders>
                  <w:vAlign w:val="center"/>
                </w:tcPr>
                <w:p>
                  <w:pPr>
                    <w:jc w:val="center"/>
                    <w:rPr>
                      <w:color w:val="auto"/>
                      <w:sz w:val="18"/>
                      <w:szCs w:val="18"/>
                    </w:rPr>
                  </w:pPr>
                  <w:r>
                    <w:rPr>
                      <w:color w:val="auto"/>
                      <w:sz w:val="18"/>
                      <w:szCs w:val="18"/>
                    </w:rPr>
                    <w:t>坐标</w:t>
                  </w:r>
                </w:p>
              </w:tc>
              <w:tc>
                <w:tcPr>
                  <w:tcW w:w="719" w:type="dxa"/>
                  <w:vMerge w:val="restart"/>
                  <w:tcBorders>
                    <w:tl2br w:val="nil"/>
                    <w:tr2bl w:val="nil"/>
                  </w:tcBorders>
                  <w:vAlign w:val="center"/>
                </w:tcPr>
                <w:p>
                  <w:pPr>
                    <w:jc w:val="center"/>
                    <w:rPr>
                      <w:color w:val="auto"/>
                      <w:sz w:val="18"/>
                      <w:szCs w:val="18"/>
                    </w:rPr>
                  </w:pPr>
                  <w:r>
                    <w:rPr>
                      <w:color w:val="auto"/>
                      <w:sz w:val="18"/>
                      <w:szCs w:val="18"/>
                    </w:rPr>
                    <w:t>保护对象</w:t>
                  </w:r>
                </w:p>
              </w:tc>
              <w:tc>
                <w:tcPr>
                  <w:tcW w:w="1324" w:type="dxa"/>
                  <w:vMerge w:val="restart"/>
                  <w:tcBorders>
                    <w:tl2br w:val="nil"/>
                    <w:tr2bl w:val="nil"/>
                  </w:tcBorders>
                  <w:vAlign w:val="center"/>
                </w:tcPr>
                <w:p>
                  <w:pPr>
                    <w:jc w:val="center"/>
                    <w:rPr>
                      <w:color w:val="auto"/>
                      <w:sz w:val="18"/>
                      <w:szCs w:val="18"/>
                    </w:rPr>
                  </w:pPr>
                  <w:r>
                    <w:rPr>
                      <w:color w:val="auto"/>
                      <w:sz w:val="18"/>
                      <w:szCs w:val="18"/>
                    </w:rPr>
                    <w:t>规模</w:t>
                  </w:r>
                </w:p>
              </w:tc>
              <w:tc>
                <w:tcPr>
                  <w:tcW w:w="780" w:type="dxa"/>
                  <w:vMerge w:val="restart"/>
                  <w:tcBorders>
                    <w:tl2br w:val="nil"/>
                    <w:tr2bl w:val="nil"/>
                  </w:tcBorders>
                  <w:vAlign w:val="center"/>
                </w:tcPr>
                <w:p>
                  <w:pPr>
                    <w:jc w:val="center"/>
                    <w:rPr>
                      <w:color w:val="auto"/>
                      <w:sz w:val="18"/>
                      <w:szCs w:val="18"/>
                    </w:rPr>
                  </w:pPr>
                  <w:r>
                    <w:rPr>
                      <w:color w:val="auto"/>
                      <w:sz w:val="18"/>
                      <w:szCs w:val="18"/>
                    </w:rPr>
                    <w:t>环境功能区</w:t>
                  </w:r>
                </w:p>
              </w:tc>
              <w:tc>
                <w:tcPr>
                  <w:tcW w:w="656" w:type="dxa"/>
                  <w:vMerge w:val="restart"/>
                  <w:tcBorders>
                    <w:tl2br w:val="nil"/>
                    <w:tr2bl w:val="nil"/>
                  </w:tcBorders>
                  <w:vAlign w:val="center"/>
                </w:tcPr>
                <w:p>
                  <w:pPr>
                    <w:jc w:val="center"/>
                    <w:rPr>
                      <w:color w:val="auto"/>
                      <w:sz w:val="18"/>
                      <w:szCs w:val="18"/>
                    </w:rPr>
                  </w:pPr>
                  <w:r>
                    <w:rPr>
                      <w:color w:val="auto"/>
                      <w:sz w:val="18"/>
                      <w:szCs w:val="18"/>
                    </w:rPr>
                    <w:t>相对厂址方位</w:t>
                  </w:r>
                </w:p>
              </w:tc>
              <w:tc>
                <w:tcPr>
                  <w:tcW w:w="1347" w:type="dxa"/>
                  <w:vMerge w:val="restart"/>
                  <w:tcBorders>
                    <w:tl2br w:val="nil"/>
                    <w:tr2bl w:val="nil"/>
                  </w:tcBorders>
                  <w:vAlign w:val="center"/>
                </w:tcPr>
                <w:p>
                  <w:pPr>
                    <w:jc w:val="center"/>
                    <w:rPr>
                      <w:rFonts w:hint="default" w:eastAsia="宋体"/>
                      <w:color w:val="auto"/>
                      <w:sz w:val="18"/>
                      <w:szCs w:val="18"/>
                      <w:lang w:val="en-US" w:eastAsia="zh-CN"/>
                    </w:rPr>
                  </w:pPr>
                  <w:r>
                    <w:rPr>
                      <w:color w:val="auto"/>
                      <w:sz w:val="18"/>
                      <w:szCs w:val="18"/>
                    </w:rPr>
                    <w:t>相对厂界距离</w:t>
                  </w:r>
                  <w:r>
                    <w:rPr>
                      <w:rFonts w:hint="eastAsia"/>
                      <w:color w:val="auto"/>
                      <w:sz w:val="18"/>
                      <w:szCs w:val="18"/>
                      <w:lang w:val="en-US" w:eastAsia="zh-CN"/>
                    </w:rPr>
                    <w:t>/工段</w:t>
                  </w:r>
                  <w:r>
                    <w:rPr>
                      <w:rFonts w:ascii="Times New Roman" w:hAnsi="Times New Roman" w:eastAsia="宋体" w:cs="Times New Roman"/>
                      <w:color w:val="auto"/>
                      <w:sz w:val="18"/>
                      <w:szCs w:val="18"/>
                    </w:rPr>
                    <w:t>边界至居住区边界的最小距离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972" w:type="dxa"/>
                  <w:vMerge w:val="continue"/>
                  <w:tcBorders>
                    <w:tl2br w:val="nil"/>
                    <w:tr2bl w:val="nil"/>
                  </w:tcBorders>
                  <w:vAlign w:val="center"/>
                </w:tcPr>
                <w:p>
                  <w:pPr>
                    <w:jc w:val="center"/>
                    <w:rPr>
                      <w:color w:val="auto"/>
                      <w:sz w:val="18"/>
                      <w:szCs w:val="18"/>
                    </w:rPr>
                  </w:pPr>
                </w:p>
              </w:tc>
              <w:tc>
                <w:tcPr>
                  <w:tcW w:w="1195" w:type="dxa"/>
                  <w:tcBorders>
                    <w:tl2br w:val="nil"/>
                    <w:tr2bl w:val="nil"/>
                  </w:tcBorders>
                  <w:vAlign w:val="center"/>
                </w:tcPr>
                <w:p>
                  <w:pPr>
                    <w:jc w:val="center"/>
                    <w:rPr>
                      <w:color w:val="auto"/>
                      <w:sz w:val="18"/>
                      <w:szCs w:val="18"/>
                    </w:rPr>
                  </w:pPr>
                  <w:r>
                    <w:rPr>
                      <w:color w:val="auto"/>
                      <w:sz w:val="18"/>
                      <w:szCs w:val="18"/>
                    </w:rPr>
                    <w:t>X</w:t>
                  </w:r>
                </w:p>
              </w:tc>
              <w:tc>
                <w:tcPr>
                  <w:tcW w:w="1074" w:type="dxa"/>
                  <w:tcBorders>
                    <w:tl2br w:val="nil"/>
                    <w:tr2bl w:val="nil"/>
                  </w:tcBorders>
                  <w:vAlign w:val="center"/>
                </w:tcPr>
                <w:p>
                  <w:pPr>
                    <w:jc w:val="center"/>
                    <w:rPr>
                      <w:color w:val="auto"/>
                      <w:sz w:val="18"/>
                      <w:szCs w:val="18"/>
                    </w:rPr>
                  </w:pPr>
                  <w:r>
                    <w:rPr>
                      <w:color w:val="auto"/>
                      <w:sz w:val="18"/>
                      <w:szCs w:val="18"/>
                    </w:rPr>
                    <w:t>Y</w:t>
                  </w:r>
                </w:p>
              </w:tc>
              <w:tc>
                <w:tcPr>
                  <w:tcW w:w="719" w:type="dxa"/>
                  <w:vMerge w:val="continue"/>
                  <w:tcBorders>
                    <w:tl2br w:val="nil"/>
                    <w:tr2bl w:val="nil"/>
                  </w:tcBorders>
                  <w:vAlign w:val="center"/>
                </w:tcPr>
                <w:p>
                  <w:pPr>
                    <w:jc w:val="center"/>
                    <w:rPr>
                      <w:color w:val="auto"/>
                      <w:sz w:val="18"/>
                      <w:szCs w:val="18"/>
                    </w:rPr>
                  </w:pPr>
                </w:p>
              </w:tc>
              <w:tc>
                <w:tcPr>
                  <w:tcW w:w="1324" w:type="dxa"/>
                  <w:vMerge w:val="continue"/>
                  <w:tcBorders>
                    <w:tl2br w:val="nil"/>
                    <w:tr2bl w:val="nil"/>
                  </w:tcBorders>
                  <w:vAlign w:val="center"/>
                </w:tcPr>
                <w:p>
                  <w:pPr>
                    <w:jc w:val="center"/>
                    <w:rPr>
                      <w:color w:val="auto"/>
                      <w:sz w:val="18"/>
                      <w:szCs w:val="18"/>
                    </w:rPr>
                  </w:pPr>
                </w:p>
              </w:tc>
              <w:tc>
                <w:tcPr>
                  <w:tcW w:w="780" w:type="dxa"/>
                  <w:vMerge w:val="continue"/>
                  <w:tcBorders>
                    <w:tl2br w:val="nil"/>
                    <w:tr2bl w:val="nil"/>
                  </w:tcBorders>
                  <w:vAlign w:val="center"/>
                </w:tcPr>
                <w:p>
                  <w:pPr>
                    <w:jc w:val="center"/>
                    <w:rPr>
                      <w:color w:val="auto"/>
                      <w:sz w:val="18"/>
                      <w:szCs w:val="18"/>
                    </w:rPr>
                  </w:pPr>
                </w:p>
              </w:tc>
              <w:tc>
                <w:tcPr>
                  <w:tcW w:w="656" w:type="dxa"/>
                  <w:vMerge w:val="continue"/>
                  <w:tcBorders>
                    <w:tl2br w:val="nil"/>
                    <w:tr2bl w:val="nil"/>
                  </w:tcBorders>
                  <w:vAlign w:val="center"/>
                </w:tcPr>
                <w:p>
                  <w:pPr>
                    <w:jc w:val="center"/>
                    <w:rPr>
                      <w:color w:val="auto"/>
                      <w:sz w:val="18"/>
                      <w:szCs w:val="18"/>
                    </w:rPr>
                  </w:pPr>
                </w:p>
              </w:tc>
              <w:tc>
                <w:tcPr>
                  <w:tcW w:w="1347" w:type="dxa"/>
                  <w:vMerge w:val="continue"/>
                  <w:tcBorders>
                    <w:tl2br w:val="nil"/>
                    <w:tr2bl w:val="nil"/>
                  </w:tcBorders>
                  <w:vAlign w:val="center"/>
                </w:tcPr>
                <w:p>
                  <w:pPr>
                    <w:jc w:val="center"/>
                    <w:rPr>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972" w:type="dxa"/>
                  <w:tcBorders>
                    <w:tl2br w:val="nil"/>
                    <w:tr2bl w:val="nil"/>
                  </w:tcBorders>
                  <w:vAlign w:val="center"/>
                </w:tcPr>
                <w:p>
                  <w:pPr>
                    <w:jc w:val="center"/>
                    <w:rPr>
                      <w:rFonts w:hint="eastAsia" w:eastAsia="宋体"/>
                      <w:color w:val="auto"/>
                      <w:sz w:val="18"/>
                      <w:szCs w:val="18"/>
                      <w:lang w:eastAsia="zh-CN"/>
                    </w:rPr>
                  </w:pPr>
                  <w:r>
                    <w:rPr>
                      <w:rFonts w:hint="eastAsia"/>
                      <w:color w:val="auto"/>
                      <w:sz w:val="18"/>
                      <w:szCs w:val="18"/>
                      <w:lang w:eastAsia="zh-CN"/>
                    </w:rPr>
                    <w:t>永丰</w:t>
                  </w:r>
                  <w:r>
                    <w:rPr>
                      <w:color w:val="auto"/>
                      <w:sz w:val="18"/>
                      <w:szCs w:val="18"/>
                    </w:rPr>
                    <w:t>居委</w:t>
                  </w:r>
                  <w:r>
                    <w:rPr>
                      <w:rFonts w:hint="eastAsia"/>
                      <w:color w:val="auto"/>
                      <w:sz w:val="18"/>
                      <w:szCs w:val="18"/>
                      <w:lang w:eastAsia="zh-CN"/>
                    </w:rPr>
                    <w:t>七</w:t>
                  </w:r>
                  <w:r>
                    <w:rPr>
                      <w:color w:val="auto"/>
                      <w:sz w:val="18"/>
                      <w:szCs w:val="18"/>
                    </w:rPr>
                    <w:t>组</w:t>
                  </w:r>
                </w:p>
              </w:tc>
              <w:tc>
                <w:tcPr>
                  <w:tcW w:w="1195" w:type="dxa"/>
                  <w:tcBorders>
                    <w:tl2br w:val="nil"/>
                    <w:tr2bl w:val="nil"/>
                  </w:tcBorders>
                  <w:vAlign w:val="center"/>
                </w:tcPr>
                <w:p>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120.5587013</w:t>
                  </w:r>
                </w:p>
              </w:tc>
              <w:tc>
                <w:tcPr>
                  <w:tcW w:w="1074" w:type="dxa"/>
                  <w:tcBorders>
                    <w:tl2br w:val="nil"/>
                    <w:tr2bl w:val="nil"/>
                  </w:tcBorders>
                  <w:vAlign w:val="center"/>
                </w:tcPr>
                <w:p>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32.1081338</w:t>
                  </w:r>
                </w:p>
              </w:tc>
              <w:tc>
                <w:tcPr>
                  <w:tcW w:w="719" w:type="dxa"/>
                  <w:tcBorders>
                    <w:tl2br w:val="nil"/>
                    <w:tr2bl w:val="nil"/>
                  </w:tcBorders>
                  <w:vAlign w:val="center"/>
                </w:tcPr>
                <w:p>
                  <w:pPr>
                    <w:jc w:val="center"/>
                    <w:rPr>
                      <w:color w:val="auto"/>
                      <w:sz w:val="18"/>
                      <w:szCs w:val="18"/>
                    </w:rPr>
                  </w:pPr>
                  <w:r>
                    <w:rPr>
                      <w:color w:val="auto"/>
                      <w:sz w:val="18"/>
                      <w:szCs w:val="18"/>
                    </w:rPr>
                    <w:t>居住区</w:t>
                  </w:r>
                </w:p>
              </w:tc>
              <w:tc>
                <w:tcPr>
                  <w:tcW w:w="1324" w:type="dxa"/>
                  <w:tcBorders>
                    <w:tl2br w:val="nil"/>
                    <w:tr2bl w:val="nil"/>
                  </w:tcBorders>
                  <w:vAlign w:val="center"/>
                </w:tcPr>
                <w:p>
                  <w:pPr>
                    <w:jc w:val="center"/>
                    <w:rPr>
                      <w:rFonts w:eastAsia="宋体"/>
                      <w:color w:val="auto"/>
                      <w:sz w:val="18"/>
                      <w:szCs w:val="18"/>
                    </w:rPr>
                  </w:pPr>
                  <w:r>
                    <w:rPr>
                      <w:rFonts w:hint="eastAsia" w:eastAsia="宋体"/>
                      <w:color w:val="auto"/>
                      <w:sz w:val="18"/>
                      <w:szCs w:val="18"/>
                      <w:lang w:val="en-US" w:eastAsia="zh-CN"/>
                    </w:rPr>
                    <w:t>70</w:t>
                  </w:r>
                  <w:r>
                    <w:rPr>
                      <w:rFonts w:hint="default" w:eastAsia="宋体"/>
                      <w:color w:val="auto"/>
                      <w:sz w:val="18"/>
                      <w:szCs w:val="18"/>
                      <w:lang w:val="en-US" w:eastAsia="zh-CN"/>
                    </w:rPr>
                    <w:t>户</w:t>
                  </w:r>
                  <w:r>
                    <w:rPr>
                      <w:rFonts w:hint="eastAsia" w:eastAsia="宋体"/>
                      <w:color w:val="auto"/>
                      <w:sz w:val="18"/>
                      <w:szCs w:val="18"/>
                      <w:lang w:val="en-US" w:eastAsia="zh-CN"/>
                    </w:rPr>
                    <w:t>/210人</w:t>
                  </w:r>
                </w:p>
              </w:tc>
              <w:tc>
                <w:tcPr>
                  <w:tcW w:w="780" w:type="dxa"/>
                  <w:tcBorders>
                    <w:tl2br w:val="nil"/>
                    <w:tr2bl w:val="nil"/>
                  </w:tcBorders>
                  <w:vAlign w:val="center"/>
                </w:tcPr>
                <w:p>
                  <w:pPr>
                    <w:jc w:val="center"/>
                    <w:rPr>
                      <w:color w:val="auto"/>
                      <w:sz w:val="18"/>
                      <w:szCs w:val="18"/>
                    </w:rPr>
                  </w:pPr>
                  <w:r>
                    <w:rPr>
                      <w:color w:val="auto"/>
                      <w:sz w:val="18"/>
                      <w:szCs w:val="18"/>
                    </w:rPr>
                    <w:t>二类区</w:t>
                  </w:r>
                </w:p>
              </w:tc>
              <w:tc>
                <w:tcPr>
                  <w:tcW w:w="656" w:type="dxa"/>
                  <w:tcBorders>
                    <w:tl2br w:val="nil"/>
                    <w:tr2bl w:val="nil"/>
                  </w:tcBorders>
                  <w:vAlign w:val="center"/>
                </w:tcPr>
                <w:p>
                  <w:pPr>
                    <w:jc w:val="center"/>
                    <w:rPr>
                      <w:rFonts w:hint="eastAsia" w:eastAsia="宋体"/>
                      <w:color w:val="auto"/>
                      <w:sz w:val="18"/>
                      <w:szCs w:val="18"/>
                      <w:lang w:val="en-US" w:eastAsia="zh-CN"/>
                    </w:rPr>
                  </w:pPr>
                  <w:r>
                    <w:rPr>
                      <w:color w:val="auto"/>
                      <w:sz w:val="18"/>
                      <w:szCs w:val="18"/>
                    </w:rPr>
                    <w:t>N</w:t>
                  </w:r>
                  <w:r>
                    <w:rPr>
                      <w:rFonts w:hint="eastAsia"/>
                      <w:color w:val="auto"/>
                      <w:sz w:val="18"/>
                      <w:szCs w:val="18"/>
                      <w:lang w:val="en-US" w:eastAsia="zh-CN"/>
                    </w:rPr>
                    <w:t>E</w:t>
                  </w:r>
                </w:p>
              </w:tc>
              <w:tc>
                <w:tcPr>
                  <w:tcW w:w="1347" w:type="dxa"/>
                  <w:tcBorders>
                    <w:tl2br w:val="nil"/>
                    <w:tr2bl w:val="nil"/>
                  </w:tcBorders>
                  <w:vAlign w:val="center"/>
                </w:tcPr>
                <w:p>
                  <w:pPr>
                    <w:jc w:val="center"/>
                    <w:rPr>
                      <w:rFonts w:hint="default"/>
                      <w:color w:val="auto"/>
                      <w:sz w:val="18"/>
                      <w:szCs w:val="18"/>
                      <w:lang w:val="en-US" w:eastAsia="zh-CN"/>
                    </w:rPr>
                  </w:pPr>
                  <w:r>
                    <w:rPr>
                      <w:rFonts w:hint="eastAsia"/>
                      <w:color w:val="auto"/>
                      <w:sz w:val="18"/>
                      <w:szCs w:val="18"/>
                      <w:lang w:val="en-US" w:eastAsia="zh-CN"/>
                    </w:rPr>
                    <w:t>188</w:t>
                  </w:r>
                  <w:r>
                    <w:rPr>
                      <w:color w:val="auto"/>
                      <w:sz w:val="18"/>
                      <w:szCs w:val="18"/>
                    </w:rPr>
                    <w:t>m</w:t>
                  </w:r>
                  <w:r>
                    <w:rPr>
                      <w:rFonts w:hint="eastAsia"/>
                      <w:color w:val="auto"/>
                      <w:sz w:val="18"/>
                      <w:szCs w:val="18"/>
                      <w:lang w:val="en-US" w:eastAsia="zh-CN"/>
                    </w:rPr>
                    <w:t>/200m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972" w:type="dxa"/>
                  <w:tcBorders>
                    <w:tl2br w:val="nil"/>
                    <w:tr2bl w:val="nil"/>
                  </w:tcBorders>
                  <w:vAlign w:val="center"/>
                </w:tcPr>
                <w:p>
                  <w:pPr>
                    <w:jc w:val="center"/>
                    <w:rPr>
                      <w:rFonts w:hint="default" w:eastAsia="宋体"/>
                      <w:color w:val="auto"/>
                      <w:sz w:val="18"/>
                      <w:szCs w:val="18"/>
                      <w:lang w:val="en-US" w:eastAsia="zh-CN"/>
                    </w:rPr>
                  </w:pPr>
                  <w:r>
                    <w:rPr>
                      <w:rFonts w:hint="eastAsia"/>
                      <w:color w:val="auto"/>
                      <w:sz w:val="18"/>
                      <w:szCs w:val="18"/>
                      <w:lang w:val="en-US" w:eastAsia="zh-CN"/>
                    </w:rPr>
                    <w:t>长江镇二案居</w:t>
                  </w:r>
                </w:p>
              </w:tc>
              <w:tc>
                <w:tcPr>
                  <w:tcW w:w="1195" w:type="dxa"/>
                  <w:tcBorders>
                    <w:tl2br w:val="nil"/>
                    <w:tr2bl w:val="nil"/>
                  </w:tcBorders>
                  <w:vAlign w:val="center"/>
                </w:tcPr>
                <w:p>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120.5591412</w:t>
                  </w:r>
                </w:p>
              </w:tc>
              <w:tc>
                <w:tcPr>
                  <w:tcW w:w="1074" w:type="dxa"/>
                  <w:tcBorders>
                    <w:tl2br w:val="nil"/>
                    <w:tr2bl w:val="nil"/>
                  </w:tcBorders>
                  <w:vAlign w:val="center"/>
                </w:tcPr>
                <w:p>
                  <w:pPr>
                    <w:jc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32.1039397</w:t>
                  </w:r>
                </w:p>
              </w:tc>
              <w:tc>
                <w:tcPr>
                  <w:tcW w:w="719" w:type="dxa"/>
                  <w:tcBorders>
                    <w:tl2br w:val="nil"/>
                    <w:tr2bl w:val="nil"/>
                  </w:tcBorders>
                  <w:vAlign w:val="center"/>
                </w:tcPr>
                <w:p>
                  <w:pPr>
                    <w:jc w:val="center"/>
                    <w:rPr>
                      <w:color w:val="auto"/>
                      <w:sz w:val="18"/>
                      <w:szCs w:val="18"/>
                    </w:rPr>
                  </w:pPr>
                  <w:r>
                    <w:rPr>
                      <w:color w:val="auto"/>
                      <w:sz w:val="18"/>
                      <w:szCs w:val="18"/>
                    </w:rPr>
                    <w:t>居住区</w:t>
                  </w:r>
                </w:p>
              </w:tc>
              <w:tc>
                <w:tcPr>
                  <w:tcW w:w="1324" w:type="dxa"/>
                  <w:tcBorders>
                    <w:tl2br w:val="nil"/>
                    <w:tr2bl w:val="nil"/>
                  </w:tcBorders>
                  <w:vAlign w:val="center"/>
                </w:tcPr>
                <w:p>
                  <w:pPr>
                    <w:jc w:val="center"/>
                    <w:rPr>
                      <w:rFonts w:eastAsia="宋体"/>
                      <w:color w:val="auto"/>
                      <w:sz w:val="18"/>
                      <w:szCs w:val="18"/>
                    </w:rPr>
                  </w:pPr>
                  <w:r>
                    <w:rPr>
                      <w:rFonts w:hint="eastAsia" w:eastAsia="宋体"/>
                      <w:color w:val="auto"/>
                      <w:sz w:val="18"/>
                      <w:szCs w:val="18"/>
                      <w:lang w:val="en-US" w:eastAsia="zh-CN"/>
                    </w:rPr>
                    <w:t>160</w:t>
                  </w:r>
                  <w:r>
                    <w:rPr>
                      <w:rFonts w:hint="default" w:eastAsia="宋体"/>
                      <w:color w:val="auto"/>
                      <w:sz w:val="18"/>
                      <w:szCs w:val="18"/>
                      <w:lang w:val="en-US" w:eastAsia="zh-CN"/>
                    </w:rPr>
                    <w:t>户</w:t>
                  </w:r>
                  <w:r>
                    <w:rPr>
                      <w:rFonts w:hint="eastAsia" w:eastAsia="宋体"/>
                      <w:color w:val="auto"/>
                      <w:sz w:val="18"/>
                      <w:szCs w:val="18"/>
                      <w:lang w:val="en-US" w:eastAsia="zh-CN"/>
                    </w:rPr>
                    <w:t>/500人</w:t>
                  </w:r>
                </w:p>
              </w:tc>
              <w:tc>
                <w:tcPr>
                  <w:tcW w:w="780" w:type="dxa"/>
                  <w:tcBorders>
                    <w:tl2br w:val="nil"/>
                    <w:tr2bl w:val="nil"/>
                  </w:tcBorders>
                  <w:vAlign w:val="center"/>
                </w:tcPr>
                <w:p>
                  <w:pPr>
                    <w:jc w:val="center"/>
                    <w:rPr>
                      <w:color w:val="auto"/>
                      <w:sz w:val="18"/>
                      <w:szCs w:val="18"/>
                    </w:rPr>
                  </w:pPr>
                  <w:r>
                    <w:rPr>
                      <w:color w:val="auto"/>
                      <w:sz w:val="18"/>
                      <w:szCs w:val="18"/>
                    </w:rPr>
                    <w:t>二类区</w:t>
                  </w:r>
                </w:p>
              </w:tc>
              <w:tc>
                <w:tcPr>
                  <w:tcW w:w="656" w:type="dxa"/>
                  <w:tcBorders>
                    <w:tl2br w:val="nil"/>
                    <w:tr2bl w:val="nil"/>
                  </w:tcBorders>
                  <w:vAlign w:val="center"/>
                </w:tcPr>
                <w:p>
                  <w:pPr>
                    <w:jc w:val="center"/>
                    <w:rPr>
                      <w:color w:val="auto"/>
                      <w:sz w:val="18"/>
                      <w:szCs w:val="18"/>
                    </w:rPr>
                  </w:pPr>
                  <w:r>
                    <w:rPr>
                      <w:color w:val="auto"/>
                      <w:sz w:val="18"/>
                      <w:szCs w:val="18"/>
                    </w:rPr>
                    <w:t>S</w:t>
                  </w:r>
                  <w:r>
                    <w:rPr>
                      <w:rFonts w:hint="eastAsia"/>
                      <w:color w:val="auto"/>
                      <w:sz w:val="18"/>
                      <w:szCs w:val="18"/>
                      <w:lang w:val="en-US" w:eastAsia="zh-CN"/>
                    </w:rPr>
                    <w:t>E</w:t>
                  </w:r>
                </w:p>
              </w:tc>
              <w:tc>
                <w:tcPr>
                  <w:tcW w:w="1347" w:type="dxa"/>
                  <w:tcBorders>
                    <w:tl2br w:val="nil"/>
                    <w:tr2bl w:val="nil"/>
                  </w:tcBorders>
                  <w:vAlign w:val="center"/>
                </w:tcPr>
                <w:p>
                  <w:pPr>
                    <w:jc w:val="center"/>
                    <w:rPr>
                      <w:color w:val="auto"/>
                      <w:sz w:val="18"/>
                      <w:szCs w:val="18"/>
                    </w:rPr>
                  </w:pPr>
                  <w:r>
                    <w:rPr>
                      <w:rFonts w:hint="eastAsia"/>
                      <w:color w:val="auto"/>
                      <w:sz w:val="18"/>
                      <w:szCs w:val="18"/>
                      <w:lang w:val="en-US" w:eastAsia="zh-CN"/>
                    </w:rPr>
                    <w:t>245</w:t>
                  </w:r>
                  <w:r>
                    <w:rPr>
                      <w:color w:val="auto"/>
                      <w:sz w:val="18"/>
                      <w:szCs w:val="18"/>
                    </w:rPr>
                    <w:t>m</w:t>
                  </w:r>
                  <w:r>
                    <w:rPr>
                      <w:rFonts w:hint="eastAsia"/>
                      <w:color w:val="auto"/>
                      <w:sz w:val="18"/>
                      <w:szCs w:val="18"/>
                      <w:lang w:val="en-US" w:eastAsia="zh-CN"/>
                    </w:rPr>
                    <w:t>/230m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972" w:type="dxa"/>
                  <w:tcBorders>
                    <w:tl2br w:val="nil"/>
                    <w:tr2bl w:val="nil"/>
                  </w:tcBorders>
                  <w:shd w:val="clear" w:color="auto" w:fill="auto"/>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eastAsia="zh-CN"/>
                    </w:rPr>
                    <w:t>永丰</w:t>
                  </w:r>
                  <w:r>
                    <w:rPr>
                      <w:color w:val="auto"/>
                      <w:sz w:val="18"/>
                      <w:szCs w:val="18"/>
                    </w:rPr>
                    <w:t>居委</w:t>
                  </w:r>
                  <w:r>
                    <w:rPr>
                      <w:rFonts w:hint="eastAsia"/>
                      <w:color w:val="auto"/>
                      <w:sz w:val="18"/>
                      <w:szCs w:val="18"/>
                      <w:lang w:eastAsia="zh-CN"/>
                    </w:rPr>
                    <w:t>五</w:t>
                  </w:r>
                  <w:r>
                    <w:rPr>
                      <w:color w:val="auto"/>
                      <w:sz w:val="18"/>
                      <w:szCs w:val="18"/>
                    </w:rPr>
                    <w:t>组</w:t>
                  </w:r>
                </w:p>
              </w:tc>
              <w:tc>
                <w:tcPr>
                  <w:tcW w:w="1195" w:type="dxa"/>
                  <w:tcBorders>
                    <w:tl2br w:val="nil"/>
                    <w:tr2bl w:val="nil"/>
                  </w:tcBorders>
                  <w:shd w:val="clear" w:color="auto" w:fill="auto"/>
                  <w:vAlign w:val="center"/>
                </w:tcPr>
                <w:p>
                  <w:pPr>
                    <w:jc w:val="center"/>
                    <w:rPr>
                      <w:rFonts w:ascii="Times New Roman" w:hAnsi="Times New Roman" w:eastAsia="宋体" w:cs="Times New Roman"/>
                      <w:color w:val="auto"/>
                      <w:sz w:val="18"/>
                      <w:szCs w:val="18"/>
                      <w:lang w:val="en-US" w:eastAsia="zh-CN"/>
                    </w:rPr>
                  </w:pPr>
                  <w:r>
                    <w:rPr>
                      <w:rFonts w:ascii="Times New Roman" w:hAnsi="Times New Roman" w:eastAsia="宋体" w:cs="Times New Roman"/>
                      <w:color w:val="auto"/>
                      <w:sz w:val="18"/>
                      <w:szCs w:val="18"/>
                    </w:rPr>
                    <w:t>120.5526395</w:t>
                  </w:r>
                </w:p>
              </w:tc>
              <w:tc>
                <w:tcPr>
                  <w:tcW w:w="1074" w:type="dxa"/>
                  <w:tcBorders>
                    <w:tl2br w:val="nil"/>
                    <w:tr2bl w:val="nil"/>
                  </w:tcBorders>
                  <w:shd w:val="clear" w:color="auto" w:fill="auto"/>
                  <w:vAlign w:val="center"/>
                </w:tcPr>
                <w:p>
                  <w:pPr>
                    <w:jc w:val="center"/>
                    <w:rPr>
                      <w:rFonts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32.1114326</w:t>
                  </w:r>
                </w:p>
              </w:tc>
              <w:tc>
                <w:tcPr>
                  <w:tcW w:w="719" w:type="dxa"/>
                  <w:tcBorders>
                    <w:tl2br w:val="nil"/>
                    <w:tr2bl w:val="nil"/>
                  </w:tcBorders>
                  <w:shd w:val="clear" w:color="auto" w:fill="auto"/>
                  <w:vAlign w:val="center"/>
                </w:tcPr>
                <w:p>
                  <w:pPr>
                    <w:jc w:val="center"/>
                    <w:rPr>
                      <w:rFonts w:ascii="Times New Roman" w:hAnsi="Times New Roman" w:eastAsia="宋体" w:cs="Times New Roman"/>
                      <w:color w:val="auto"/>
                      <w:kern w:val="2"/>
                      <w:sz w:val="18"/>
                      <w:szCs w:val="18"/>
                      <w:lang w:val="en-US" w:eastAsia="zh-CN" w:bidi="ar-SA"/>
                    </w:rPr>
                  </w:pPr>
                  <w:r>
                    <w:rPr>
                      <w:color w:val="auto"/>
                      <w:sz w:val="18"/>
                      <w:szCs w:val="18"/>
                    </w:rPr>
                    <w:t>居住区</w:t>
                  </w:r>
                </w:p>
              </w:tc>
              <w:tc>
                <w:tcPr>
                  <w:tcW w:w="1324" w:type="dxa"/>
                  <w:tcBorders>
                    <w:tl2br w:val="nil"/>
                    <w:tr2bl w:val="nil"/>
                  </w:tcBorders>
                  <w:shd w:val="clear" w:color="auto" w:fill="auto"/>
                  <w:vAlign w:val="center"/>
                </w:tcPr>
                <w:p>
                  <w:pPr>
                    <w:jc w:val="center"/>
                    <w:rPr>
                      <w:rFonts w:eastAsia="宋体"/>
                      <w:color w:val="auto"/>
                      <w:sz w:val="18"/>
                      <w:szCs w:val="18"/>
                      <w:lang w:val="en-US" w:eastAsia="zh-CN"/>
                    </w:rPr>
                  </w:pPr>
                  <w:r>
                    <w:rPr>
                      <w:rFonts w:hint="eastAsia" w:eastAsia="宋体"/>
                      <w:color w:val="auto"/>
                      <w:sz w:val="18"/>
                      <w:szCs w:val="18"/>
                      <w:lang w:val="en-US" w:eastAsia="zh-CN"/>
                    </w:rPr>
                    <w:t>50</w:t>
                  </w:r>
                  <w:r>
                    <w:rPr>
                      <w:rFonts w:hint="default" w:eastAsia="宋体"/>
                      <w:color w:val="auto"/>
                      <w:sz w:val="18"/>
                      <w:szCs w:val="18"/>
                      <w:lang w:val="en-US" w:eastAsia="zh-CN"/>
                    </w:rPr>
                    <w:t>户</w:t>
                  </w:r>
                  <w:r>
                    <w:rPr>
                      <w:rFonts w:hint="eastAsia" w:eastAsia="宋体"/>
                      <w:color w:val="auto"/>
                      <w:sz w:val="18"/>
                      <w:szCs w:val="18"/>
                      <w:lang w:val="en-US" w:eastAsia="zh-CN"/>
                    </w:rPr>
                    <w:t>/160</w:t>
                  </w:r>
                  <w:r>
                    <w:rPr>
                      <w:rFonts w:eastAsia="宋体"/>
                      <w:color w:val="auto"/>
                      <w:sz w:val="18"/>
                      <w:szCs w:val="18"/>
                    </w:rPr>
                    <w:t>人</w:t>
                  </w:r>
                </w:p>
              </w:tc>
              <w:tc>
                <w:tcPr>
                  <w:tcW w:w="780" w:type="dxa"/>
                  <w:tcBorders>
                    <w:tl2br w:val="nil"/>
                    <w:tr2bl w:val="nil"/>
                  </w:tcBorders>
                  <w:shd w:val="clear" w:color="auto" w:fill="auto"/>
                  <w:vAlign w:val="center"/>
                </w:tcPr>
                <w:p>
                  <w:pPr>
                    <w:jc w:val="center"/>
                    <w:rPr>
                      <w:rFonts w:ascii="Times New Roman" w:hAnsi="Times New Roman" w:eastAsia="宋体" w:cs="Times New Roman"/>
                      <w:color w:val="auto"/>
                      <w:kern w:val="2"/>
                      <w:sz w:val="18"/>
                      <w:szCs w:val="18"/>
                      <w:lang w:val="en-US" w:eastAsia="zh-CN" w:bidi="ar-SA"/>
                    </w:rPr>
                  </w:pPr>
                  <w:r>
                    <w:rPr>
                      <w:color w:val="auto"/>
                      <w:sz w:val="18"/>
                      <w:szCs w:val="18"/>
                    </w:rPr>
                    <w:t>二类区</w:t>
                  </w:r>
                </w:p>
              </w:tc>
              <w:tc>
                <w:tcPr>
                  <w:tcW w:w="656" w:type="dxa"/>
                  <w:tcBorders>
                    <w:tl2br w:val="nil"/>
                    <w:tr2bl w:val="nil"/>
                  </w:tcBorders>
                  <w:shd w:val="clear" w:color="auto" w:fill="auto"/>
                  <w:vAlign w:val="center"/>
                </w:tcPr>
                <w:p>
                  <w:pPr>
                    <w:jc w:val="center"/>
                    <w:rPr>
                      <w:rFonts w:hint="eastAsia" w:ascii="Times New Roman" w:hAnsi="Times New Roman" w:eastAsia="宋体" w:cs="Times New Roman"/>
                      <w:color w:val="auto"/>
                      <w:kern w:val="2"/>
                      <w:sz w:val="18"/>
                      <w:szCs w:val="18"/>
                      <w:lang w:val="en-US" w:eastAsia="zh-CN" w:bidi="ar-SA"/>
                    </w:rPr>
                  </w:pPr>
                  <w:r>
                    <w:rPr>
                      <w:color w:val="auto"/>
                      <w:sz w:val="18"/>
                      <w:szCs w:val="18"/>
                    </w:rPr>
                    <w:t>N</w:t>
                  </w:r>
                  <w:r>
                    <w:rPr>
                      <w:rFonts w:hint="eastAsia"/>
                      <w:color w:val="auto"/>
                      <w:sz w:val="18"/>
                      <w:szCs w:val="18"/>
                      <w:lang w:val="en-US" w:eastAsia="zh-CN"/>
                    </w:rPr>
                    <w:t>W</w:t>
                  </w:r>
                </w:p>
              </w:tc>
              <w:tc>
                <w:tcPr>
                  <w:tcW w:w="1347" w:type="dxa"/>
                  <w:tcBorders>
                    <w:tl2br w:val="nil"/>
                    <w:tr2bl w:val="nil"/>
                  </w:tcBorders>
                  <w:shd w:val="clear" w:color="auto" w:fill="auto"/>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341</w:t>
                  </w:r>
                  <w:r>
                    <w:rPr>
                      <w:color w:val="auto"/>
                      <w:sz w:val="18"/>
                      <w:szCs w:val="18"/>
                    </w:rPr>
                    <w:t>m</w:t>
                  </w:r>
                  <w:r>
                    <w:rPr>
                      <w:rFonts w:hint="eastAsia"/>
                      <w:color w:val="auto"/>
                      <w:sz w:val="18"/>
                      <w:szCs w:val="18"/>
                      <w:lang w:val="en-US" w:eastAsia="zh-CN"/>
                    </w:rPr>
                    <w:t>/260m</w:t>
                  </w:r>
                </w:p>
              </w:tc>
            </w:tr>
          </w:tbl>
          <w:p>
            <w:pPr>
              <w:widowControl/>
              <w:spacing w:line="500" w:lineRule="exact"/>
              <w:ind w:firstLine="420" w:firstLineChars="200"/>
              <w:jc w:val="left"/>
            </w:pPr>
            <w:r>
              <w:t xml:space="preserve">2、声环境 </w:t>
            </w:r>
          </w:p>
          <w:p>
            <w:pPr>
              <w:adjustRightInd w:val="0"/>
              <w:snapToGrid w:val="0"/>
              <w:spacing w:line="500" w:lineRule="exact"/>
              <w:ind w:firstLine="420"/>
              <w:rPr>
                <w:rFonts w:hint="eastAsia"/>
                <w:color w:val="auto"/>
                <w:kern w:val="0"/>
                <w:sz w:val="18"/>
                <w:szCs w:val="18"/>
              </w:rPr>
            </w:pPr>
            <w:r>
              <w:rPr>
                <w:rFonts w:hint="default" w:ascii="Times New Roman" w:hAnsi="Times New Roman" w:cs="Times New Roman"/>
                <w:color w:val="auto"/>
                <w:kern w:val="0"/>
                <w:szCs w:val="21"/>
              </w:rPr>
              <w:t>项目厂界外50米范围内无声环境保护目标。</w:t>
            </w:r>
          </w:p>
          <w:p>
            <w:pPr>
              <w:widowControl/>
              <w:spacing w:line="500" w:lineRule="exact"/>
              <w:ind w:firstLine="420" w:firstLineChars="200"/>
              <w:jc w:val="left"/>
            </w:pPr>
            <w:r>
              <w:t xml:space="preserve">3、地下水环境 </w:t>
            </w:r>
          </w:p>
          <w:p>
            <w:pPr>
              <w:widowControl/>
              <w:spacing w:line="500" w:lineRule="exact"/>
              <w:ind w:firstLine="420" w:firstLineChars="200"/>
              <w:jc w:val="left"/>
            </w:pPr>
            <w:r>
              <w:t>本项目厂界外500米范围内无地下水集中式饮用水水源和热水、矿泉水、温泉等特殊地下水资源。</w:t>
            </w:r>
          </w:p>
          <w:p>
            <w:pPr>
              <w:widowControl/>
              <w:spacing w:line="500" w:lineRule="exact"/>
              <w:ind w:firstLine="420" w:firstLineChars="200"/>
              <w:jc w:val="left"/>
            </w:pPr>
            <w:r>
              <w:t xml:space="preserve">4、生态 </w:t>
            </w:r>
          </w:p>
          <w:p>
            <w:pPr>
              <w:widowControl/>
              <w:spacing w:line="500" w:lineRule="exact"/>
              <w:ind w:firstLine="420" w:firstLineChars="200"/>
              <w:jc w:val="left"/>
            </w:pPr>
            <w:r>
              <w:t>本项目不涉及生态环境保护目标。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vAlign w:val="center"/>
          </w:tcPr>
          <w:p>
            <w:pPr>
              <w:spacing w:line="500" w:lineRule="exact"/>
              <w:jc w:val="center"/>
              <w:rPr>
                <w:sz w:val="24"/>
                <w:szCs w:val="32"/>
              </w:rPr>
            </w:pPr>
          </w:p>
          <w:p>
            <w:pPr>
              <w:spacing w:line="500" w:lineRule="exact"/>
              <w:jc w:val="center"/>
              <w:rPr>
                <w:sz w:val="24"/>
                <w:szCs w:val="32"/>
              </w:rPr>
            </w:pPr>
          </w:p>
          <w:p>
            <w:pPr>
              <w:spacing w:line="500" w:lineRule="exact"/>
              <w:jc w:val="center"/>
              <w:rPr>
                <w:sz w:val="24"/>
                <w:szCs w:val="32"/>
              </w:rPr>
            </w:pPr>
          </w:p>
          <w:p>
            <w:pPr>
              <w:spacing w:line="500" w:lineRule="exact"/>
              <w:jc w:val="center"/>
              <w:rPr>
                <w:sz w:val="24"/>
                <w:szCs w:val="32"/>
              </w:rPr>
            </w:pPr>
          </w:p>
          <w:p>
            <w:pPr>
              <w:spacing w:line="500" w:lineRule="exact"/>
              <w:jc w:val="center"/>
              <w:rPr>
                <w:sz w:val="24"/>
                <w:szCs w:val="32"/>
              </w:rPr>
            </w:pPr>
          </w:p>
          <w:p>
            <w:pPr>
              <w:spacing w:line="500" w:lineRule="exact"/>
              <w:jc w:val="center"/>
              <w:rPr>
                <w:sz w:val="24"/>
                <w:szCs w:val="32"/>
              </w:rPr>
            </w:pPr>
          </w:p>
          <w:p>
            <w:pPr>
              <w:spacing w:line="500" w:lineRule="exact"/>
              <w:jc w:val="center"/>
              <w:rPr>
                <w:sz w:val="24"/>
                <w:szCs w:val="32"/>
              </w:rPr>
            </w:pPr>
          </w:p>
          <w:p>
            <w:pPr>
              <w:spacing w:line="500" w:lineRule="exact"/>
              <w:jc w:val="center"/>
              <w:rPr>
                <w:sz w:val="24"/>
                <w:szCs w:val="32"/>
              </w:rPr>
            </w:pPr>
          </w:p>
          <w:p>
            <w:pPr>
              <w:spacing w:line="500" w:lineRule="exact"/>
              <w:jc w:val="center"/>
              <w:rPr>
                <w:sz w:val="24"/>
                <w:szCs w:val="32"/>
              </w:rPr>
            </w:pPr>
          </w:p>
          <w:p>
            <w:pPr>
              <w:spacing w:line="500" w:lineRule="exact"/>
              <w:jc w:val="center"/>
              <w:rPr>
                <w:sz w:val="24"/>
                <w:szCs w:val="32"/>
              </w:rPr>
            </w:pPr>
          </w:p>
          <w:p>
            <w:pPr>
              <w:spacing w:line="500" w:lineRule="exact"/>
              <w:jc w:val="center"/>
              <w:rPr>
                <w:sz w:val="24"/>
                <w:szCs w:val="32"/>
              </w:rPr>
            </w:pPr>
          </w:p>
          <w:p>
            <w:pPr>
              <w:spacing w:line="500" w:lineRule="exact"/>
              <w:jc w:val="center"/>
              <w:rPr>
                <w:sz w:val="24"/>
                <w:szCs w:val="32"/>
              </w:rPr>
            </w:pPr>
            <w:r>
              <w:rPr>
                <w:sz w:val="24"/>
                <w:szCs w:val="24"/>
              </w:rPr>
              <w:t>污染物排放控制标准</w:t>
            </w:r>
          </w:p>
        </w:tc>
        <w:tc>
          <w:tcPr>
            <w:tcW w:w="7718" w:type="dxa"/>
          </w:tcPr>
          <w:p>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rPr>
                <w:kern w:val="0"/>
                <w:szCs w:val="21"/>
              </w:rPr>
            </w:pPr>
            <w:r>
              <w:rPr>
                <w:kern w:val="0"/>
                <w:szCs w:val="21"/>
              </w:rPr>
              <w:t>1、大气污染物</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ascii="Times New Roman" w:hAnsi="Times New Roman"/>
                <w:b/>
                <w:color w:val="000000"/>
                <w:szCs w:val="21"/>
              </w:rPr>
            </w:pPr>
            <w:r>
              <w:rPr>
                <w:rFonts w:ascii="Times New Roman" w:hAnsi="Times New Roman"/>
                <w:color w:val="000000"/>
                <w:szCs w:val="21"/>
              </w:rPr>
              <w:t>天然气燃烧产生</w:t>
            </w:r>
            <w:r>
              <w:rPr>
                <w:rFonts w:ascii="Times New Roman" w:hAnsi="Times New Roman"/>
                <w:color w:val="auto"/>
                <w:szCs w:val="21"/>
              </w:rPr>
              <w:t>的</w:t>
            </w:r>
            <w:r>
              <w:rPr>
                <w:rFonts w:hint="eastAsia" w:ascii="Times New Roman" w:hAnsi="Times New Roman"/>
                <w:color w:val="auto"/>
                <w:szCs w:val="21"/>
              </w:rPr>
              <w:t>烟尘</w:t>
            </w:r>
            <w:r>
              <w:rPr>
                <w:rFonts w:ascii="Times New Roman" w:hAnsi="Times New Roman"/>
                <w:color w:val="auto"/>
                <w:szCs w:val="21"/>
              </w:rPr>
              <w:t>、SO</w:t>
            </w:r>
            <w:r>
              <w:rPr>
                <w:rFonts w:ascii="Times New Roman" w:hAnsi="Times New Roman"/>
                <w:color w:val="auto"/>
                <w:szCs w:val="21"/>
                <w:vertAlign w:val="subscript"/>
              </w:rPr>
              <w:t>2</w:t>
            </w:r>
            <w:r>
              <w:rPr>
                <w:rFonts w:ascii="Times New Roman" w:hAnsi="Times New Roman"/>
                <w:color w:val="auto"/>
                <w:szCs w:val="21"/>
              </w:rPr>
              <w:t>、NO</w:t>
            </w:r>
            <w:r>
              <w:rPr>
                <w:rFonts w:ascii="Times New Roman" w:hAnsi="Times New Roman"/>
                <w:color w:val="auto"/>
                <w:szCs w:val="21"/>
                <w:vertAlign w:val="subscript"/>
              </w:rPr>
              <w:t>X</w:t>
            </w:r>
            <w:r>
              <w:rPr>
                <w:rFonts w:ascii="Times New Roman" w:hAnsi="Times New Roman"/>
                <w:color w:val="auto"/>
                <w:szCs w:val="21"/>
              </w:rPr>
              <w:t>执行</w:t>
            </w:r>
            <w:r>
              <w:rPr>
                <w:rFonts w:hint="eastAsia" w:ascii="Times New Roman" w:hAnsi="Times New Roman" w:eastAsia="宋体" w:cs="Times New Roman"/>
                <w:color w:val="auto"/>
                <w:szCs w:val="21"/>
                <w:lang w:val="en-US" w:eastAsia="zh-CN"/>
              </w:rPr>
              <w:t>《工业炉窑大气污染物排放标准》（DB32/3728—20</w:t>
            </w:r>
            <w:r>
              <w:rPr>
                <w:rFonts w:hint="eastAsia" w:cs="Times New Roman"/>
                <w:color w:val="auto"/>
                <w:szCs w:val="21"/>
                <w:lang w:val="en-US" w:eastAsia="zh-CN"/>
              </w:rPr>
              <w:t>20</w:t>
            </w:r>
            <w:r>
              <w:rPr>
                <w:rFonts w:hint="eastAsia" w:ascii="Times New Roman" w:hAnsi="Times New Roman" w:eastAsia="宋体" w:cs="Times New Roman"/>
                <w:color w:val="auto"/>
                <w:szCs w:val="21"/>
                <w:lang w:val="en-US" w:eastAsia="zh-CN"/>
              </w:rPr>
              <w:t>）</w:t>
            </w:r>
            <w:r>
              <w:rPr>
                <w:rFonts w:hint="eastAsia"/>
                <w:color w:val="auto"/>
                <w:szCs w:val="21"/>
              </w:rPr>
              <w:t>表1中</w:t>
            </w:r>
            <w:r>
              <w:rPr>
                <w:color w:val="auto"/>
                <w:szCs w:val="21"/>
              </w:rPr>
              <w:t>相关标准</w:t>
            </w:r>
            <w:r>
              <w:rPr>
                <w:rFonts w:hint="eastAsia"/>
                <w:color w:val="auto"/>
                <w:szCs w:val="21"/>
                <w:lang w:eastAsia="zh-CN"/>
              </w:rPr>
              <w:t>，</w:t>
            </w:r>
            <w:r>
              <w:rPr>
                <w:rFonts w:hint="eastAsia"/>
                <w:color w:val="auto"/>
                <w:lang w:val="en-US" w:eastAsia="zh-CN"/>
              </w:rPr>
              <w:t>基准含氧量</w:t>
            </w:r>
            <w:r>
              <w:rPr>
                <w:rFonts w:ascii="Times New Roman" w:hAnsi="Times New Roman"/>
                <w:color w:val="auto"/>
                <w:szCs w:val="21"/>
              </w:rPr>
              <w:t>执行</w:t>
            </w:r>
            <w:r>
              <w:rPr>
                <w:rFonts w:hint="eastAsia" w:ascii="Times New Roman" w:hAnsi="Times New Roman" w:eastAsia="宋体" w:cs="Times New Roman"/>
                <w:color w:val="auto"/>
                <w:szCs w:val="21"/>
                <w:lang w:val="en-US" w:eastAsia="zh-CN"/>
              </w:rPr>
              <w:t>《工业炉窑大气污染物排放标准》（DB32/3728—20</w:t>
            </w:r>
            <w:r>
              <w:rPr>
                <w:rFonts w:hint="eastAsia" w:cs="Times New Roman"/>
                <w:color w:val="auto"/>
                <w:szCs w:val="21"/>
                <w:lang w:val="en-US" w:eastAsia="zh-CN"/>
              </w:rPr>
              <w:t>20</w:t>
            </w:r>
            <w:r>
              <w:rPr>
                <w:rFonts w:hint="eastAsia" w:ascii="Times New Roman" w:hAnsi="Times New Roman" w:eastAsia="宋体" w:cs="Times New Roman"/>
                <w:color w:val="auto"/>
                <w:szCs w:val="21"/>
                <w:lang w:val="en-US" w:eastAsia="zh-CN"/>
              </w:rPr>
              <w:t>）</w:t>
            </w:r>
            <w:r>
              <w:rPr>
                <w:rFonts w:hint="eastAsia"/>
                <w:color w:val="auto"/>
                <w:szCs w:val="21"/>
              </w:rPr>
              <w:t>表</w:t>
            </w:r>
            <w:r>
              <w:rPr>
                <w:rFonts w:hint="eastAsia"/>
                <w:color w:val="auto"/>
                <w:szCs w:val="21"/>
                <w:lang w:val="en-US" w:eastAsia="zh-CN"/>
              </w:rPr>
              <w:t>5</w:t>
            </w:r>
            <w:r>
              <w:rPr>
                <w:rFonts w:hint="eastAsia"/>
                <w:color w:val="auto"/>
                <w:szCs w:val="21"/>
              </w:rPr>
              <w:t>中</w:t>
            </w:r>
            <w:r>
              <w:rPr>
                <w:color w:val="auto"/>
                <w:szCs w:val="21"/>
              </w:rPr>
              <w:t>相关标准</w:t>
            </w:r>
            <w:r>
              <w:rPr>
                <w:rFonts w:ascii="Times New Roman" w:hAnsi="Times New Roman"/>
                <w:color w:val="auto"/>
                <w:szCs w:val="21"/>
              </w:rPr>
              <w:t>，</w:t>
            </w:r>
            <w:r>
              <w:rPr>
                <w:rFonts w:hint="eastAsia"/>
                <w:color w:val="auto"/>
                <w:szCs w:val="21"/>
                <w:lang w:eastAsia="zh-CN"/>
              </w:rPr>
              <w:t>金属加工产生的非甲烷总烃、下料、气割、打磨产生的颗粒物</w:t>
            </w:r>
            <w:r>
              <w:rPr>
                <w:rFonts w:ascii="Times New Roman" w:hAnsi="Times New Roman"/>
                <w:color w:val="auto"/>
                <w:szCs w:val="21"/>
              </w:rPr>
              <w:t>执行</w:t>
            </w:r>
            <w:r>
              <w:rPr>
                <w:rFonts w:ascii="Times New Roman" w:hAnsi="Times New Roman"/>
                <w:color w:val="auto"/>
                <w:sz w:val="21"/>
                <w:szCs w:val="21"/>
              </w:rPr>
              <w:t>《大气污染物综合排放标准》（</w:t>
            </w:r>
            <w:r>
              <w:rPr>
                <w:rFonts w:hint="eastAsia" w:ascii="Times New Roman" w:hAnsi="Times New Roman"/>
                <w:color w:val="auto"/>
                <w:sz w:val="21"/>
                <w:szCs w:val="21"/>
              </w:rPr>
              <w:t>DB32/4041-2021</w:t>
            </w:r>
            <w:r>
              <w:rPr>
                <w:rFonts w:ascii="Times New Roman" w:hAnsi="Times New Roman"/>
                <w:color w:val="auto"/>
                <w:sz w:val="21"/>
                <w:szCs w:val="21"/>
              </w:rPr>
              <w:t>）</w:t>
            </w:r>
            <w:r>
              <w:rPr>
                <w:rFonts w:ascii="Times New Roman" w:hAnsi="Times New Roman"/>
                <w:color w:val="auto"/>
                <w:szCs w:val="21"/>
              </w:rPr>
              <w:t>中</w:t>
            </w:r>
            <w:r>
              <w:rPr>
                <w:rFonts w:hint="eastAsia" w:ascii="Times New Roman" w:hAnsi="Times New Roman"/>
                <w:color w:val="auto"/>
                <w:szCs w:val="21"/>
                <w:lang w:eastAsia="zh-CN"/>
              </w:rPr>
              <w:t>表</w:t>
            </w:r>
            <w:r>
              <w:rPr>
                <w:rFonts w:hint="eastAsia" w:ascii="Times New Roman" w:hAnsi="Times New Roman"/>
                <w:color w:val="auto"/>
                <w:szCs w:val="21"/>
                <w:lang w:val="en-US" w:eastAsia="zh-CN"/>
              </w:rPr>
              <w:t>1、表3</w:t>
            </w:r>
            <w:r>
              <w:rPr>
                <w:rFonts w:ascii="Times New Roman" w:hAnsi="Times New Roman" w:eastAsia="宋体" w:cs="Times New Roman"/>
                <w:color w:val="auto"/>
                <w:szCs w:val="21"/>
              </w:rPr>
              <w:t>相关标准</w:t>
            </w:r>
            <w:r>
              <w:rPr>
                <w:rFonts w:hint="eastAsia" w:ascii="Times New Roman" w:hAnsi="Times New Roman" w:eastAsia="宋体" w:cs="Times New Roman"/>
                <w:color w:val="auto"/>
                <w:szCs w:val="21"/>
                <w:lang w:eastAsia="zh-CN"/>
              </w:rPr>
              <w:t>，</w:t>
            </w:r>
            <w:r>
              <w:rPr>
                <w:rFonts w:ascii="Times New Roman" w:hAnsi="Times New Roman"/>
                <w:color w:val="auto"/>
                <w:szCs w:val="21"/>
              </w:rPr>
              <w:t>具体限值见表3-</w:t>
            </w:r>
            <w:r>
              <w:rPr>
                <w:rFonts w:hint="eastAsia"/>
                <w:color w:val="auto"/>
                <w:szCs w:val="21"/>
                <w:lang w:val="en-US" w:eastAsia="zh-CN"/>
              </w:rPr>
              <w:t>4</w:t>
            </w:r>
            <w:r>
              <w:rPr>
                <w:rFonts w:ascii="Times New Roman" w:hAnsi="Times New Roman"/>
                <w:color w:val="auto"/>
                <w:szCs w:val="21"/>
              </w:rPr>
              <w:t>。</w:t>
            </w:r>
            <w:r>
              <w:rPr>
                <w:rFonts w:hint="eastAsia" w:ascii="Times New Roman" w:hAnsi="Times New Roman" w:eastAsia="宋体" w:cs="Times New Roman"/>
                <w:color w:val="auto"/>
                <w:szCs w:val="21"/>
                <w:lang w:eastAsia="zh-CN"/>
              </w:rPr>
              <w:t>厂区内</w:t>
            </w:r>
            <w:r>
              <w:rPr>
                <w:rFonts w:hint="eastAsia" w:ascii="Times New Roman" w:hAnsi="Times New Roman" w:eastAsia="宋体" w:cs="Times New Roman"/>
                <w:color w:val="auto"/>
                <w:szCs w:val="21"/>
                <w:lang w:val="en-US" w:eastAsia="zh-CN"/>
              </w:rPr>
              <w:t>VOCs</w:t>
            </w:r>
            <w:r>
              <w:rPr>
                <w:rFonts w:hint="eastAsia" w:ascii="Times New Roman" w:hAnsi="Times New Roman" w:eastAsia="宋体" w:cs="Times New Roman"/>
                <w:color w:val="auto"/>
                <w:szCs w:val="21"/>
                <w:lang w:eastAsia="zh-CN"/>
              </w:rPr>
              <w:t>无组织排放执行</w:t>
            </w:r>
            <w:r>
              <w:rPr>
                <w:rFonts w:ascii="Times New Roman" w:hAnsi="Times New Roman"/>
                <w:color w:val="auto"/>
                <w:szCs w:val="21"/>
              </w:rPr>
              <w:t>《大气污染物综合排放标准》（DB32/4041-2021）中</w:t>
            </w:r>
            <w:r>
              <w:rPr>
                <w:rFonts w:hint="eastAsia" w:ascii="Times New Roman" w:hAnsi="Times New Roman"/>
                <w:color w:val="auto"/>
                <w:szCs w:val="21"/>
                <w:lang w:eastAsia="zh-CN"/>
              </w:rPr>
              <w:t>表</w:t>
            </w:r>
            <w:r>
              <w:rPr>
                <w:rFonts w:hint="eastAsia" w:ascii="Times New Roman" w:hAnsi="Times New Roman"/>
                <w:color w:val="auto"/>
                <w:szCs w:val="21"/>
                <w:lang w:val="en-US" w:eastAsia="zh-CN"/>
              </w:rPr>
              <w:t>2</w:t>
            </w:r>
            <w:r>
              <w:rPr>
                <w:rFonts w:ascii="Times New Roman" w:hAnsi="Times New Roman" w:eastAsia="宋体" w:cs="Times New Roman"/>
                <w:color w:val="auto"/>
                <w:szCs w:val="21"/>
              </w:rPr>
              <w:t>相关标准</w:t>
            </w:r>
            <w:r>
              <w:rPr>
                <w:rFonts w:hint="eastAsia" w:ascii="Times New Roman" w:hAnsi="Times New Roman" w:eastAsia="宋体" w:cs="Times New Roman"/>
                <w:color w:val="auto"/>
                <w:szCs w:val="21"/>
                <w:lang w:val="en-US" w:eastAsia="zh-CN"/>
              </w:rPr>
              <w:t>，</w:t>
            </w:r>
            <w:r>
              <w:rPr>
                <w:rFonts w:hint="eastAsia"/>
                <w:color w:val="auto"/>
                <w:szCs w:val="21"/>
                <w:lang w:val="en-US" w:eastAsia="zh-CN"/>
              </w:rPr>
              <w:t>厂区内颗粒物排放限值参照</w:t>
            </w:r>
            <w:r>
              <w:rPr>
                <w:rFonts w:hint="eastAsia" w:ascii="Times New Roman" w:hAnsi="Times New Roman" w:eastAsia="宋体" w:cs="Times New Roman"/>
                <w:color w:val="auto"/>
                <w:szCs w:val="21"/>
                <w:lang w:val="en-US" w:eastAsia="zh-CN"/>
              </w:rPr>
              <w:t>《工业炉窑大气污染物排放标准》（DB32/3728—20</w:t>
            </w:r>
            <w:r>
              <w:rPr>
                <w:rFonts w:hint="eastAsia" w:cs="Times New Roman"/>
                <w:color w:val="auto"/>
                <w:szCs w:val="21"/>
                <w:lang w:val="en-US" w:eastAsia="zh-CN"/>
              </w:rPr>
              <w:t>20</w:t>
            </w:r>
            <w:r>
              <w:rPr>
                <w:rFonts w:hint="eastAsia" w:ascii="Times New Roman" w:hAnsi="Times New Roman" w:eastAsia="宋体" w:cs="Times New Roman"/>
                <w:color w:val="auto"/>
                <w:szCs w:val="21"/>
                <w:lang w:val="en-US" w:eastAsia="zh-CN"/>
              </w:rPr>
              <w:t>）</w:t>
            </w:r>
            <w:r>
              <w:rPr>
                <w:rFonts w:hint="eastAsia"/>
                <w:color w:val="auto"/>
                <w:szCs w:val="21"/>
              </w:rPr>
              <w:t>表</w:t>
            </w:r>
            <w:r>
              <w:rPr>
                <w:rFonts w:hint="eastAsia"/>
                <w:color w:val="auto"/>
                <w:szCs w:val="21"/>
                <w:lang w:val="en-US" w:eastAsia="zh-CN"/>
              </w:rPr>
              <w:t>3</w:t>
            </w:r>
            <w:r>
              <w:rPr>
                <w:rFonts w:hint="eastAsia"/>
                <w:color w:val="auto"/>
                <w:szCs w:val="21"/>
              </w:rPr>
              <w:t>中</w:t>
            </w:r>
            <w:r>
              <w:rPr>
                <w:color w:val="auto"/>
                <w:szCs w:val="21"/>
              </w:rPr>
              <w:t>相关标准</w:t>
            </w:r>
            <w:r>
              <w:rPr>
                <w:rFonts w:hint="eastAsia"/>
                <w:color w:val="auto"/>
                <w:szCs w:val="21"/>
                <w:lang w:val="en-US" w:eastAsia="zh-CN"/>
              </w:rPr>
              <w:t>，</w:t>
            </w:r>
            <w:r>
              <w:rPr>
                <w:rFonts w:hint="eastAsia" w:ascii="Times New Roman" w:hAnsi="Times New Roman" w:eastAsia="宋体" w:cs="Times New Roman"/>
                <w:color w:val="auto"/>
                <w:szCs w:val="21"/>
                <w:lang w:val="en-US" w:eastAsia="zh-CN"/>
              </w:rPr>
              <w:t>具体限值见表3-</w:t>
            </w:r>
            <w:r>
              <w:rPr>
                <w:rFonts w:hint="eastAsia" w:cs="Times New Roman"/>
                <w:color w:val="auto"/>
                <w:szCs w:val="21"/>
                <w:lang w:val="en-US" w:eastAsia="zh-CN"/>
              </w:rPr>
              <w:t>4~3-6</w:t>
            </w:r>
            <w:r>
              <w:rPr>
                <w:rFonts w:hint="eastAsia" w:ascii="Times New Roman" w:hAnsi="Times New Roman" w:eastAsia="宋体" w:cs="Times New Roman"/>
                <w:color w:val="auto"/>
                <w:szCs w:val="21"/>
                <w:lang w:val="en-US" w:eastAsia="zh-CN"/>
              </w:rPr>
              <w:t>。</w:t>
            </w:r>
          </w:p>
          <w:p>
            <w:pPr>
              <w:spacing w:line="500" w:lineRule="exact"/>
              <w:jc w:val="center"/>
              <w:rPr>
                <w:szCs w:val="21"/>
              </w:rPr>
            </w:pPr>
            <w:r>
              <w:rPr>
                <w:b/>
                <w:szCs w:val="21"/>
              </w:rPr>
              <w:t>表3-</w:t>
            </w:r>
            <w:r>
              <w:rPr>
                <w:rFonts w:hint="eastAsia"/>
                <w:b/>
                <w:szCs w:val="21"/>
                <w:lang w:val="en-US" w:eastAsia="zh-CN"/>
              </w:rPr>
              <w:t>4</w:t>
            </w:r>
            <w:r>
              <w:rPr>
                <w:b/>
                <w:szCs w:val="21"/>
              </w:rPr>
              <w:t xml:space="preserve"> 污染物排放标准</w:t>
            </w:r>
          </w:p>
          <w:tbl>
            <w:tblPr>
              <w:tblStyle w:val="21"/>
              <w:tblW w:w="831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49"/>
              <w:gridCol w:w="1450"/>
              <w:gridCol w:w="848"/>
              <w:gridCol w:w="1322"/>
              <w:gridCol w:w="1320"/>
              <w:gridCol w:w="22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187" w:type="dxa"/>
                  <w:noWrap w:val="0"/>
                  <w:vAlign w:val="center"/>
                </w:tcPr>
                <w:p>
                  <w:pPr>
                    <w:pStyle w:val="5"/>
                    <w:adjustRightInd w:val="0"/>
                    <w:snapToGrid w:val="0"/>
                    <w:spacing w:line="320" w:lineRule="exact"/>
                    <w:ind w:firstLine="16" w:firstLineChars="9"/>
                    <w:jc w:val="center"/>
                    <w:rPr>
                      <w:rFonts w:ascii="Times New Roman" w:hAnsi="Times New Roman"/>
                      <w:b/>
                      <w:bCs/>
                      <w:sz w:val="18"/>
                      <w:szCs w:val="18"/>
                    </w:rPr>
                  </w:pPr>
                  <w:r>
                    <w:rPr>
                      <w:rFonts w:ascii="Times New Roman" w:hAnsi="Times New Roman"/>
                      <w:b/>
                      <w:bCs/>
                      <w:sz w:val="18"/>
                      <w:szCs w:val="18"/>
                    </w:rPr>
                    <w:t>废气</w:t>
                  </w:r>
                </w:p>
              </w:tc>
              <w:tc>
                <w:tcPr>
                  <w:tcW w:w="1464" w:type="dxa"/>
                  <w:noWrap w:val="0"/>
                  <w:vAlign w:val="center"/>
                </w:tcPr>
                <w:p>
                  <w:pPr>
                    <w:pStyle w:val="5"/>
                    <w:adjustRightInd w:val="0"/>
                    <w:snapToGrid w:val="0"/>
                    <w:spacing w:line="320" w:lineRule="exact"/>
                    <w:ind w:firstLine="16" w:firstLineChars="9"/>
                    <w:jc w:val="center"/>
                    <w:rPr>
                      <w:rFonts w:ascii="Times New Roman" w:hAnsi="Times New Roman"/>
                      <w:b/>
                      <w:bCs/>
                      <w:sz w:val="18"/>
                      <w:szCs w:val="18"/>
                    </w:rPr>
                  </w:pPr>
                  <w:r>
                    <w:rPr>
                      <w:rFonts w:ascii="Times New Roman" w:hAnsi="Times New Roman"/>
                      <w:b/>
                      <w:bCs/>
                      <w:sz w:val="18"/>
                      <w:szCs w:val="18"/>
                    </w:rPr>
                    <w:t>最高允许排放浓度（mg/m</w:t>
                  </w:r>
                  <w:r>
                    <w:rPr>
                      <w:rFonts w:ascii="Times New Roman" w:hAnsi="Times New Roman"/>
                      <w:b/>
                      <w:bCs/>
                      <w:sz w:val="18"/>
                      <w:szCs w:val="18"/>
                      <w:vertAlign w:val="superscript"/>
                    </w:rPr>
                    <w:t>3</w:t>
                  </w:r>
                  <w:r>
                    <w:rPr>
                      <w:rFonts w:ascii="Times New Roman" w:hAnsi="Times New Roman"/>
                      <w:b/>
                      <w:bCs/>
                      <w:sz w:val="18"/>
                      <w:szCs w:val="18"/>
                    </w:rPr>
                    <w:t>）</w:t>
                  </w:r>
                </w:p>
              </w:tc>
              <w:tc>
                <w:tcPr>
                  <w:tcW w:w="853" w:type="dxa"/>
                  <w:noWrap w:val="0"/>
                  <w:vAlign w:val="center"/>
                </w:tcPr>
                <w:p>
                  <w:pPr>
                    <w:pStyle w:val="5"/>
                    <w:adjustRightInd w:val="0"/>
                    <w:snapToGrid w:val="0"/>
                    <w:spacing w:line="320" w:lineRule="exact"/>
                    <w:ind w:firstLine="16" w:firstLineChars="9"/>
                    <w:jc w:val="center"/>
                    <w:rPr>
                      <w:rFonts w:ascii="Times New Roman" w:hAnsi="Times New Roman"/>
                      <w:b/>
                      <w:bCs/>
                      <w:sz w:val="18"/>
                      <w:szCs w:val="18"/>
                    </w:rPr>
                  </w:pPr>
                  <w:r>
                    <w:rPr>
                      <w:rFonts w:ascii="Times New Roman" w:hAnsi="Times New Roman"/>
                      <w:b/>
                      <w:bCs/>
                      <w:sz w:val="18"/>
                      <w:szCs w:val="18"/>
                    </w:rPr>
                    <w:t>排气筒高（m）</w:t>
                  </w:r>
                </w:p>
              </w:tc>
              <w:tc>
                <w:tcPr>
                  <w:tcW w:w="1342" w:type="dxa"/>
                  <w:noWrap w:val="0"/>
                  <w:vAlign w:val="center"/>
                </w:tcPr>
                <w:p>
                  <w:pPr>
                    <w:pStyle w:val="5"/>
                    <w:adjustRightInd w:val="0"/>
                    <w:snapToGrid w:val="0"/>
                    <w:spacing w:line="320" w:lineRule="exact"/>
                    <w:ind w:firstLine="16" w:firstLineChars="9"/>
                    <w:jc w:val="center"/>
                    <w:rPr>
                      <w:rFonts w:ascii="Times New Roman" w:hAnsi="Times New Roman"/>
                      <w:b/>
                      <w:bCs/>
                      <w:sz w:val="18"/>
                      <w:szCs w:val="18"/>
                    </w:rPr>
                  </w:pPr>
                  <w:r>
                    <w:rPr>
                      <w:rFonts w:ascii="Times New Roman" w:hAnsi="Times New Roman"/>
                      <w:b/>
                      <w:bCs/>
                      <w:sz w:val="18"/>
                      <w:szCs w:val="18"/>
                    </w:rPr>
                    <w:t>最高允许排放速率（kg/h）</w:t>
                  </w:r>
                </w:p>
              </w:tc>
              <w:tc>
                <w:tcPr>
                  <w:tcW w:w="1326" w:type="dxa"/>
                  <w:noWrap w:val="0"/>
                  <w:vAlign w:val="center"/>
                </w:tcPr>
                <w:p>
                  <w:pPr>
                    <w:pStyle w:val="5"/>
                    <w:adjustRightInd w:val="0"/>
                    <w:snapToGrid w:val="0"/>
                    <w:spacing w:line="320" w:lineRule="exact"/>
                    <w:ind w:firstLine="16" w:firstLineChars="9"/>
                    <w:jc w:val="center"/>
                    <w:rPr>
                      <w:rFonts w:ascii="Times New Roman" w:hAnsi="Times New Roman"/>
                      <w:b/>
                      <w:bCs/>
                      <w:sz w:val="18"/>
                      <w:szCs w:val="18"/>
                    </w:rPr>
                  </w:pPr>
                  <w:r>
                    <w:rPr>
                      <w:rFonts w:ascii="Times New Roman" w:hAnsi="Times New Roman"/>
                      <w:b/>
                      <w:bCs/>
                      <w:sz w:val="18"/>
                      <w:szCs w:val="18"/>
                    </w:rPr>
                    <w:t>无组织排放监控浓度限值（mg/m</w:t>
                  </w:r>
                  <w:r>
                    <w:rPr>
                      <w:rFonts w:ascii="Times New Roman" w:hAnsi="Times New Roman"/>
                      <w:b/>
                      <w:bCs/>
                      <w:sz w:val="18"/>
                      <w:szCs w:val="18"/>
                      <w:vertAlign w:val="superscript"/>
                    </w:rPr>
                    <w:t>3</w:t>
                  </w:r>
                  <w:r>
                    <w:rPr>
                      <w:rFonts w:ascii="Times New Roman" w:hAnsi="Times New Roman"/>
                      <w:b/>
                      <w:bCs/>
                      <w:sz w:val="18"/>
                      <w:szCs w:val="18"/>
                    </w:rPr>
                    <w:t>）</w:t>
                  </w:r>
                </w:p>
              </w:tc>
              <w:tc>
                <w:tcPr>
                  <w:tcW w:w="2141" w:type="dxa"/>
                  <w:noWrap w:val="0"/>
                  <w:vAlign w:val="center"/>
                </w:tcPr>
                <w:p>
                  <w:pPr>
                    <w:pStyle w:val="5"/>
                    <w:adjustRightInd w:val="0"/>
                    <w:snapToGrid w:val="0"/>
                    <w:spacing w:line="320" w:lineRule="exact"/>
                    <w:ind w:firstLine="16" w:firstLineChars="9"/>
                    <w:jc w:val="center"/>
                    <w:rPr>
                      <w:rFonts w:ascii="Times New Roman" w:hAnsi="Times New Roman"/>
                      <w:b/>
                      <w:bCs/>
                      <w:sz w:val="18"/>
                      <w:szCs w:val="18"/>
                    </w:rPr>
                  </w:pPr>
                  <w:r>
                    <w:rPr>
                      <w:rFonts w:ascii="Times New Roman" w:hAnsi="Times New Roman"/>
                      <w:b/>
                      <w:bCs/>
                      <w:sz w:val="18"/>
                      <w:szCs w:val="18"/>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7" w:type="dxa"/>
                  <w:noWrap w:val="0"/>
                  <w:vAlign w:val="center"/>
                </w:tcPr>
                <w:p>
                  <w:pPr>
                    <w:pStyle w:val="5"/>
                    <w:adjustRightInd w:val="0"/>
                    <w:snapToGrid w:val="0"/>
                    <w:spacing w:line="320" w:lineRule="exact"/>
                    <w:ind w:firstLine="16" w:firstLineChars="9"/>
                    <w:jc w:val="center"/>
                    <w:rPr>
                      <w:rFonts w:hint="eastAsia" w:ascii="Times New Roman" w:hAnsi="Times New Roman" w:eastAsia="宋体"/>
                      <w:sz w:val="18"/>
                      <w:szCs w:val="18"/>
                      <w:lang w:eastAsia="zh-CN"/>
                    </w:rPr>
                  </w:pPr>
                  <w:r>
                    <w:rPr>
                      <w:rFonts w:hint="eastAsia" w:ascii="Times New Roman" w:hAnsi="Times New Roman"/>
                      <w:sz w:val="18"/>
                      <w:szCs w:val="18"/>
                      <w:lang w:eastAsia="zh-CN"/>
                    </w:rPr>
                    <w:t>颗粒物</w:t>
                  </w:r>
                </w:p>
              </w:tc>
              <w:tc>
                <w:tcPr>
                  <w:tcW w:w="1464" w:type="dxa"/>
                  <w:noWrap w:val="0"/>
                  <w:vAlign w:val="center"/>
                </w:tcPr>
                <w:p>
                  <w:pPr>
                    <w:pStyle w:val="5"/>
                    <w:adjustRightInd w:val="0"/>
                    <w:snapToGrid w:val="0"/>
                    <w:spacing w:line="320" w:lineRule="exact"/>
                    <w:ind w:firstLine="16" w:firstLineChars="9"/>
                    <w:jc w:val="center"/>
                    <w:rPr>
                      <w:rFonts w:hint="default" w:ascii="Times New Roman" w:hAnsi="Times New Roman" w:eastAsia="宋体"/>
                      <w:sz w:val="18"/>
                      <w:szCs w:val="18"/>
                      <w:lang w:val="en-US" w:eastAsia="zh-CN"/>
                    </w:rPr>
                  </w:pPr>
                  <w:r>
                    <w:rPr>
                      <w:rFonts w:hint="eastAsia"/>
                      <w:sz w:val="18"/>
                      <w:szCs w:val="18"/>
                      <w:lang w:val="en-US" w:eastAsia="zh-CN"/>
                    </w:rPr>
                    <w:t>20</w:t>
                  </w:r>
                </w:p>
              </w:tc>
              <w:tc>
                <w:tcPr>
                  <w:tcW w:w="853" w:type="dxa"/>
                  <w:vMerge w:val="restart"/>
                  <w:noWrap w:val="0"/>
                  <w:vAlign w:val="center"/>
                </w:tcPr>
                <w:p>
                  <w:pPr>
                    <w:pStyle w:val="5"/>
                    <w:adjustRightInd w:val="0"/>
                    <w:snapToGrid w:val="0"/>
                    <w:spacing w:line="320" w:lineRule="exact"/>
                    <w:ind w:firstLine="16" w:firstLineChars="9"/>
                    <w:jc w:val="center"/>
                    <w:rPr>
                      <w:rFonts w:hint="default" w:ascii="Times New Roman" w:hAnsi="Times New Roman" w:eastAsia="宋体"/>
                      <w:color w:val="FF0000"/>
                      <w:sz w:val="18"/>
                      <w:szCs w:val="18"/>
                      <w:lang w:val="en-US" w:eastAsia="zh-CN"/>
                    </w:rPr>
                  </w:pPr>
                  <w:r>
                    <w:rPr>
                      <w:rFonts w:hint="eastAsia"/>
                      <w:color w:val="auto"/>
                      <w:sz w:val="18"/>
                      <w:szCs w:val="18"/>
                      <w:lang w:val="en-US" w:eastAsia="zh-CN"/>
                    </w:rPr>
                    <w:t>20/16</w:t>
                  </w:r>
                </w:p>
              </w:tc>
              <w:tc>
                <w:tcPr>
                  <w:tcW w:w="1342" w:type="dxa"/>
                  <w:noWrap w:val="0"/>
                  <w:vAlign w:val="center"/>
                </w:tcPr>
                <w:p>
                  <w:pPr>
                    <w:pStyle w:val="5"/>
                    <w:adjustRightInd w:val="0"/>
                    <w:snapToGrid w:val="0"/>
                    <w:spacing w:line="320" w:lineRule="exact"/>
                    <w:ind w:firstLine="16" w:firstLineChars="9"/>
                    <w:jc w:val="center"/>
                    <w:rPr>
                      <w:rFonts w:ascii="Times New Roman" w:hAnsi="Times New Roman"/>
                      <w:sz w:val="18"/>
                      <w:szCs w:val="18"/>
                    </w:rPr>
                  </w:pPr>
                  <w:r>
                    <w:rPr>
                      <w:rFonts w:hint="eastAsia" w:ascii="Times New Roman" w:hAnsi="Times New Roman"/>
                      <w:sz w:val="18"/>
                      <w:szCs w:val="18"/>
                    </w:rPr>
                    <w:t>/</w:t>
                  </w:r>
                </w:p>
              </w:tc>
              <w:tc>
                <w:tcPr>
                  <w:tcW w:w="1326" w:type="dxa"/>
                  <w:noWrap w:val="0"/>
                  <w:vAlign w:val="center"/>
                </w:tcPr>
                <w:p>
                  <w:pPr>
                    <w:pStyle w:val="5"/>
                    <w:adjustRightInd w:val="0"/>
                    <w:snapToGrid w:val="0"/>
                    <w:spacing w:line="320" w:lineRule="exact"/>
                    <w:ind w:firstLine="16" w:firstLineChars="9"/>
                    <w:jc w:val="center"/>
                    <w:rPr>
                      <w:rFonts w:hint="eastAsia" w:ascii="Times New Roman" w:hAnsi="Times New Roman"/>
                      <w:sz w:val="18"/>
                      <w:szCs w:val="18"/>
                    </w:rPr>
                  </w:pPr>
                  <w:r>
                    <w:rPr>
                      <w:rFonts w:hint="eastAsia" w:ascii="Times New Roman" w:hAnsi="Times New Roman"/>
                      <w:sz w:val="18"/>
                      <w:szCs w:val="18"/>
                    </w:rPr>
                    <w:t>/</w:t>
                  </w:r>
                </w:p>
              </w:tc>
              <w:tc>
                <w:tcPr>
                  <w:tcW w:w="2141" w:type="dxa"/>
                  <w:vMerge w:val="restart"/>
                  <w:noWrap w:val="0"/>
                  <w:vAlign w:val="center"/>
                </w:tcPr>
                <w:p>
                  <w:pPr>
                    <w:pStyle w:val="5"/>
                    <w:adjustRightInd w:val="0"/>
                    <w:snapToGrid w:val="0"/>
                    <w:spacing w:line="320" w:lineRule="exact"/>
                    <w:ind w:firstLine="16" w:firstLineChars="9"/>
                    <w:jc w:val="center"/>
                    <w:rPr>
                      <w:rFonts w:hint="eastAsia" w:ascii="Times New Roman" w:hAnsi="Times New Roman" w:eastAsia="宋体" w:cs="Times New Roman"/>
                      <w:sz w:val="18"/>
                      <w:szCs w:val="18"/>
                    </w:rPr>
                  </w:pPr>
                  <w:r>
                    <w:rPr>
                      <w:rFonts w:hint="eastAsia" w:ascii="Times New Roman" w:hAnsi="Times New Roman" w:eastAsia="宋体" w:cs="Times New Roman"/>
                      <w:sz w:val="18"/>
                      <w:szCs w:val="18"/>
                      <w:lang w:val="en-US" w:eastAsia="zh-CN"/>
                    </w:rPr>
                    <w:t>《工业炉窑大气污染物排放标准》（DB32/3728—20</w:t>
                  </w:r>
                  <w:r>
                    <w:rPr>
                      <w:rFonts w:hint="eastAsia" w:cs="Times New Roman"/>
                      <w:sz w:val="18"/>
                      <w:szCs w:val="18"/>
                      <w:lang w:val="en-US" w:eastAsia="zh-CN"/>
                    </w:rPr>
                    <w:t>20</w:t>
                  </w:r>
                  <w:r>
                    <w:rPr>
                      <w:rFonts w:hint="eastAsia" w:ascii="Times New Roman" w:hAnsi="Times New Roman" w:eastAsia="宋体" w:cs="Times New Roman"/>
                      <w:sz w:val="18"/>
                      <w:szCs w:val="18"/>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7" w:type="dxa"/>
                  <w:noWrap w:val="0"/>
                  <w:vAlign w:val="center"/>
                </w:tcPr>
                <w:p>
                  <w:pPr>
                    <w:adjustRightInd w:val="0"/>
                    <w:snapToGrid w:val="0"/>
                    <w:jc w:val="center"/>
                    <w:rPr>
                      <w:rFonts w:ascii="Times New Roman" w:hAnsi="Times New Roman"/>
                      <w:sz w:val="18"/>
                      <w:szCs w:val="18"/>
                    </w:rPr>
                  </w:pPr>
                  <w:r>
                    <w:rPr>
                      <w:rFonts w:hAnsi="宋体"/>
                      <w:color w:val="000000"/>
                      <w:sz w:val="18"/>
                      <w:szCs w:val="18"/>
                    </w:rPr>
                    <w:t>SO</w:t>
                  </w:r>
                  <w:r>
                    <w:rPr>
                      <w:rFonts w:hAnsi="宋体"/>
                      <w:color w:val="000000"/>
                      <w:sz w:val="18"/>
                      <w:szCs w:val="18"/>
                      <w:vertAlign w:val="subscript"/>
                    </w:rPr>
                    <w:t>2</w:t>
                  </w:r>
                </w:p>
              </w:tc>
              <w:tc>
                <w:tcPr>
                  <w:tcW w:w="1464" w:type="dxa"/>
                  <w:noWrap w:val="0"/>
                  <w:vAlign w:val="center"/>
                </w:tcPr>
                <w:p>
                  <w:pPr>
                    <w:pStyle w:val="5"/>
                    <w:adjustRightInd w:val="0"/>
                    <w:snapToGrid w:val="0"/>
                    <w:spacing w:line="320" w:lineRule="exact"/>
                    <w:ind w:firstLine="16" w:firstLineChars="9"/>
                    <w:jc w:val="center"/>
                    <w:rPr>
                      <w:rFonts w:hint="default" w:ascii="Times New Roman" w:hAnsi="Times New Roman" w:eastAsia="宋体"/>
                      <w:sz w:val="18"/>
                      <w:szCs w:val="18"/>
                      <w:lang w:val="en-US" w:eastAsia="zh-CN"/>
                    </w:rPr>
                  </w:pPr>
                  <w:r>
                    <w:rPr>
                      <w:rFonts w:hint="eastAsia"/>
                      <w:sz w:val="18"/>
                      <w:szCs w:val="18"/>
                      <w:lang w:val="en-US" w:eastAsia="zh-CN"/>
                    </w:rPr>
                    <w:t>80</w:t>
                  </w:r>
                </w:p>
              </w:tc>
              <w:tc>
                <w:tcPr>
                  <w:tcW w:w="853" w:type="dxa"/>
                  <w:vMerge w:val="continue"/>
                  <w:noWrap w:val="0"/>
                  <w:vAlign w:val="center"/>
                </w:tcPr>
                <w:p>
                  <w:pPr>
                    <w:pStyle w:val="5"/>
                    <w:adjustRightInd w:val="0"/>
                    <w:snapToGrid w:val="0"/>
                    <w:spacing w:line="320" w:lineRule="exact"/>
                    <w:ind w:firstLine="16" w:firstLineChars="9"/>
                    <w:jc w:val="center"/>
                    <w:rPr>
                      <w:rFonts w:ascii="Times New Roman" w:hAnsi="Times New Roman"/>
                      <w:color w:val="FF0000"/>
                      <w:sz w:val="18"/>
                      <w:szCs w:val="18"/>
                    </w:rPr>
                  </w:pPr>
                </w:p>
              </w:tc>
              <w:tc>
                <w:tcPr>
                  <w:tcW w:w="1342" w:type="dxa"/>
                  <w:noWrap w:val="0"/>
                  <w:vAlign w:val="center"/>
                </w:tcPr>
                <w:p>
                  <w:pPr>
                    <w:pStyle w:val="5"/>
                    <w:adjustRightInd w:val="0"/>
                    <w:snapToGrid w:val="0"/>
                    <w:spacing w:line="320" w:lineRule="exact"/>
                    <w:ind w:firstLine="16" w:firstLineChars="9"/>
                    <w:jc w:val="center"/>
                    <w:rPr>
                      <w:rFonts w:ascii="Times New Roman" w:hAnsi="Times New Roman"/>
                      <w:sz w:val="18"/>
                      <w:szCs w:val="18"/>
                    </w:rPr>
                  </w:pPr>
                  <w:r>
                    <w:rPr>
                      <w:rFonts w:hint="eastAsia" w:ascii="Times New Roman" w:hAnsi="Times New Roman"/>
                      <w:sz w:val="18"/>
                      <w:szCs w:val="18"/>
                    </w:rPr>
                    <w:t>/</w:t>
                  </w:r>
                </w:p>
              </w:tc>
              <w:tc>
                <w:tcPr>
                  <w:tcW w:w="1326" w:type="dxa"/>
                  <w:noWrap w:val="0"/>
                  <w:vAlign w:val="center"/>
                </w:tcPr>
                <w:p>
                  <w:pPr>
                    <w:pStyle w:val="5"/>
                    <w:adjustRightInd w:val="0"/>
                    <w:snapToGrid w:val="0"/>
                    <w:spacing w:line="320" w:lineRule="exact"/>
                    <w:ind w:firstLine="16" w:firstLineChars="9"/>
                    <w:jc w:val="center"/>
                    <w:rPr>
                      <w:rFonts w:hint="eastAsia" w:ascii="Times New Roman" w:hAnsi="Times New Roman"/>
                      <w:sz w:val="18"/>
                      <w:szCs w:val="18"/>
                    </w:rPr>
                  </w:pPr>
                  <w:r>
                    <w:rPr>
                      <w:rFonts w:hint="eastAsia" w:ascii="Times New Roman" w:hAnsi="Times New Roman"/>
                      <w:sz w:val="18"/>
                      <w:szCs w:val="18"/>
                    </w:rPr>
                    <w:t>/</w:t>
                  </w:r>
                </w:p>
              </w:tc>
              <w:tc>
                <w:tcPr>
                  <w:tcW w:w="2141" w:type="dxa"/>
                  <w:vMerge w:val="continue"/>
                  <w:noWrap w:val="0"/>
                  <w:vAlign w:val="center"/>
                </w:tcPr>
                <w:p>
                  <w:pPr>
                    <w:pStyle w:val="5"/>
                    <w:adjustRightInd w:val="0"/>
                    <w:snapToGrid w:val="0"/>
                    <w:spacing w:line="320" w:lineRule="exact"/>
                    <w:ind w:firstLine="16" w:firstLineChars="9"/>
                    <w:jc w:val="center"/>
                    <w:rPr>
                      <w:rFonts w:hint="eastAsia" w:ascii="Times New Roman" w:hAnsi="Times New Roman" w:eastAsia="宋体" w:cs="Times New Roman"/>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7" w:type="dxa"/>
                  <w:noWrap w:val="0"/>
                  <w:vAlign w:val="center"/>
                </w:tcPr>
                <w:p>
                  <w:pPr>
                    <w:adjustRightInd w:val="0"/>
                    <w:snapToGrid w:val="0"/>
                    <w:jc w:val="center"/>
                    <w:rPr>
                      <w:rFonts w:ascii="Times New Roman" w:hAnsi="Times New Roman"/>
                      <w:sz w:val="18"/>
                      <w:szCs w:val="18"/>
                    </w:rPr>
                  </w:pPr>
                  <w:r>
                    <w:rPr>
                      <w:rFonts w:hAnsi="宋体"/>
                      <w:color w:val="000000"/>
                      <w:sz w:val="18"/>
                      <w:szCs w:val="18"/>
                    </w:rPr>
                    <w:t>NO</w:t>
                  </w:r>
                  <w:r>
                    <w:rPr>
                      <w:rFonts w:hAnsi="宋体"/>
                      <w:color w:val="000000"/>
                      <w:sz w:val="18"/>
                      <w:szCs w:val="18"/>
                      <w:vertAlign w:val="subscript"/>
                    </w:rPr>
                    <w:t>X</w:t>
                  </w:r>
                </w:p>
              </w:tc>
              <w:tc>
                <w:tcPr>
                  <w:tcW w:w="1464" w:type="dxa"/>
                  <w:noWrap w:val="0"/>
                  <w:vAlign w:val="center"/>
                </w:tcPr>
                <w:p>
                  <w:pPr>
                    <w:pStyle w:val="5"/>
                    <w:adjustRightInd w:val="0"/>
                    <w:snapToGrid w:val="0"/>
                    <w:spacing w:line="320" w:lineRule="exact"/>
                    <w:ind w:firstLine="16" w:firstLineChars="9"/>
                    <w:jc w:val="center"/>
                    <w:rPr>
                      <w:rFonts w:hint="default" w:ascii="Times New Roman" w:hAnsi="Times New Roman" w:eastAsia="宋体"/>
                      <w:sz w:val="18"/>
                      <w:szCs w:val="18"/>
                      <w:lang w:val="en-US" w:eastAsia="zh-CN"/>
                    </w:rPr>
                  </w:pPr>
                  <w:r>
                    <w:rPr>
                      <w:rFonts w:hint="eastAsia"/>
                      <w:sz w:val="18"/>
                      <w:szCs w:val="18"/>
                      <w:lang w:val="en-US" w:eastAsia="zh-CN"/>
                    </w:rPr>
                    <w:t>180</w:t>
                  </w:r>
                </w:p>
              </w:tc>
              <w:tc>
                <w:tcPr>
                  <w:tcW w:w="853" w:type="dxa"/>
                  <w:vMerge w:val="continue"/>
                  <w:noWrap w:val="0"/>
                  <w:vAlign w:val="center"/>
                </w:tcPr>
                <w:p>
                  <w:pPr>
                    <w:pStyle w:val="5"/>
                    <w:adjustRightInd w:val="0"/>
                    <w:snapToGrid w:val="0"/>
                    <w:spacing w:line="320" w:lineRule="exact"/>
                    <w:ind w:firstLine="16" w:firstLineChars="9"/>
                    <w:jc w:val="center"/>
                    <w:rPr>
                      <w:rFonts w:ascii="Times New Roman" w:hAnsi="Times New Roman"/>
                      <w:color w:val="FF0000"/>
                      <w:sz w:val="18"/>
                      <w:szCs w:val="18"/>
                    </w:rPr>
                  </w:pPr>
                </w:p>
              </w:tc>
              <w:tc>
                <w:tcPr>
                  <w:tcW w:w="1342" w:type="dxa"/>
                  <w:noWrap w:val="0"/>
                  <w:vAlign w:val="center"/>
                </w:tcPr>
                <w:p>
                  <w:pPr>
                    <w:pStyle w:val="5"/>
                    <w:adjustRightInd w:val="0"/>
                    <w:snapToGrid w:val="0"/>
                    <w:spacing w:line="320" w:lineRule="exact"/>
                    <w:ind w:firstLine="16" w:firstLineChars="9"/>
                    <w:jc w:val="center"/>
                    <w:rPr>
                      <w:rFonts w:ascii="Times New Roman" w:hAnsi="Times New Roman"/>
                      <w:sz w:val="18"/>
                      <w:szCs w:val="18"/>
                    </w:rPr>
                  </w:pPr>
                  <w:r>
                    <w:rPr>
                      <w:rFonts w:hint="eastAsia" w:ascii="Times New Roman" w:hAnsi="Times New Roman"/>
                      <w:sz w:val="18"/>
                      <w:szCs w:val="18"/>
                    </w:rPr>
                    <w:t>/</w:t>
                  </w:r>
                </w:p>
              </w:tc>
              <w:tc>
                <w:tcPr>
                  <w:tcW w:w="1326" w:type="dxa"/>
                  <w:noWrap w:val="0"/>
                  <w:vAlign w:val="center"/>
                </w:tcPr>
                <w:p>
                  <w:pPr>
                    <w:pStyle w:val="5"/>
                    <w:adjustRightInd w:val="0"/>
                    <w:snapToGrid w:val="0"/>
                    <w:spacing w:line="320" w:lineRule="exact"/>
                    <w:ind w:firstLine="16" w:firstLineChars="9"/>
                    <w:jc w:val="center"/>
                    <w:rPr>
                      <w:rFonts w:hint="eastAsia" w:ascii="Times New Roman" w:hAnsi="Times New Roman"/>
                      <w:sz w:val="18"/>
                      <w:szCs w:val="18"/>
                    </w:rPr>
                  </w:pPr>
                  <w:r>
                    <w:rPr>
                      <w:rFonts w:hint="eastAsia" w:ascii="Times New Roman" w:hAnsi="Times New Roman"/>
                      <w:sz w:val="18"/>
                      <w:szCs w:val="18"/>
                    </w:rPr>
                    <w:t>/</w:t>
                  </w:r>
                </w:p>
              </w:tc>
              <w:tc>
                <w:tcPr>
                  <w:tcW w:w="2141" w:type="dxa"/>
                  <w:vMerge w:val="continue"/>
                  <w:noWrap w:val="0"/>
                  <w:vAlign w:val="center"/>
                </w:tcPr>
                <w:p>
                  <w:pPr>
                    <w:pStyle w:val="5"/>
                    <w:adjustRightInd w:val="0"/>
                    <w:snapToGrid w:val="0"/>
                    <w:spacing w:line="320" w:lineRule="exact"/>
                    <w:ind w:firstLine="16" w:firstLineChars="9"/>
                    <w:jc w:val="center"/>
                    <w:rPr>
                      <w:rFonts w:hint="eastAsia" w:ascii="Times New Roman" w:hAnsi="Times New Roman" w:eastAsia="宋体" w:cs="Times New Roman"/>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7" w:type="dxa"/>
                  <w:noWrap w:val="0"/>
                  <w:vAlign w:val="center"/>
                </w:tcPr>
                <w:p>
                  <w:pPr>
                    <w:pStyle w:val="5"/>
                    <w:adjustRightInd w:val="0"/>
                    <w:snapToGrid w:val="0"/>
                    <w:spacing w:line="320" w:lineRule="exact"/>
                    <w:ind w:firstLine="16" w:firstLineChars="9"/>
                    <w:jc w:val="cente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烟气黑度</w:t>
                  </w:r>
                </w:p>
              </w:tc>
              <w:tc>
                <w:tcPr>
                  <w:tcW w:w="1464" w:type="dxa"/>
                  <w:noWrap w:val="0"/>
                  <w:vAlign w:val="center"/>
                </w:tcPr>
                <w:p>
                  <w:pPr>
                    <w:pStyle w:val="5"/>
                    <w:adjustRightInd w:val="0"/>
                    <w:snapToGrid w:val="0"/>
                    <w:spacing w:line="320" w:lineRule="exact"/>
                    <w:ind w:firstLine="16" w:firstLineChars="9"/>
                    <w:jc w:val="center"/>
                    <w:rPr>
                      <w:rFonts w:hint="eastAsia"/>
                      <w:sz w:val="18"/>
                      <w:szCs w:val="18"/>
                      <w:lang w:val="en-US" w:eastAsia="zh-CN"/>
                    </w:rPr>
                  </w:pPr>
                  <w:r>
                    <w:rPr>
                      <w:rFonts w:hint="eastAsia" w:ascii="Times New Roman" w:hAnsi="宋体" w:eastAsia="宋体" w:cs="Times New Roman"/>
                      <w:color w:val="000000"/>
                      <w:kern w:val="2"/>
                      <w:sz w:val="18"/>
                      <w:szCs w:val="18"/>
                      <w:lang w:val="en-US" w:eastAsia="zh-CN" w:bidi="ar-SA"/>
                    </w:rPr>
                    <w:t>林格曼黑度1级</w:t>
                  </w:r>
                </w:p>
              </w:tc>
              <w:tc>
                <w:tcPr>
                  <w:tcW w:w="853" w:type="dxa"/>
                  <w:vMerge w:val="continue"/>
                  <w:noWrap w:val="0"/>
                  <w:vAlign w:val="center"/>
                </w:tcPr>
                <w:p>
                  <w:pPr>
                    <w:pStyle w:val="5"/>
                    <w:adjustRightInd w:val="0"/>
                    <w:snapToGrid w:val="0"/>
                    <w:spacing w:line="320" w:lineRule="exact"/>
                    <w:ind w:firstLine="16" w:firstLineChars="9"/>
                    <w:jc w:val="center"/>
                    <w:rPr>
                      <w:rFonts w:ascii="Times New Roman" w:hAnsi="Times New Roman"/>
                      <w:color w:val="FF0000"/>
                      <w:sz w:val="18"/>
                      <w:szCs w:val="18"/>
                    </w:rPr>
                  </w:pPr>
                </w:p>
              </w:tc>
              <w:tc>
                <w:tcPr>
                  <w:tcW w:w="1342" w:type="dxa"/>
                  <w:noWrap w:val="0"/>
                  <w:vAlign w:val="center"/>
                </w:tcPr>
                <w:p>
                  <w:pPr>
                    <w:pStyle w:val="5"/>
                    <w:adjustRightInd w:val="0"/>
                    <w:snapToGrid w:val="0"/>
                    <w:spacing w:line="320" w:lineRule="exact"/>
                    <w:ind w:firstLine="16" w:firstLineChars="9"/>
                    <w:jc w:val="center"/>
                    <w:rPr>
                      <w:rFonts w:hint="eastAsia" w:ascii="Times New Roman" w:hAnsi="Times New Roman"/>
                      <w:sz w:val="18"/>
                      <w:szCs w:val="18"/>
                    </w:rPr>
                  </w:pPr>
                  <w:r>
                    <w:rPr>
                      <w:rFonts w:hint="eastAsia" w:ascii="Times New Roman" w:hAnsi="Times New Roman"/>
                      <w:sz w:val="18"/>
                      <w:szCs w:val="18"/>
                    </w:rPr>
                    <w:t>/</w:t>
                  </w:r>
                </w:p>
              </w:tc>
              <w:tc>
                <w:tcPr>
                  <w:tcW w:w="1326" w:type="dxa"/>
                  <w:noWrap w:val="0"/>
                  <w:vAlign w:val="center"/>
                </w:tcPr>
                <w:p>
                  <w:pPr>
                    <w:pStyle w:val="5"/>
                    <w:adjustRightInd w:val="0"/>
                    <w:snapToGrid w:val="0"/>
                    <w:spacing w:line="320" w:lineRule="exact"/>
                    <w:ind w:firstLine="16" w:firstLineChars="9"/>
                    <w:jc w:val="center"/>
                    <w:rPr>
                      <w:rFonts w:hint="eastAsia" w:ascii="Times New Roman" w:hAnsi="Times New Roman"/>
                      <w:sz w:val="18"/>
                      <w:szCs w:val="18"/>
                    </w:rPr>
                  </w:pPr>
                  <w:r>
                    <w:rPr>
                      <w:rFonts w:hint="eastAsia" w:ascii="Times New Roman" w:hAnsi="Times New Roman"/>
                      <w:sz w:val="18"/>
                      <w:szCs w:val="18"/>
                    </w:rPr>
                    <w:t>/</w:t>
                  </w:r>
                </w:p>
              </w:tc>
              <w:tc>
                <w:tcPr>
                  <w:tcW w:w="2141" w:type="dxa"/>
                  <w:vMerge w:val="continue"/>
                  <w:noWrap w:val="0"/>
                  <w:vAlign w:val="center"/>
                </w:tcPr>
                <w:p>
                  <w:pPr>
                    <w:pStyle w:val="5"/>
                    <w:adjustRightInd w:val="0"/>
                    <w:snapToGrid w:val="0"/>
                    <w:spacing w:line="320" w:lineRule="exact"/>
                    <w:ind w:firstLine="16" w:firstLineChars="9"/>
                    <w:jc w:val="center"/>
                    <w:rPr>
                      <w:rFonts w:hint="eastAsia" w:ascii="Times New Roman" w:hAnsi="Times New Roman" w:eastAsia="宋体" w:cs="Times New Roman"/>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7" w:type="dxa"/>
                  <w:noWrap w:val="0"/>
                  <w:vAlign w:val="center"/>
                </w:tcPr>
                <w:p>
                  <w:pPr>
                    <w:pStyle w:val="5"/>
                    <w:adjustRightInd w:val="0"/>
                    <w:snapToGrid w:val="0"/>
                    <w:spacing w:line="320" w:lineRule="exact"/>
                    <w:ind w:firstLine="16" w:firstLineChars="9"/>
                    <w:jc w:val="center"/>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基准含氧量</w:t>
                  </w:r>
                </w:p>
              </w:tc>
              <w:tc>
                <w:tcPr>
                  <w:tcW w:w="4985" w:type="dxa"/>
                  <w:gridSpan w:val="4"/>
                  <w:noWrap w:val="0"/>
                  <w:vAlign w:val="center"/>
                </w:tcPr>
                <w:p>
                  <w:pPr>
                    <w:pStyle w:val="5"/>
                    <w:adjustRightInd w:val="0"/>
                    <w:snapToGrid w:val="0"/>
                    <w:spacing w:line="320" w:lineRule="exact"/>
                    <w:ind w:firstLine="16" w:firstLineChars="9"/>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9%</w:t>
                  </w:r>
                </w:p>
              </w:tc>
              <w:tc>
                <w:tcPr>
                  <w:tcW w:w="2141" w:type="dxa"/>
                  <w:vMerge w:val="continue"/>
                  <w:noWrap w:val="0"/>
                  <w:vAlign w:val="center"/>
                </w:tcPr>
                <w:p>
                  <w:pPr>
                    <w:pStyle w:val="5"/>
                    <w:adjustRightInd w:val="0"/>
                    <w:snapToGrid w:val="0"/>
                    <w:spacing w:line="320" w:lineRule="exact"/>
                    <w:ind w:firstLine="16" w:firstLineChars="9"/>
                    <w:jc w:val="center"/>
                    <w:rPr>
                      <w:rFonts w:hint="eastAsia" w:ascii="Times New Roman" w:hAnsi="Times New Roman" w:eastAsia="宋体" w:cs="Times New Roman"/>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7" w:type="dxa"/>
                  <w:noWrap w:val="0"/>
                  <w:vAlign w:val="center"/>
                </w:tcPr>
                <w:p>
                  <w:pPr>
                    <w:adjustRightInd w:val="0"/>
                    <w:snapToGrid w:val="0"/>
                    <w:jc w:val="center"/>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非甲烷总烃</w:t>
                  </w:r>
                </w:p>
              </w:tc>
              <w:tc>
                <w:tcPr>
                  <w:tcW w:w="1464" w:type="dxa"/>
                  <w:noWrap w:val="0"/>
                  <w:vAlign w:val="center"/>
                </w:tcPr>
                <w:p>
                  <w:pPr>
                    <w:pStyle w:val="5"/>
                    <w:adjustRightInd w:val="0"/>
                    <w:snapToGrid w:val="0"/>
                    <w:spacing w:line="320" w:lineRule="exact"/>
                    <w:ind w:firstLine="16" w:firstLineChars="9"/>
                    <w:jc w:val="center"/>
                    <w:rPr>
                      <w:rFonts w:hint="eastAsia" w:ascii="Times New Roman" w:hAnsi="宋体" w:eastAsia="宋体" w:cs="Times New Roman"/>
                      <w:color w:val="000000"/>
                      <w:kern w:val="2"/>
                      <w:sz w:val="18"/>
                      <w:szCs w:val="18"/>
                      <w:lang w:val="en-US" w:eastAsia="zh-CN" w:bidi="ar-SA"/>
                    </w:rPr>
                  </w:pPr>
                  <w:r>
                    <w:rPr>
                      <w:rFonts w:hint="eastAsia" w:ascii="Times New Roman" w:hAnsi="Times New Roman"/>
                      <w:sz w:val="18"/>
                      <w:szCs w:val="18"/>
                    </w:rPr>
                    <w:t>/</w:t>
                  </w:r>
                </w:p>
              </w:tc>
              <w:tc>
                <w:tcPr>
                  <w:tcW w:w="853" w:type="dxa"/>
                  <w:noWrap w:val="0"/>
                  <w:vAlign w:val="center"/>
                </w:tcPr>
                <w:p>
                  <w:pPr>
                    <w:pStyle w:val="5"/>
                    <w:adjustRightInd w:val="0"/>
                    <w:snapToGrid w:val="0"/>
                    <w:spacing w:line="320" w:lineRule="exact"/>
                    <w:ind w:firstLine="16" w:firstLineChars="9"/>
                    <w:jc w:val="center"/>
                    <w:rPr>
                      <w:rFonts w:ascii="Times New Roman" w:hAnsi="Times New Roman"/>
                      <w:color w:val="FF0000"/>
                      <w:sz w:val="18"/>
                      <w:szCs w:val="18"/>
                    </w:rPr>
                  </w:pPr>
                  <w:r>
                    <w:rPr>
                      <w:rFonts w:hint="eastAsia" w:ascii="Times New Roman" w:hAnsi="Times New Roman"/>
                      <w:sz w:val="18"/>
                      <w:szCs w:val="18"/>
                    </w:rPr>
                    <w:t>/</w:t>
                  </w:r>
                </w:p>
              </w:tc>
              <w:tc>
                <w:tcPr>
                  <w:tcW w:w="1342" w:type="dxa"/>
                  <w:noWrap w:val="0"/>
                  <w:vAlign w:val="center"/>
                </w:tcPr>
                <w:p>
                  <w:pPr>
                    <w:adjustRightInd w:val="0"/>
                    <w:snapToGrid w:val="0"/>
                    <w:spacing w:line="320" w:lineRule="exact"/>
                    <w:ind w:firstLine="16" w:firstLineChars="9"/>
                    <w:jc w:val="center"/>
                    <w:rPr>
                      <w:rFonts w:hint="eastAsia" w:ascii="Times New Roman" w:hAnsi="Times New Roman"/>
                      <w:sz w:val="18"/>
                      <w:szCs w:val="18"/>
                    </w:rPr>
                  </w:pPr>
                  <w:r>
                    <w:rPr>
                      <w:rFonts w:hint="eastAsia" w:ascii="Times New Roman" w:hAnsi="Times New Roman"/>
                      <w:sz w:val="18"/>
                      <w:szCs w:val="18"/>
                    </w:rPr>
                    <w:t>/</w:t>
                  </w:r>
                </w:p>
              </w:tc>
              <w:tc>
                <w:tcPr>
                  <w:tcW w:w="1326" w:type="dxa"/>
                  <w:noWrap w:val="0"/>
                  <w:vAlign w:val="center"/>
                </w:tcPr>
                <w:p>
                  <w:pPr>
                    <w:pStyle w:val="5"/>
                    <w:adjustRightInd w:val="0"/>
                    <w:snapToGrid w:val="0"/>
                    <w:spacing w:line="320" w:lineRule="exact"/>
                    <w:ind w:firstLine="16" w:firstLineChars="9"/>
                    <w:jc w:val="center"/>
                    <w:rPr>
                      <w:rFonts w:hint="eastAsia" w:eastAsia="宋体"/>
                      <w:sz w:val="18"/>
                      <w:szCs w:val="18"/>
                      <w:lang w:val="en-US" w:eastAsia="zh-CN"/>
                    </w:rPr>
                  </w:pPr>
                  <w:r>
                    <w:rPr>
                      <w:rFonts w:hint="eastAsia" w:eastAsia="宋体"/>
                      <w:sz w:val="18"/>
                      <w:szCs w:val="18"/>
                      <w:lang w:val="en-US" w:eastAsia="zh-CN"/>
                    </w:rPr>
                    <w:t>4.0</w:t>
                  </w:r>
                </w:p>
              </w:tc>
              <w:tc>
                <w:tcPr>
                  <w:tcW w:w="2141" w:type="dxa"/>
                  <w:vMerge w:val="restart"/>
                  <w:noWrap w:val="0"/>
                  <w:vAlign w:val="center"/>
                </w:tcPr>
                <w:p>
                  <w:pPr>
                    <w:pStyle w:val="5"/>
                    <w:adjustRightInd w:val="0"/>
                    <w:snapToGrid w:val="0"/>
                    <w:spacing w:line="320" w:lineRule="exact"/>
                    <w:ind w:firstLine="16" w:firstLineChars="9"/>
                    <w:jc w:val="cente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《大气污染物综合排放标准》（DB32/4041-2021）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7" w:type="dxa"/>
                  <w:noWrap w:val="0"/>
                  <w:vAlign w:val="center"/>
                </w:tcPr>
                <w:p>
                  <w:pPr>
                    <w:adjustRightInd w:val="0"/>
                    <w:snapToGrid w:val="0"/>
                    <w:jc w:val="center"/>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颗粒物</w:t>
                  </w:r>
                </w:p>
              </w:tc>
              <w:tc>
                <w:tcPr>
                  <w:tcW w:w="1464" w:type="dxa"/>
                  <w:noWrap w:val="0"/>
                  <w:vAlign w:val="center"/>
                </w:tcPr>
                <w:p>
                  <w:pPr>
                    <w:pStyle w:val="5"/>
                    <w:adjustRightInd w:val="0"/>
                    <w:snapToGrid w:val="0"/>
                    <w:spacing w:line="320" w:lineRule="exact"/>
                    <w:ind w:firstLine="16" w:firstLineChars="9"/>
                    <w:jc w:val="center"/>
                    <w:rPr>
                      <w:rFonts w:hint="default" w:ascii="Times New Roman" w:hAnsi="宋体" w:eastAsia="宋体" w:cs="Times New Roman"/>
                      <w:color w:val="000000"/>
                      <w:kern w:val="2"/>
                      <w:sz w:val="18"/>
                      <w:szCs w:val="18"/>
                      <w:lang w:val="en-US" w:eastAsia="zh-CN" w:bidi="ar-SA"/>
                    </w:rPr>
                  </w:pPr>
                  <w:r>
                    <w:rPr>
                      <w:rFonts w:hint="eastAsia"/>
                      <w:sz w:val="18"/>
                      <w:szCs w:val="18"/>
                      <w:lang w:val="en-US" w:eastAsia="zh-CN"/>
                    </w:rPr>
                    <w:t>20</w:t>
                  </w:r>
                </w:p>
              </w:tc>
              <w:tc>
                <w:tcPr>
                  <w:tcW w:w="853" w:type="dxa"/>
                  <w:noWrap w:val="0"/>
                  <w:vAlign w:val="center"/>
                </w:tcPr>
                <w:p>
                  <w:pPr>
                    <w:pStyle w:val="5"/>
                    <w:adjustRightInd w:val="0"/>
                    <w:snapToGrid w:val="0"/>
                    <w:spacing w:line="320" w:lineRule="exact"/>
                    <w:ind w:firstLine="16" w:firstLineChars="9"/>
                    <w:jc w:val="center"/>
                    <w:rPr>
                      <w:rFonts w:hint="default" w:ascii="Times New Roman" w:hAnsi="Times New Roman" w:eastAsia="宋体"/>
                      <w:color w:val="FF0000"/>
                      <w:sz w:val="18"/>
                      <w:szCs w:val="18"/>
                      <w:lang w:val="en-US" w:eastAsia="zh-CN"/>
                    </w:rPr>
                  </w:pPr>
                  <w:r>
                    <w:rPr>
                      <w:rFonts w:hint="eastAsia"/>
                      <w:color w:val="auto"/>
                      <w:sz w:val="18"/>
                      <w:szCs w:val="18"/>
                      <w:lang w:val="en-US" w:eastAsia="zh-CN"/>
                    </w:rPr>
                    <w:t>16</w:t>
                  </w:r>
                </w:p>
              </w:tc>
              <w:tc>
                <w:tcPr>
                  <w:tcW w:w="1342" w:type="dxa"/>
                  <w:noWrap w:val="0"/>
                  <w:vAlign w:val="center"/>
                </w:tcPr>
                <w:p>
                  <w:pPr>
                    <w:adjustRightInd w:val="0"/>
                    <w:snapToGrid w:val="0"/>
                    <w:spacing w:line="320" w:lineRule="exact"/>
                    <w:ind w:firstLine="16" w:firstLineChars="9"/>
                    <w:jc w:val="center"/>
                    <w:rPr>
                      <w:rFonts w:hint="eastAsia" w:ascii="Times New Roman" w:hAnsi="Times New Roman" w:eastAsia="宋体"/>
                      <w:sz w:val="18"/>
                      <w:szCs w:val="18"/>
                      <w:lang w:eastAsia="zh-CN"/>
                    </w:rPr>
                  </w:pPr>
                  <w:r>
                    <w:rPr>
                      <w:rFonts w:hint="eastAsia"/>
                      <w:sz w:val="18"/>
                      <w:szCs w:val="18"/>
                      <w:lang w:val="en-US" w:eastAsia="zh-CN"/>
                    </w:rPr>
                    <w:t>1</w:t>
                  </w:r>
                </w:p>
              </w:tc>
              <w:tc>
                <w:tcPr>
                  <w:tcW w:w="1326" w:type="dxa"/>
                  <w:noWrap w:val="0"/>
                  <w:vAlign w:val="center"/>
                </w:tcPr>
                <w:p>
                  <w:pPr>
                    <w:pStyle w:val="5"/>
                    <w:adjustRightInd w:val="0"/>
                    <w:snapToGrid w:val="0"/>
                    <w:spacing w:line="320" w:lineRule="exact"/>
                    <w:ind w:firstLine="16" w:firstLineChars="9"/>
                    <w:jc w:val="center"/>
                    <w:rPr>
                      <w:rFonts w:hint="eastAsia" w:eastAsia="宋体"/>
                      <w:sz w:val="18"/>
                      <w:szCs w:val="18"/>
                      <w:lang w:val="en-US" w:eastAsia="zh-CN"/>
                    </w:rPr>
                  </w:pPr>
                  <w:r>
                    <w:rPr>
                      <w:rFonts w:hint="eastAsia" w:eastAsia="宋体"/>
                      <w:sz w:val="18"/>
                      <w:szCs w:val="18"/>
                      <w:lang w:val="en-US" w:eastAsia="zh-CN"/>
                    </w:rPr>
                    <w:t>0.5</w:t>
                  </w:r>
                </w:p>
              </w:tc>
              <w:tc>
                <w:tcPr>
                  <w:tcW w:w="2141" w:type="dxa"/>
                  <w:vMerge w:val="continue"/>
                  <w:noWrap w:val="0"/>
                  <w:vAlign w:val="center"/>
                </w:tcPr>
                <w:p>
                  <w:pPr>
                    <w:pStyle w:val="5"/>
                    <w:adjustRightInd w:val="0"/>
                    <w:snapToGrid w:val="0"/>
                    <w:spacing w:line="320" w:lineRule="exact"/>
                    <w:ind w:firstLine="16" w:firstLineChars="9"/>
                    <w:jc w:val="center"/>
                    <w:rPr>
                      <w:rFonts w:ascii="Times New Roman" w:hAnsi="Times New Roman"/>
                      <w:sz w:val="18"/>
                      <w:szCs w:val="18"/>
                    </w:rPr>
                  </w:pPr>
                </w:p>
              </w:tc>
            </w:tr>
          </w:tbl>
          <w:p>
            <w:pPr>
              <w:spacing w:line="500" w:lineRule="exact"/>
              <w:jc w:val="center"/>
              <w:rPr>
                <w:rFonts w:ascii="Times New Roman" w:hAnsi="Times New Roman" w:eastAsia="宋体" w:cs="Times New Roman"/>
                <w:b/>
                <w:szCs w:val="21"/>
              </w:rPr>
            </w:pPr>
            <w:r>
              <w:rPr>
                <w:rFonts w:ascii="Times New Roman" w:hAnsi="Times New Roman" w:eastAsia="宋体" w:cs="Times New Roman"/>
                <w:b/>
                <w:szCs w:val="21"/>
              </w:rPr>
              <w:t>表</w:t>
            </w:r>
            <w:r>
              <w:rPr>
                <w:rFonts w:hint="eastAsia" w:ascii="Times New Roman" w:hAnsi="Times New Roman" w:eastAsia="宋体" w:cs="Times New Roman"/>
                <w:b/>
                <w:szCs w:val="21"/>
              </w:rPr>
              <w:t>3-</w:t>
            </w:r>
            <w:r>
              <w:rPr>
                <w:rFonts w:hint="eastAsia" w:ascii="Times New Roman" w:hAnsi="Times New Roman" w:eastAsia="宋体" w:cs="Times New Roman"/>
                <w:b/>
                <w:szCs w:val="21"/>
                <w:lang w:val="en-US" w:eastAsia="zh-CN"/>
              </w:rPr>
              <w:t>5</w:t>
            </w:r>
            <w:r>
              <w:rPr>
                <w:rFonts w:ascii="Times New Roman" w:hAnsi="Times New Roman" w:eastAsia="宋体" w:cs="Times New Roman"/>
                <w:b/>
                <w:szCs w:val="21"/>
              </w:rPr>
              <w:t xml:space="preserve">  厂区内VOCs无组织排放限值</w:t>
            </w:r>
          </w:p>
          <w:tbl>
            <w:tblPr>
              <w:tblStyle w:val="21"/>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51"/>
              <w:gridCol w:w="1480"/>
              <w:gridCol w:w="3159"/>
              <w:gridCol w:w="234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8" w:hRule="atLeast"/>
                <w:jc w:val="center"/>
              </w:trPr>
              <w:tc>
                <w:tcPr>
                  <w:tcW w:w="707" w:type="pct"/>
                  <w:noWrap w:val="0"/>
                  <w:vAlign w:val="center"/>
                </w:tcPr>
                <w:p>
                  <w:pPr>
                    <w:pStyle w:val="53"/>
                    <w:rPr>
                      <w:rFonts w:ascii="Times New Roman" w:hAnsi="Times New Roman"/>
                      <w:b/>
                      <w:bCs/>
                      <w:color w:val="auto"/>
                      <w:sz w:val="18"/>
                      <w:szCs w:val="18"/>
                    </w:rPr>
                  </w:pPr>
                  <w:r>
                    <w:rPr>
                      <w:rFonts w:ascii="Times New Roman" w:hAnsi="Times New Roman" w:eastAsia="宋体"/>
                      <w:b/>
                      <w:color w:val="auto"/>
                      <w:sz w:val="18"/>
                      <w:szCs w:val="18"/>
                    </w:rPr>
                    <w:t>污染物</w:t>
                  </w:r>
                </w:p>
              </w:tc>
              <w:tc>
                <w:tcPr>
                  <w:tcW w:w="909" w:type="pct"/>
                  <w:noWrap w:val="0"/>
                  <w:vAlign w:val="center"/>
                </w:tcPr>
                <w:p>
                  <w:pPr>
                    <w:pStyle w:val="53"/>
                    <w:rPr>
                      <w:rFonts w:ascii="Times New Roman" w:hAnsi="Times New Roman"/>
                      <w:b/>
                      <w:bCs/>
                      <w:color w:val="auto"/>
                      <w:sz w:val="18"/>
                      <w:szCs w:val="18"/>
                    </w:rPr>
                  </w:pPr>
                  <w:r>
                    <w:rPr>
                      <w:rFonts w:ascii="Times New Roman" w:hAnsi="Times New Roman" w:eastAsia="宋体"/>
                      <w:b/>
                      <w:color w:val="auto"/>
                      <w:sz w:val="18"/>
                      <w:szCs w:val="18"/>
                    </w:rPr>
                    <w:t>特别排放限值mg/m</w:t>
                  </w:r>
                  <w:r>
                    <w:rPr>
                      <w:rFonts w:ascii="Times New Roman" w:hAnsi="Times New Roman" w:eastAsia="宋体"/>
                      <w:b/>
                      <w:color w:val="auto"/>
                      <w:sz w:val="18"/>
                      <w:szCs w:val="18"/>
                      <w:vertAlign w:val="superscript"/>
                    </w:rPr>
                    <w:t>3</w:t>
                  </w:r>
                </w:p>
              </w:tc>
              <w:tc>
                <w:tcPr>
                  <w:tcW w:w="1940" w:type="pct"/>
                  <w:noWrap w:val="0"/>
                  <w:vAlign w:val="center"/>
                </w:tcPr>
                <w:p>
                  <w:pPr>
                    <w:pStyle w:val="53"/>
                    <w:rPr>
                      <w:rFonts w:ascii="Times New Roman" w:hAnsi="Times New Roman"/>
                      <w:b/>
                      <w:color w:val="auto"/>
                      <w:sz w:val="18"/>
                      <w:szCs w:val="18"/>
                    </w:rPr>
                  </w:pPr>
                  <w:r>
                    <w:rPr>
                      <w:rFonts w:ascii="Times New Roman" w:hAnsi="Times New Roman" w:eastAsia="宋体"/>
                      <w:b/>
                      <w:color w:val="auto"/>
                      <w:sz w:val="18"/>
                      <w:szCs w:val="18"/>
                    </w:rPr>
                    <w:t>限值含义</w:t>
                  </w:r>
                </w:p>
              </w:tc>
              <w:tc>
                <w:tcPr>
                  <w:tcW w:w="1442" w:type="pct"/>
                  <w:noWrap w:val="0"/>
                  <w:vAlign w:val="center"/>
                </w:tcPr>
                <w:p>
                  <w:pPr>
                    <w:pStyle w:val="53"/>
                    <w:rPr>
                      <w:rFonts w:ascii="Times New Roman" w:hAnsi="Times New Roman"/>
                      <w:b/>
                      <w:color w:val="auto"/>
                      <w:sz w:val="18"/>
                      <w:szCs w:val="18"/>
                    </w:rPr>
                  </w:pPr>
                  <w:r>
                    <w:rPr>
                      <w:rFonts w:ascii="Times New Roman" w:hAnsi="Times New Roman" w:eastAsia="宋体"/>
                      <w:b/>
                      <w:color w:val="auto"/>
                      <w:sz w:val="18"/>
                      <w:szCs w:val="18"/>
                    </w:rPr>
                    <w:t>无组织排放监控位置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07" w:type="pct"/>
                  <w:vMerge w:val="restart"/>
                  <w:noWrap w:val="0"/>
                  <w:vAlign w:val="center"/>
                </w:tcPr>
                <w:p>
                  <w:pPr>
                    <w:jc w:val="center"/>
                    <w:rPr>
                      <w:bCs/>
                      <w:snapToGrid w:val="0"/>
                      <w:color w:val="auto"/>
                      <w:sz w:val="18"/>
                      <w:szCs w:val="18"/>
                    </w:rPr>
                  </w:pPr>
                  <w:r>
                    <w:rPr>
                      <w:color w:val="auto"/>
                      <w:sz w:val="18"/>
                      <w:szCs w:val="18"/>
                    </w:rPr>
                    <w:t>NMHC</w:t>
                  </w:r>
                </w:p>
              </w:tc>
              <w:tc>
                <w:tcPr>
                  <w:tcW w:w="909" w:type="pct"/>
                  <w:noWrap w:val="0"/>
                  <w:vAlign w:val="center"/>
                </w:tcPr>
                <w:p>
                  <w:pPr>
                    <w:jc w:val="center"/>
                    <w:rPr>
                      <w:snapToGrid w:val="0"/>
                      <w:color w:val="auto"/>
                      <w:sz w:val="18"/>
                      <w:szCs w:val="18"/>
                    </w:rPr>
                  </w:pPr>
                  <w:r>
                    <w:rPr>
                      <w:snapToGrid w:val="0"/>
                      <w:color w:val="auto"/>
                      <w:sz w:val="18"/>
                      <w:szCs w:val="18"/>
                    </w:rPr>
                    <w:t>6</w:t>
                  </w:r>
                </w:p>
              </w:tc>
              <w:tc>
                <w:tcPr>
                  <w:tcW w:w="1940" w:type="pct"/>
                  <w:noWrap w:val="0"/>
                  <w:vAlign w:val="center"/>
                </w:tcPr>
                <w:p>
                  <w:pPr>
                    <w:jc w:val="center"/>
                    <w:rPr>
                      <w:color w:val="auto"/>
                      <w:sz w:val="18"/>
                      <w:szCs w:val="18"/>
                    </w:rPr>
                  </w:pPr>
                  <w:r>
                    <w:rPr>
                      <w:color w:val="auto"/>
                      <w:sz w:val="18"/>
                      <w:szCs w:val="18"/>
                    </w:rPr>
                    <w:t>监控点处1h平均浓度值</w:t>
                  </w:r>
                </w:p>
              </w:tc>
              <w:tc>
                <w:tcPr>
                  <w:tcW w:w="1442" w:type="pct"/>
                  <w:vMerge w:val="restart"/>
                  <w:noWrap w:val="0"/>
                  <w:vAlign w:val="center"/>
                </w:tcPr>
                <w:p>
                  <w:pPr>
                    <w:jc w:val="center"/>
                    <w:rPr>
                      <w:color w:val="auto"/>
                      <w:sz w:val="18"/>
                      <w:szCs w:val="18"/>
                    </w:rPr>
                  </w:pPr>
                  <w:r>
                    <w:rPr>
                      <w:color w:val="auto"/>
                      <w:sz w:val="18"/>
                      <w:szCs w:val="18"/>
                    </w:rPr>
                    <w:t>在厂房外设置监控点</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07" w:type="pct"/>
                  <w:vMerge w:val="continue"/>
                  <w:noWrap w:val="0"/>
                  <w:vAlign w:val="center"/>
                </w:tcPr>
                <w:p>
                  <w:pPr>
                    <w:jc w:val="center"/>
                    <w:rPr>
                      <w:bCs/>
                      <w:snapToGrid w:val="0"/>
                      <w:color w:val="auto"/>
                      <w:sz w:val="18"/>
                      <w:szCs w:val="18"/>
                    </w:rPr>
                  </w:pPr>
                </w:p>
              </w:tc>
              <w:tc>
                <w:tcPr>
                  <w:tcW w:w="909" w:type="pct"/>
                  <w:noWrap w:val="0"/>
                  <w:vAlign w:val="center"/>
                </w:tcPr>
                <w:p>
                  <w:pPr>
                    <w:adjustRightInd w:val="0"/>
                    <w:snapToGrid w:val="0"/>
                    <w:jc w:val="center"/>
                    <w:rPr>
                      <w:snapToGrid w:val="0"/>
                      <w:color w:val="auto"/>
                      <w:sz w:val="18"/>
                      <w:szCs w:val="18"/>
                    </w:rPr>
                  </w:pPr>
                  <w:r>
                    <w:rPr>
                      <w:snapToGrid w:val="0"/>
                      <w:color w:val="auto"/>
                      <w:sz w:val="18"/>
                      <w:szCs w:val="18"/>
                    </w:rPr>
                    <w:t>20</w:t>
                  </w:r>
                </w:p>
              </w:tc>
              <w:tc>
                <w:tcPr>
                  <w:tcW w:w="1940" w:type="pct"/>
                  <w:noWrap w:val="0"/>
                  <w:vAlign w:val="center"/>
                </w:tcPr>
                <w:p>
                  <w:pPr>
                    <w:adjustRightInd w:val="0"/>
                    <w:snapToGrid w:val="0"/>
                    <w:jc w:val="center"/>
                    <w:rPr>
                      <w:snapToGrid w:val="0"/>
                      <w:color w:val="auto"/>
                      <w:sz w:val="18"/>
                      <w:szCs w:val="18"/>
                    </w:rPr>
                  </w:pPr>
                  <w:r>
                    <w:rPr>
                      <w:snapToGrid w:val="0"/>
                      <w:color w:val="auto"/>
                      <w:sz w:val="18"/>
                      <w:szCs w:val="18"/>
                    </w:rPr>
                    <w:t>监控点处任意一次浓度值</w:t>
                  </w:r>
                </w:p>
              </w:tc>
              <w:tc>
                <w:tcPr>
                  <w:tcW w:w="1442" w:type="pct"/>
                  <w:vMerge w:val="continue"/>
                  <w:noWrap w:val="0"/>
                  <w:vAlign w:val="center"/>
                </w:tcPr>
                <w:p>
                  <w:pPr>
                    <w:adjustRightInd w:val="0"/>
                    <w:snapToGrid w:val="0"/>
                    <w:jc w:val="center"/>
                    <w:rPr>
                      <w:snapToGrid w:val="0"/>
                      <w:color w:val="auto"/>
                      <w:sz w:val="18"/>
                      <w:szCs w:val="18"/>
                    </w:rPr>
                  </w:pPr>
                </w:p>
              </w:tc>
            </w:tr>
          </w:tbl>
          <w:p>
            <w:pPr>
              <w:spacing w:line="500" w:lineRule="exact"/>
              <w:jc w:val="center"/>
              <w:rPr>
                <w:rFonts w:hint="eastAsia" w:ascii="Times New Roman" w:hAnsi="Times New Roman" w:eastAsia="宋体" w:cs="Times New Roman"/>
                <w:b/>
                <w:color w:val="auto"/>
                <w:szCs w:val="21"/>
                <w:lang w:val="en-US" w:eastAsia="zh-CN"/>
              </w:rPr>
            </w:pPr>
            <w:r>
              <w:rPr>
                <w:rFonts w:hint="eastAsia" w:ascii="Times New Roman" w:hAnsi="Times New Roman" w:eastAsia="宋体" w:cs="Times New Roman"/>
                <w:b/>
                <w:color w:val="auto"/>
                <w:szCs w:val="21"/>
                <w:lang w:val="en-US" w:eastAsia="zh-CN"/>
              </w:rPr>
              <w:t>表3-6 工业炉窑无组织排放总悬浮颗粒物浓度限值</w:t>
            </w:r>
          </w:p>
          <w:tbl>
            <w:tblPr>
              <w:tblStyle w:val="21"/>
              <w:tblW w:w="8158"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170"/>
              <w:gridCol w:w="2391"/>
              <w:gridCol w:w="359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2" w:hRule="atLeast"/>
                <w:jc w:val="center"/>
              </w:trPr>
              <w:tc>
                <w:tcPr>
                  <w:tcW w:w="2170" w:type="dxa"/>
                  <w:noWrap w:val="0"/>
                  <w:vAlign w:val="center"/>
                </w:tcPr>
                <w:p>
                  <w:pPr>
                    <w:pStyle w:val="53"/>
                    <w:rPr>
                      <w:rFonts w:ascii="Times New Roman" w:hAnsi="Times New Roman"/>
                      <w:b/>
                      <w:bCs/>
                      <w:color w:val="auto"/>
                      <w:sz w:val="18"/>
                      <w:szCs w:val="18"/>
                    </w:rPr>
                  </w:pPr>
                  <w:r>
                    <w:rPr>
                      <w:rFonts w:hint="eastAsia" w:ascii="Times New Roman" w:hAnsi="Times New Roman" w:eastAsia="宋体"/>
                      <w:b/>
                      <w:color w:val="auto"/>
                      <w:sz w:val="18"/>
                      <w:szCs w:val="18"/>
                      <w:lang w:eastAsia="zh-CN"/>
                    </w:rPr>
                    <w:t>工业炉窑安装位置</w:t>
                  </w:r>
                </w:p>
              </w:tc>
              <w:tc>
                <w:tcPr>
                  <w:tcW w:w="2391" w:type="dxa"/>
                  <w:noWrap w:val="0"/>
                  <w:vAlign w:val="center"/>
                </w:tcPr>
                <w:p>
                  <w:pPr>
                    <w:pStyle w:val="53"/>
                    <w:rPr>
                      <w:rFonts w:hint="eastAsia" w:ascii="Times New Roman" w:hAnsi="Times New Roman" w:eastAsia="仿宋_GB2312"/>
                      <w:b/>
                      <w:bCs/>
                      <w:color w:val="auto"/>
                      <w:sz w:val="18"/>
                      <w:szCs w:val="18"/>
                      <w:lang w:eastAsia="zh-CN"/>
                    </w:rPr>
                  </w:pPr>
                  <w:r>
                    <w:rPr>
                      <w:rFonts w:hint="eastAsia" w:ascii="Times New Roman" w:hAnsi="Times New Roman" w:eastAsia="宋体"/>
                      <w:b/>
                      <w:color w:val="auto"/>
                      <w:sz w:val="18"/>
                      <w:szCs w:val="18"/>
                      <w:lang w:eastAsia="zh-CN"/>
                    </w:rPr>
                    <w:t>工业炉窑类别</w:t>
                  </w:r>
                </w:p>
              </w:tc>
              <w:tc>
                <w:tcPr>
                  <w:tcW w:w="3597" w:type="dxa"/>
                  <w:noWrap w:val="0"/>
                  <w:vAlign w:val="center"/>
                </w:tcPr>
                <w:p>
                  <w:pPr>
                    <w:pStyle w:val="53"/>
                    <w:rPr>
                      <w:rFonts w:ascii="Times New Roman" w:hAnsi="Times New Roman"/>
                      <w:b/>
                      <w:color w:val="auto"/>
                      <w:sz w:val="18"/>
                      <w:szCs w:val="18"/>
                    </w:rPr>
                  </w:pPr>
                  <w:r>
                    <w:rPr>
                      <w:rFonts w:hint="eastAsia" w:ascii="Times New Roman" w:hAnsi="Times New Roman" w:eastAsia="宋体" w:cs="Times New Roman"/>
                      <w:b/>
                      <w:color w:val="auto"/>
                      <w:sz w:val="18"/>
                      <w:szCs w:val="18"/>
                      <w:lang w:val="en-US" w:eastAsia="zh-CN"/>
                    </w:rPr>
                    <w:t>总悬浮颗粒物浓度</w:t>
                  </w:r>
                  <w:r>
                    <w:rPr>
                      <w:rFonts w:hint="eastAsia" w:ascii="Times New Roman" w:hAnsi="Times New Roman" w:eastAsia="宋体" w:cs="Times New Roman"/>
                      <w:b/>
                      <w:bCs/>
                      <w:color w:val="auto"/>
                      <w:sz w:val="18"/>
                      <w:szCs w:val="18"/>
                      <w:lang w:val="en-US" w:eastAsia="zh-CN"/>
                    </w:rPr>
                    <w:t>（</w:t>
                  </w:r>
                  <w:r>
                    <w:rPr>
                      <w:rFonts w:ascii="Times New Roman" w:hAnsi="Times New Roman" w:eastAsia="宋体"/>
                      <w:b/>
                      <w:bCs/>
                      <w:color w:val="auto"/>
                      <w:sz w:val="18"/>
                      <w:szCs w:val="18"/>
                    </w:rPr>
                    <w:t>mg/m</w:t>
                  </w:r>
                  <w:r>
                    <w:rPr>
                      <w:rFonts w:ascii="Times New Roman" w:hAnsi="Times New Roman" w:eastAsia="宋体"/>
                      <w:b/>
                      <w:bCs/>
                      <w:color w:val="auto"/>
                      <w:sz w:val="18"/>
                      <w:szCs w:val="18"/>
                      <w:vertAlign w:val="superscript"/>
                    </w:rPr>
                    <w:t>3</w:t>
                  </w:r>
                  <w:r>
                    <w:rPr>
                      <w:rFonts w:hint="eastAsia" w:ascii="Times New Roman" w:hAnsi="Times New Roman" w:eastAsia="宋体" w:cs="Times New Roman"/>
                      <w:b/>
                      <w:bCs/>
                      <w:color w:val="auto"/>
                      <w:sz w:val="18"/>
                      <w:szCs w:val="18"/>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4" w:hRule="atLeast"/>
                <w:jc w:val="center"/>
              </w:trPr>
              <w:tc>
                <w:tcPr>
                  <w:tcW w:w="2170" w:type="dxa"/>
                  <w:noWrap w:val="0"/>
                  <w:vAlign w:val="center"/>
                </w:tcPr>
                <w:p>
                  <w:pPr>
                    <w:jc w:val="center"/>
                    <w:rPr>
                      <w:bCs/>
                      <w:snapToGrid w:val="0"/>
                      <w:color w:val="auto"/>
                      <w:sz w:val="18"/>
                      <w:szCs w:val="18"/>
                    </w:rPr>
                  </w:pPr>
                  <w:r>
                    <w:rPr>
                      <w:rFonts w:hint="eastAsia"/>
                      <w:snapToGrid w:val="0"/>
                      <w:color w:val="auto"/>
                      <w:sz w:val="18"/>
                      <w:szCs w:val="18"/>
                      <w:lang w:eastAsia="zh-CN"/>
                    </w:rPr>
                    <w:t>有厂房生产车间</w:t>
                  </w:r>
                </w:p>
              </w:tc>
              <w:tc>
                <w:tcPr>
                  <w:tcW w:w="2391" w:type="dxa"/>
                  <w:noWrap w:val="0"/>
                  <w:vAlign w:val="center"/>
                </w:tcPr>
                <w:p>
                  <w:pPr>
                    <w:jc w:val="center"/>
                    <w:rPr>
                      <w:rFonts w:hint="eastAsia" w:eastAsia="宋体"/>
                      <w:snapToGrid w:val="0"/>
                      <w:color w:val="auto"/>
                      <w:sz w:val="18"/>
                      <w:szCs w:val="18"/>
                      <w:lang w:eastAsia="zh-CN"/>
                    </w:rPr>
                  </w:pPr>
                  <w:r>
                    <w:rPr>
                      <w:rFonts w:hint="eastAsia"/>
                      <w:snapToGrid w:val="0"/>
                      <w:color w:val="auto"/>
                      <w:sz w:val="18"/>
                      <w:szCs w:val="18"/>
                      <w:lang w:eastAsia="zh-CN"/>
                    </w:rPr>
                    <w:t>其他炉窑</w:t>
                  </w:r>
                </w:p>
              </w:tc>
              <w:tc>
                <w:tcPr>
                  <w:tcW w:w="3597" w:type="dxa"/>
                  <w:noWrap w:val="0"/>
                  <w:vAlign w:val="center"/>
                </w:tcPr>
                <w:p>
                  <w:pPr>
                    <w:jc w:val="center"/>
                    <w:rPr>
                      <w:rFonts w:hint="default" w:eastAsia="宋体"/>
                      <w:color w:val="auto"/>
                      <w:sz w:val="18"/>
                      <w:szCs w:val="18"/>
                      <w:lang w:val="en-US" w:eastAsia="zh-CN"/>
                    </w:rPr>
                  </w:pPr>
                  <w:r>
                    <w:rPr>
                      <w:rFonts w:hint="eastAsia"/>
                      <w:color w:val="auto"/>
                      <w:sz w:val="18"/>
                      <w:szCs w:val="18"/>
                      <w:lang w:val="en-US" w:eastAsia="zh-CN"/>
                    </w:rPr>
                    <w:t>5.0</w:t>
                  </w:r>
                </w:p>
              </w:tc>
            </w:tr>
          </w:tbl>
          <w:p>
            <w:pPr>
              <w:spacing w:line="500" w:lineRule="exact"/>
              <w:ind w:firstLine="420"/>
              <w:rPr>
                <w:rFonts w:hint="eastAsia"/>
                <w:color w:val="auto"/>
              </w:rPr>
            </w:pPr>
            <w:r>
              <w:rPr>
                <w:color w:val="auto"/>
              </w:rPr>
              <w:t>员</w:t>
            </w:r>
            <w:r>
              <w:rPr>
                <w:rFonts w:ascii="Times New Roman" w:hAnsi="Times New Roman" w:eastAsia="宋体" w:cs="Times New Roman"/>
                <w:color w:val="auto"/>
              </w:rPr>
              <w:t>工餐饮产生的食堂油烟执行《饮食业油烟排放标准（试行）》（GB18483-2001）</w:t>
            </w:r>
            <w:r>
              <w:rPr>
                <w:rFonts w:hint="eastAsia" w:ascii="Times New Roman" w:hAnsi="Times New Roman" w:eastAsia="宋体" w:cs="Times New Roman"/>
                <w:color w:val="auto"/>
              </w:rPr>
              <w:t>中</w:t>
            </w:r>
            <w:r>
              <w:rPr>
                <w:rFonts w:ascii="Times New Roman" w:hAnsi="Times New Roman" w:eastAsia="宋体" w:cs="Times New Roman"/>
                <w:color w:val="auto"/>
              </w:rPr>
              <w:t>型灶头标</w:t>
            </w:r>
            <w:r>
              <w:rPr>
                <w:color w:val="auto"/>
              </w:rPr>
              <w:t>准，具体标准值见表</w:t>
            </w:r>
            <w:r>
              <w:rPr>
                <w:rFonts w:hint="eastAsia"/>
                <w:color w:val="auto"/>
              </w:rPr>
              <w:t>3</w:t>
            </w:r>
            <w:r>
              <w:rPr>
                <w:color w:val="auto"/>
              </w:rPr>
              <w:t>-</w:t>
            </w:r>
            <w:r>
              <w:rPr>
                <w:rFonts w:hint="eastAsia"/>
                <w:color w:val="auto"/>
              </w:rPr>
              <w:t>7</w:t>
            </w:r>
            <w:r>
              <w:rPr>
                <w:color w:val="auto"/>
              </w:rPr>
              <w:t>。</w:t>
            </w:r>
          </w:p>
          <w:p>
            <w:pPr>
              <w:spacing w:line="500" w:lineRule="exact"/>
              <w:ind w:firstLine="422" w:firstLineChars="200"/>
              <w:jc w:val="center"/>
              <w:rPr>
                <w:b/>
                <w:color w:val="auto"/>
                <w:szCs w:val="21"/>
              </w:rPr>
            </w:pPr>
            <w:r>
              <w:rPr>
                <w:b/>
                <w:color w:val="auto"/>
                <w:szCs w:val="21"/>
              </w:rPr>
              <w:t>表</w:t>
            </w:r>
            <w:r>
              <w:rPr>
                <w:rFonts w:hint="eastAsia"/>
                <w:b/>
                <w:color w:val="auto"/>
                <w:szCs w:val="21"/>
              </w:rPr>
              <w:t>3</w:t>
            </w:r>
            <w:r>
              <w:rPr>
                <w:b/>
                <w:color w:val="auto"/>
                <w:szCs w:val="21"/>
              </w:rPr>
              <w:t>-</w:t>
            </w:r>
            <w:r>
              <w:rPr>
                <w:rFonts w:hint="eastAsia"/>
                <w:b/>
                <w:color w:val="auto"/>
                <w:szCs w:val="21"/>
              </w:rPr>
              <w:t>7</w:t>
            </w:r>
            <w:r>
              <w:rPr>
                <w:b/>
                <w:color w:val="auto"/>
                <w:szCs w:val="21"/>
              </w:rPr>
              <w:t xml:space="preserve"> 饮食业油烟排放标准</w:t>
            </w:r>
          </w:p>
          <w:tbl>
            <w:tblPr>
              <w:tblStyle w:val="21"/>
              <w:tblW w:w="805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664"/>
              <w:gridCol w:w="1513"/>
              <w:gridCol w:w="1484"/>
              <w:gridCol w:w="139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3664" w:type="dxa"/>
                  <w:tcBorders>
                    <w:top w:val="single" w:color="auto" w:sz="12" w:space="0"/>
                  </w:tcBorders>
                  <w:noWrap w:val="0"/>
                  <w:vAlign w:val="center"/>
                </w:tcPr>
                <w:p>
                  <w:pPr>
                    <w:contextualSpacing/>
                    <w:jc w:val="center"/>
                    <w:rPr>
                      <w:color w:val="auto"/>
                      <w:sz w:val="18"/>
                      <w:szCs w:val="18"/>
                    </w:rPr>
                  </w:pPr>
                  <w:r>
                    <w:rPr>
                      <w:color w:val="auto"/>
                      <w:sz w:val="18"/>
                      <w:szCs w:val="18"/>
                    </w:rPr>
                    <w:t>规模</w:t>
                  </w:r>
                </w:p>
              </w:tc>
              <w:tc>
                <w:tcPr>
                  <w:tcW w:w="1513" w:type="dxa"/>
                  <w:tcBorders>
                    <w:top w:val="single" w:color="auto" w:sz="12" w:space="0"/>
                  </w:tcBorders>
                  <w:noWrap w:val="0"/>
                  <w:vAlign w:val="center"/>
                </w:tcPr>
                <w:p>
                  <w:pPr>
                    <w:contextualSpacing/>
                    <w:jc w:val="center"/>
                    <w:rPr>
                      <w:color w:val="auto"/>
                      <w:sz w:val="18"/>
                      <w:szCs w:val="18"/>
                    </w:rPr>
                  </w:pPr>
                  <w:r>
                    <w:rPr>
                      <w:color w:val="auto"/>
                      <w:sz w:val="18"/>
                      <w:szCs w:val="18"/>
                    </w:rPr>
                    <w:t>小型</w:t>
                  </w:r>
                </w:p>
              </w:tc>
              <w:tc>
                <w:tcPr>
                  <w:tcW w:w="1484" w:type="dxa"/>
                  <w:tcBorders>
                    <w:top w:val="single" w:color="auto" w:sz="12" w:space="0"/>
                  </w:tcBorders>
                  <w:noWrap w:val="0"/>
                  <w:vAlign w:val="center"/>
                </w:tcPr>
                <w:p>
                  <w:pPr>
                    <w:contextualSpacing/>
                    <w:jc w:val="center"/>
                    <w:rPr>
                      <w:color w:val="auto"/>
                      <w:sz w:val="18"/>
                      <w:szCs w:val="18"/>
                    </w:rPr>
                  </w:pPr>
                  <w:r>
                    <w:rPr>
                      <w:color w:val="auto"/>
                      <w:sz w:val="18"/>
                      <w:szCs w:val="18"/>
                    </w:rPr>
                    <w:t>中型</w:t>
                  </w:r>
                </w:p>
              </w:tc>
              <w:tc>
                <w:tcPr>
                  <w:tcW w:w="1397" w:type="dxa"/>
                  <w:tcBorders>
                    <w:top w:val="single" w:color="auto" w:sz="12" w:space="0"/>
                  </w:tcBorders>
                  <w:noWrap w:val="0"/>
                  <w:vAlign w:val="center"/>
                </w:tcPr>
                <w:p>
                  <w:pPr>
                    <w:contextualSpacing/>
                    <w:jc w:val="center"/>
                    <w:rPr>
                      <w:color w:val="auto"/>
                      <w:sz w:val="18"/>
                      <w:szCs w:val="18"/>
                    </w:rPr>
                  </w:pPr>
                  <w:r>
                    <w:rPr>
                      <w:color w:val="auto"/>
                      <w:sz w:val="18"/>
                      <w:szCs w:val="18"/>
                    </w:rPr>
                    <w:t>大型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664" w:type="dxa"/>
                  <w:noWrap w:val="0"/>
                  <w:vAlign w:val="center"/>
                </w:tcPr>
                <w:p>
                  <w:pPr>
                    <w:tabs>
                      <w:tab w:val="center" w:pos="1891"/>
                    </w:tabs>
                    <w:contextualSpacing/>
                    <w:jc w:val="center"/>
                    <w:rPr>
                      <w:color w:val="auto"/>
                      <w:sz w:val="18"/>
                      <w:szCs w:val="18"/>
                    </w:rPr>
                  </w:pPr>
                  <w:r>
                    <w:rPr>
                      <w:color w:val="auto"/>
                      <w:sz w:val="18"/>
                      <w:szCs w:val="18"/>
                    </w:rPr>
                    <w:t>基准灶头数</w:t>
                  </w:r>
                </w:p>
              </w:tc>
              <w:tc>
                <w:tcPr>
                  <w:tcW w:w="1513" w:type="dxa"/>
                  <w:noWrap w:val="0"/>
                  <w:vAlign w:val="center"/>
                </w:tcPr>
                <w:p>
                  <w:pPr>
                    <w:contextualSpacing/>
                    <w:jc w:val="center"/>
                    <w:rPr>
                      <w:color w:val="auto"/>
                      <w:sz w:val="18"/>
                      <w:szCs w:val="18"/>
                    </w:rPr>
                  </w:pPr>
                  <w:r>
                    <w:rPr>
                      <w:color w:val="auto"/>
                      <w:sz w:val="18"/>
                      <w:szCs w:val="18"/>
                    </w:rPr>
                    <w:t>≥</w:t>
                  </w:r>
                  <w:r>
                    <w:rPr>
                      <w:rStyle w:val="27"/>
                      <w:color w:val="auto"/>
                      <w:sz w:val="18"/>
                      <w:szCs w:val="18"/>
                    </w:rPr>
                    <w:t>1</w:t>
                  </w:r>
                  <w:r>
                    <w:rPr>
                      <w:color w:val="auto"/>
                      <w:sz w:val="18"/>
                      <w:szCs w:val="18"/>
                    </w:rPr>
                    <w:t>，＜3</w:t>
                  </w:r>
                </w:p>
              </w:tc>
              <w:tc>
                <w:tcPr>
                  <w:tcW w:w="1484" w:type="dxa"/>
                  <w:noWrap w:val="0"/>
                  <w:vAlign w:val="center"/>
                </w:tcPr>
                <w:p>
                  <w:pPr>
                    <w:contextualSpacing/>
                    <w:jc w:val="center"/>
                    <w:rPr>
                      <w:color w:val="auto"/>
                      <w:sz w:val="18"/>
                      <w:szCs w:val="18"/>
                    </w:rPr>
                  </w:pPr>
                  <w:r>
                    <w:rPr>
                      <w:color w:val="auto"/>
                      <w:sz w:val="18"/>
                      <w:szCs w:val="18"/>
                    </w:rPr>
                    <w:t>≥3，＜6</w:t>
                  </w:r>
                </w:p>
              </w:tc>
              <w:tc>
                <w:tcPr>
                  <w:tcW w:w="1397" w:type="dxa"/>
                  <w:noWrap w:val="0"/>
                  <w:vAlign w:val="center"/>
                </w:tcPr>
                <w:p>
                  <w:pPr>
                    <w:contextualSpacing/>
                    <w:jc w:val="center"/>
                    <w:rPr>
                      <w:color w:val="auto"/>
                      <w:sz w:val="18"/>
                      <w:szCs w:val="18"/>
                    </w:rPr>
                  </w:pPr>
                  <w:r>
                    <w:rPr>
                      <w:color w:val="auto"/>
                      <w:sz w:val="18"/>
                      <w:szCs w:val="18"/>
                    </w:rPr>
                    <w:t>≥6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664" w:type="dxa"/>
                  <w:noWrap w:val="0"/>
                  <w:vAlign w:val="center"/>
                </w:tcPr>
                <w:p>
                  <w:pPr>
                    <w:contextualSpacing/>
                    <w:jc w:val="center"/>
                    <w:rPr>
                      <w:color w:val="auto"/>
                      <w:sz w:val="18"/>
                      <w:szCs w:val="18"/>
                    </w:rPr>
                  </w:pPr>
                  <w:r>
                    <w:rPr>
                      <w:color w:val="auto"/>
                      <w:sz w:val="18"/>
                      <w:szCs w:val="18"/>
                    </w:rPr>
                    <w:t>对应灶头总功率 10</w:t>
                  </w:r>
                  <w:r>
                    <w:rPr>
                      <w:color w:val="auto"/>
                      <w:sz w:val="18"/>
                      <w:szCs w:val="18"/>
                      <w:vertAlign w:val="superscript"/>
                    </w:rPr>
                    <w:t>8</w:t>
                  </w:r>
                  <w:r>
                    <w:rPr>
                      <w:color w:val="auto"/>
                      <w:sz w:val="18"/>
                      <w:szCs w:val="18"/>
                    </w:rPr>
                    <w:t>J/h</w:t>
                  </w:r>
                </w:p>
              </w:tc>
              <w:tc>
                <w:tcPr>
                  <w:tcW w:w="1513" w:type="dxa"/>
                  <w:noWrap w:val="0"/>
                  <w:vAlign w:val="center"/>
                </w:tcPr>
                <w:p>
                  <w:pPr>
                    <w:contextualSpacing/>
                    <w:jc w:val="center"/>
                    <w:rPr>
                      <w:color w:val="auto"/>
                      <w:sz w:val="18"/>
                      <w:szCs w:val="18"/>
                    </w:rPr>
                  </w:pPr>
                  <w:r>
                    <w:rPr>
                      <w:color w:val="auto"/>
                      <w:sz w:val="18"/>
                      <w:szCs w:val="18"/>
                    </w:rPr>
                    <w:t>1.67，＜5.00</w:t>
                  </w:r>
                </w:p>
              </w:tc>
              <w:tc>
                <w:tcPr>
                  <w:tcW w:w="1484" w:type="dxa"/>
                  <w:noWrap w:val="0"/>
                  <w:vAlign w:val="center"/>
                </w:tcPr>
                <w:p>
                  <w:pPr>
                    <w:contextualSpacing/>
                    <w:jc w:val="center"/>
                    <w:rPr>
                      <w:color w:val="auto"/>
                      <w:sz w:val="18"/>
                      <w:szCs w:val="18"/>
                    </w:rPr>
                  </w:pPr>
                  <w:r>
                    <w:rPr>
                      <w:color w:val="auto"/>
                      <w:sz w:val="18"/>
                      <w:szCs w:val="18"/>
                    </w:rPr>
                    <w:t>≥5.00，＜10</w:t>
                  </w:r>
                </w:p>
              </w:tc>
              <w:tc>
                <w:tcPr>
                  <w:tcW w:w="1397" w:type="dxa"/>
                  <w:noWrap w:val="0"/>
                  <w:vAlign w:val="center"/>
                </w:tcPr>
                <w:p>
                  <w:pPr>
                    <w:contextualSpacing/>
                    <w:jc w:val="center"/>
                    <w:rPr>
                      <w:color w:val="auto"/>
                      <w:sz w:val="18"/>
                      <w:szCs w:val="18"/>
                    </w:rPr>
                  </w:pPr>
                  <w:r>
                    <w:rPr>
                      <w:color w:val="auto"/>
                      <w:sz w:val="18"/>
                      <w:szCs w:val="18"/>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664" w:type="dxa"/>
                  <w:noWrap w:val="0"/>
                  <w:vAlign w:val="center"/>
                </w:tcPr>
                <w:p>
                  <w:pPr>
                    <w:contextualSpacing/>
                    <w:jc w:val="center"/>
                    <w:rPr>
                      <w:color w:val="auto"/>
                      <w:sz w:val="18"/>
                      <w:szCs w:val="18"/>
                    </w:rPr>
                  </w:pPr>
                  <w:r>
                    <w:rPr>
                      <w:color w:val="auto"/>
                      <w:sz w:val="18"/>
                      <w:szCs w:val="18"/>
                    </w:rPr>
                    <w:t>对应排气罩灶面总投影面积（m</w:t>
                  </w:r>
                  <w:r>
                    <w:rPr>
                      <w:color w:val="auto"/>
                      <w:sz w:val="18"/>
                      <w:szCs w:val="18"/>
                      <w:vertAlign w:val="superscript"/>
                    </w:rPr>
                    <w:t>2</w:t>
                  </w:r>
                  <w:r>
                    <w:rPr>
                      <w:color w:val="auto"/>
                      <w:sz w:val="18"/>
                      <w:szCs w:val="18"/>
                    </w:rPr>
                    <w:t>）</w:t>
                  </w:r>
                </w:p>
              </w:tc>
              <w:tc>
                <w:tcPr>
                  <w:tcW w:w="1513" w:type="dxa"/>
                  <w:noWrap w:val="0"/>
                  <w:vAlign w:val="center"/>
                </w:tcPr>
                <w:p>
                  <w:pPr>
                    <w:contextualSpacing/>
                    <w:jc w:val="center"/>
                    <w:rPr>
                      <w:color w:val="auto"/>
                      <w:sz w:val="18"/>
                      <w:szCs w:val="18"/>
                    </w:rPr>
                  </w:pPr>
                  <w:r>
                    <w:rPr>
                      <w:color w:val="auto"/>
                      <w:sz w:val="18"/>
                      <w:szCs w:val="18"/>
                    </w:rPr>
                    <w:t>≥1.1，＜3.3</w:t>
                  </w:r>
                </w:p>
              </w:tc>
              <w:tc>
                <w:tcPr>
                  <w:tcW w:w="1484" w:type="dxa"/>
                  <w:noWrap w:val="0"/>
                  <w:vAlign w:val="center"/>
                </w:tcPr>
                <w:p>
                  <w:pPr>
                    <w:contextualSpacing/>
                    <w:jc w:val="center"/>
                    <w:rPr>
                      <w:color w:val="auto"/>
                      <w:sz w:val="18"/>
                      <w:szCs w:val="18"/>
                    </w:rPr>
                  </w:pPr>
                  <w:r>
                    <w:rPr>
                      <w:color w:val="auto"/>
                      <w:sz w:val="18"/>
                      <w:szCs w:val="18"/>
                    </w:rPr>
                    <w:t>≥3.3，＜6.6</w:t>
                  </w:r>
                </w:p>
              </w:tc>
              <w:tc>
                <w:tcPr>
                  <w:tcW w:w="1397" w:type="dxa"/>
                  <w:noWrap w:val="0"/>
                  <w:vAlign w:val="center"/>
                </w:tcPr>
                <w:p>
                  <w:pPr>
                    <w:contextualSpacing/>
                    <w:jc w:val="center"/>
                    <w:rPr>
                      <w:color w:val="auto"/>
                      <w:sz w:val="18"/>
                      <w:szCs w:val="18"/>
                    </w:rPr>
                  </w:pPr>
                  <w:r>
                    <w:rPr>
                      <w:color w:val="auto"/>
                      <w:sz w:val="18"/>
                      <w:szCs w:val="18"/>
                    </w:rPr>
                    <w:t>≥6.6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664" w:type="dxa"/>
                  <w:tcBorders>
                    <w:bottom w:val="single" w:color="auto" w:sz="4" w:space="0"/>
                  </w:tcBorders>
                  <w:noWrap w:val="0"/>
                  <w:vAlign w:val="center"/>
                </w:tcPr>
                <w:p>
                  <w:pPr>
                    <w:contextualSpacing/>
                    <w:jc w:val="center"/>
                    <w:rPr>
                      <w:color w:val="auto"/>
                      <w:sz w:val="18"/>
                      <w:szCs w:val="18"/>
                    </w:rPr>
                  </w:pPr>
                  <w:r>
                    <w:rPr>
                      <w:color w:val="auto"/>
                      <w:sz w:val="18"/>
                      <w:szCs w:val="18"/>
                    </w:rPr>
                    <w:t>最高允许排放浓度（mg/m</w:t>
                  </w:r>
                  <w:r>
                    <w:rPr>
                      <w:color w:val="auto"/>
                      <w:sz w:val="18"/>
                      <w:szCs w:val="18"/>
                      <w:vertAlign w:val="superscript"/>
                    </w:rPr>
                    <w:t>3</w:t>
                  </w:r>
                  <w:r>
                    <w:rPr>
                      <w:color w:val="auto"/>
                      <w:sz w:val="18"/>
                      <w:szCs w:val="18"/>
                    </w:rPr>
                    <w:t>）</w:t>
                  </w:r>
                </w:p>
              </w:tc>
              <w:tc>
                <w:tcPr>
                  <w:tcW w:w="4394" w:type="dxa"/>
                  <w:gridSpan w:val="3"/>
                  <w:tcBorders>
                    <w:bottom w:val="single" w:color="auto" w:sz="4" w:space="0"/>
                  </w:tcBorders>
                  <w:noWrap w:val="0"/>
                  <w:vAlign w:val="center"/>
                </w:tcPr>
                <w:p>
                  <w:pPr>
                    <w:contextualSpacing/>
                    <w:jc w:val="center"/>
                    <w:rPr>
                      <w:color w:val="auto"/>
                      <w:sz w:val="18"/>
                      <w:szCs w:val="18"/>
                    </w:rPr>
                  </w:pPr>
                  <w:r>
                    <w:rPr>
                      <w:color w:val="auto"/>
                      <w:sz w:val="18"/>
                      <w:szCs w:val="18"/>
                    </w:rPr>
                    <w:t>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3664" w:type="dxa"/>
                  <w:tcBorders>
                    <w:bottom w:val="single" w:color="auto" w:sz="12" w:space="0"/>
                  </w:tcBorders>
                  <w:noWrap w:val="0"/>
                  <w:vAlign w:val="center"/>
                </w:tcPr>
                <w:p>
                  <w:pPr>
                    <w:contextualSpacing/>
                    <w:jc w:val="center"/>
                    <w:rPr>
                      <w:color w:val="auto"/>
                      <w:sz w:val="18"/>
                      <w:szCs w:val="18"/>
                    </w:rPr>
                  </w:pPr>
                  <w:r>
                    <w:rPr>
                      <w:color w:val="auto"/>
                      <w:sz w:val="18"/>
                      <w:szCs w:val="18"/>
                    </w:rPr>
                    <w:t>净化设施最低去除率（%）</w:t>
                  </w:r>
                </w:p>
              </w:tc>
              <w:tc>
                <w:tcPr>
                  <w:tcW w:w="1513" w:type="dxa"/>
                  <w:tcBorders>
                    <w:bottom w:val="single" w:color="auto" w:sz="12" w:space="0"/>
                  </w:tcBorders>
                  <w:noWrap w:val="0"/>
                  <w:vAlign w:val="center"/>
                </w:tcPr>
                <w:p>
                  <w:pPr>
                    <w:contextualSpacing/>
                    <w:jc w:val="center"/>
                    <w:rPr>
                      <w:color w:val="auto"/>
                      <w:sz w:val="18"/>
                      <w:szCs w:val="18"/>
                    </w:rPr>
                  </w:pPr>
                  <w:r>
                    <w:rPr>
                      <w:color w:val="auto"/>
                      <w:sz w:val="18"/>
                      <w:szCs w:val="18"/>
                    </w:rPr>
                    <w:t>60</w:t>
                  </w:r>
                </w:p>
              </w:tc>
              <w:tc>
                <w:tcPr>
                  <w:tcW w:w="1484" w:type="dxa"/>
                  <w:tcBorders>
                    <w:bottom w:val="single" w:color="auto" w:sz="12" w:space="0"/>
                  </w:tcBorders>
                  <w:noWrap w:val="0"/>
                  <w:vAlign w:val="center"/>
                </w:tcPr>
                <w:p>
                  <w:pPr>
                    <w:contextualSpacing/>
                    <w:jc w:val="center"/>
                    <w:rPr>
                      <w:color w:val="auto"/>
                      <w:sz w:val="18"/>
                      <w:szCs w:val="18"/>
                    </w:rPr>
                  </w:pPr>
                  <w:r>
                    <w:rPr>
                      <w:color w:val="auto"/>
                      <w:sz w:val="18"/>
                      <w:szCs w:val="18"/>
                    </w:rPr>
                    <w:t>75</w:t>
                  </w:r>
                </w:p>
              </w:tc>
              <w:tc>
                <w:tcPr>
                  <w:tcW w:w="1397" w:type="dxa"/>
                  <w:tcBorders>
                    <w:bottom w:val="single" w:color="auto" w:sz="12" w:space="0"/>
                  </w:tcBorders>
                  <w:noWrap w:val="0"/>
                  <w:vAlign w:val="center"/>
                </w:tcPr>
                <w:p>
                  <w:pPr>
                    <w:contextualSpacing/>
                    <w:jc w:val="center"/>
                    <w:rPr>
                      <w:color w:val="auto"/>
                      <w:sz w:val="18"/>
                      <w:szCs w:val="18"/>
                    </w:rPr>
                  </w:pPr>
                  <w:r>
                    <w:rPr>
                      <w:color w:val="auto"/>
                      <w:sz w:val="18"/>
                      <w:szCs w:val="18"/>
                    </w:rPr>
                    <w:t>85</w:t>
                  </w:r>
                </w:p>
              </w:tc>
            </w:tr>
          </w:tbl>
          <w:p>
            <w:pPr>
              <w:adjustRightInd w:val="0"/>
              <w:snapToGrid w:val="0"/>
              <w:spacing w:line="500" w:lineRule="exact"/>
              <w:ind w:firstLine="210" w:firstLineChars="100"/>
              <w:rPr>
                <w:kern w:val="0"/>
                <w:szCs w:val="21"/>
              </w:rPr>
            </w:pPr>
            <w:r>
              <w:rPr>
                <w:kern w:val="0"/>
                <w:szCs w:val="21"/>
              </w:rPr>
              <w:t>2、水污染物</w:t>
            </w:r>
          </w:p>
          <w:p>
            <w:pPr>
              <w:adjustRightInd w:val="0"/>
              <w:snapToGrid w:val="0"/>
              <w:spacing w:line="500" w:lineRule="exact"/>
              <w:ind w:firstLine="420" w:firstLineChars="200"/>
              <w:rPr>
                <w:rFonts w:hint="eastAsia"/>
                <w:color w:val="auto"/>
                <w:kern w:val="0"/>
                <w:szCs w:val="21"/>
              </w:rPr>
            </w:pPr>
            <w:r>
              <w:rPr>
                <w:color w:val="auto"/>
                <w:highlight w:val="none"/>
              </w:rPr>
              <w:t>本项目</w:t>
            </w:r>
            <w:r>
              <w:rPr>
                <w:rFonts w:hint="eastAsia"/>
                <w:bCs/>
                <w:color w:val="auto"/>
                <w:szCs w:val="21"/>
                <w:lang w:val="en-US" w:eastAsia="zh-CN"/>
              </w:rPr>
              <w:t>生活污水、食堂废水</w:t>
            </w:r>
            <w:r>
              <w:rPr>
                <w:rFonts w:hint="eastAsia"/>
                <w:bCs/>
                <w:color w:val="auto"/>
                <w:szCs w:val="21"/>
              </w:rPr>
              <w:t>经化粪池</w:t>
            </w:r>
            <w:r>
              <w:rPr>
                <w:rFonts w:hint="eastAsia"/>
                <w:bCs/>
                <w:color w:val="auto"/>
                <w:szCs w:val="21"/>
                <w:lang w:eastAsia="zh-CN"/>
              </w:rPr>
              <w:t>、隔油池</w:t>
            </w:r>
            <w:r>
              <w:rPr>
                <w:rFonts w:hint="eastAsia"/>
                <w:bCs/>
                <w:color w:val="auto"/>
                <w:szCs w:val="21"/>
              </w:rPr>
              <w:t>处理后</w:t>
            </w:r>
            <w:r>
              <w:rPr>
                <w:rFonts w:hint="eastAsia"/>
                <w:bCs/>
                <w:color w:val="auto"/>
                <w:szCs w:val="21"/>
                <w:lang w:val="en-US" w:eastAsia="zh-CN"/>
              </w:rPr>
              <w:t>，与经冷却水池沉淀后的冷却水</w:t>
            </w:r>
            <w:r>
              <w:rPr>
                <w:rFonts w:hint="eastAsia"/>
                <w:color w:val="auto"/>
                <w:highlight w:val="none"/>
                <w:lang w:eastAsia="zh-CN"/>
              </w:rPr>
              <w:t>一起</w:t>
            </w:r>
            <w:r>
              <w:rPr>
                <w:rFonts w:hint="eastAsia" w:ascii="Times New Roman" w:hAnsi="Times New Roman" w:cs="Times New Roman"/>
                <w:color w:val="auto"/>
                <w:szCs w:val="21"/>
                <w:highlight w:val="none"/>
                <w:lang w:val="en-US" w:eastAsia="zh-CN"/>
              </w:rPr>
              <w:t>接管</w:t>
            </w:r>
            <w:r>
              <w:rPr>
                <w:rFonts w:hint="default" w:ascii="Times New Roman" w:hAnsi="Times New Roman" w:cs="Times New Roman"/>
                <w:color w:val="auto"/>
                <w:szCs w:val="21"/>
                <w:highlight w:val="none"/>
              </w:rPr>
              <w:t>至</w:t>
            </w:r>
            <w:r>
              <w:rPr>
                <w:rFonts w:hint="eastAsia" w:ascii="Times New Roman" w:hAnsi="Times New Roman" w:cs="Times New Roman"/>
                <w:color w:val="auto"/>
                <w:highlight w:val="none"/>
                <w:lang w:eastAsia="zh-CN"/>
              </w:rPr>
              <w:t>如皋市富港水处理有限公司</w:t>
            </w:r>
            <w:r>
              <w:rPr>
                <w:rFonts w:hint="default" w:ascii="Times New Roman" w:hAnsi="Times New Roman" w:cs="Times New Roman"/>
                <w:color w:val="auto"/>
                <w:szCs w:val="21"/>
                <w:highlight w:val="none"/>
              </w:rPr>
              <w:t>集中处理</w:t>
            </w:r>
            <w:r>
              <w:rPr>
                <w:color w:val="auto"/>
                <w:highlight w:val="none"/>
              </w:rPr>
              <w:t>，</w:t>
            </w:r>
            <w:r>
              <w:rPr>
                <w:rFonts w:hint="eastAsia"/>
                <w:color w:val="auto"/>
                <w:highlight w:val="none"/>
                <w:lang w:eastAsia="zh-CN"/>
              </w:rPr>
              <w:t>尾水排入中心河</w:t>
            </w:r>
            <w:r>
              <w:rPr>
                <w:color w:val="auto"/>
                <w:highlight w:val="none"/>
              </w:rPr>
              <w:t>。污水处理厂接管标准执行《污水综合排放标准》（GB8978-1996）表4中三级标准和《污水排入城镇下水道水质标准》（GB/T31962-2015）表1中B等级标准</w:t>
            </w:r>
            <w:r>
              <w:rPr>
                <w:rFonts w:hint="eastAsia"/>
                <w:color w:val="auto"/>
                <w:highlight w:val="none"/>
                <w:lang w:eastAsia="zh-CN"/>
              </w:rPr>
              <w:t>。</w:t>
            </w:r>
            <w:r>
              <w:rPr>
                <w:rFonts w:hint="eastAsia" w:ascii="Times New Roman" w:hAnsi="Times New Roman" w:cs="Times New Roman"/>
                <w:color w:val="auto"/>
                <w:highlight w:val="none"/>
                <w:lang w:eastAsia="zh-CN"/>
              </w:rPr>
              <w:t>如皋市富港水处理有限公司</w:t>
            </w:r>
            <w:r>
              <w:rPr>
                <w:color w:val="auto"/>
                <w:highlight w:val="none"/>
              </w:rPr>
              <w:t>尾水排放执行《城镇污水处理厂污染物排放标准》（GB18918-2002）一级A标准，现有城镇污水处理厂自202</w:t>
            </w:r>
            <w:r>
              <w:rPr>
                <w:rFonts w:hint="eastAsia"/>
                <w:color w:val="auto"/>
                <w:highlight w:val="none"/>
                <w:lang w:val="en-US" w:eastAsia="zh-CN"/>
              </w:rPr>
              <w:t>3</w:t>
            </w:r>
            <w:r>
              <w:rPr>
                <w:color w:val="auto"/>
                <w:highlight w:val="none"/>
              </w:rPr>
              <w:t>年3月28日起三年后执行《城镇污水处理厂污染物排放标准》（DB32/4440-2022）</w:t>
            </w:r>
            <w:r>
              <w:rPr>
                <w:rFonts w:hint="eastAsia"/>
                <w:color w:val="auto"/>
                <w:highlight w:val="none"/>
                <w:lang w:val="en-US" w:eastAsia="zh-CN"/>
              </w:rPr>
              <w:t>中C标准</w:t>
            </w:r>
            <w:r>
              <w:rPr>
                <w:rFonts w:hint="eastAsia"/>
                <w:color w:val="auto"/>
                <w:highlight w:val="none"/>
                <w:lang w:eastAsia="zh-CN"/>
              </w:rPr>
              <w:t>。</w:t>
            </w:r>
            <w:r>
              <w:rPr>
                <w:color w:val="auto"/>
                <w:highlight w:val="none"/>
              </w:rPr>
              <w:t>具体标准限值见</w:t>
            </w:r>
            <w:r>
              <w:rPr>
                <w:rFonts w:hint="eastAsia"/>
                <w:color w:val="auto"/>
                <w:highlight w:val="none"/>
                <w:lang w:val="en-US" w:eastAsia="zh-CN"/>
              </w:rPr>
              <w:t>下表</w:t>
            </w:r>
            <w:r>
              <w:rPr>
                <w:rFonts w:hint="eastAsia"/>
                <w:color w:val="auto"/>
                <w:kern w:val="0"/>
                <w:szCs w:val="21"/>
              </w:rPr>
              <w:t>。</w:t>
            </w:r>
          </w:p>
          <w:p>
            <w:pPr>
              <w:spacing w:line="500" w:lineRule="exact"/>
              <w:ind w:firstLine="422" w:firstLineChars="200"/>
              <w:jc w:val="center"/>
              <w:rPr>
                <w:b/>
                <w:color w:val="auto"/>
                <w:szCs w:val="21"/>
              </w:rPr>
            </w:pPr>
            <w:r>
              <w:rPr>
                <w:b/>
                <w:color w:val="auto"/>
                <w:szCs w:val="21"/>
              </w:rPr>
              <w:t>表</w:t>
            </w:r>
            <w:r>
              <w:rPr>
                <w:rFonts w:hint="eastAsia"/>
                <w:b/>
                <w:color w:val="auto"/>
                <w:szCs w:val="21"/>
              </w:rPr>
              <w:t>3-</w:t>
            </w:r>
            <w:r>
              <w:rPr>
                <w:rFonts w:hint="eastAsia"/>
                <w:b/>
                <w:color w:val="auto"/>
                <w:szCs w:val="21"/>
                <w:lang w:val="en-US" w:eastAsia="zh-CN"/>
              </w:rPr>
              <w:t>8</w:t>
            </w:r>
            <w:r>
              <w:rPr>
                <w:rFonts w:hint="eastAsia"/>
                <w:b/>
                <w:color w:val="auto"/>
                <w:szCs w:val="21"/>
                <w:lang w:eastAsia="zh-CN"/>
              </w:rPr>
              <w:t xml:space="preserve">  </w:t>
            </w:r>
            <w:r>
              <w:rPr>
                <w:b/>
                <w:color w:val="auto"/>
                <w:szCs w:val="21"/>
              </w:rPr>
              <w:t>废水</w:t>
            </w:r>
            <w:r>
              <w:rPr>
                <w:rFonts w:hint="eastAsia"/>
                <w:b/>
                <w:color w:val="auto"/>
                <w:szCs w:val="21"/>
                <w:lang w:eastAsia="zh-CN"/>
              </w:rPr>
              <w:t>接管</w:t>
            </w:r>
            <w:r>
              <w:rPr>
                <w:b/>
                <w:color w:val="auto"/>
                <w:szCs w:val="21"/>
              </w:rPr>
              <w:t>标准</w:t>
            </w:r>
            <w:r>
              <w:rPr>
                <w:rFonts w:hint="eastAsia"/>
                <w:b/>
                <w:color w:val="auto"/>
                <w:szCs w:val="21"/>
                <w:lang w:eastAsia="zh-CN"/>
              </w:rPr>
              <w:t>（</w:t>
            </w:r>
            <w:r>
              <w:rPr>
                <w:b/>
                <w:bCs/>
                <w:color w:val="auto"/>
                <w:szCs w:val="21"/>
              </w:rPr>
              <w:t>单位：mg/L，pH无量纲</w:t>
            </w:r>
            <w:r>
              <w:rPr>
                <w:rFonts w:hint="eastAsia"/>
                <w:b/>
                <w:color w:val="auto"/>
                <w:szCs w:val="21"/>
                <w:lang w:eastAsia="zh-CN"/>
              </w:rPr>
              <w:t>）</w:t>
            </w:r>
          </w:p>
          <w:tbl>
            <w:tblPr>
              <w:tblStyle w:val="2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049"/>
              <w:gridCol w:w="1008"/>
              <w:gridCol w:w="1010"/>
              <w:gridCol w:w="1010"/>
              <w:gridCol w:w="1010"/>
              <w:gridCol w:w="1012"/>
              <w:gridCol w:w="1013"/>
              <w:gridCol w:w="10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7" w:hRule="atLeast"/>
                <w:jc w:val="center"/>
              </w:trPr>
              <w:tc>
                <w:tcPr>
                  <w:tcW w:w="645" w:type="pct"/>
                  <w:tcBorders>
                    <w:top w:val="single" w:color="auto" w:sz="12" w:space="0"/>
                    <w:left w:val="nil"/>
                  </w:tcBorders>
                  <w:noWrap w:val="0"/>
                  <w:vAlign w:val="center"/>
                </w:tcPr>
                <w:p>
                  <w:pPr>
                    <w:jc w:val="center"/>
                    <w:rPr>
                      <w:color w:val="auto"/>
                      <w:sz w:val="18"/>
                      <w:szCs w:val="18"/>
                    </w:rPr>
                  </w:pPr>
                  <w:r>
                    <w:rPr>
                      <w:color w:val="auto"/>
                      <w:sz w:val="18"/>
                      <w:szCs w:val="18"/>
                    </w:rPr>
                    <w:t>项目</w:t>
                  </w:r>
                </w:p>
              </w:tc>
              <w:tc>
                <w:tcPr>
                  <w:tcW w:w="620" w:type="pct"/>
                  <w:tcBorders>
                    <w:top w:val="single" w:color="auto" w:sz="12" w:space="0"/>
                    <w:right w:val="single" w:color="auto" w:sz="2" w:space="0"/>
                  </w:tcBorders>
                  <w:noWrap w:val="0"/>
                  <w:vAlign w:val="center"/>
                </w:tcPr>
                <w:p>
                  <w:pPr>
                    <w:adjustRightInd w:val="0"/>
                    <w:snapToGrid w:val="0"/>
                    <w:jc w:val="center"/>
                    <w:rPr>
                      <w:color w:val="auto"/>
                      <w:sz w:val="18"/>
                      <w:szCs w:val="18"/>
                    </w:rPr>
                  </w:pPr>
                  <w:r>
                    <w:rPr>
                      <w:rStyle w:val="27"/>
                      <w:color w:val="auto"/>
                      <w:sz w:val="18"/>
                      <w:szCs w:val="18"/>
                    </w:rPr>
                    <w:t>pH</w:t>
                  </w:r>
                </w:p>
              </w:tc>
              <w:tc>
                <w:tcPr>
                  <w:tcW w:w="621" w:type="pct"/>
                  <w:tcBorders>
                    <w:top w:val="single" w:color="auto" w:sz="12" w:space="0"/>
                    <w:left w:val="single" w:color="auto" w:sz="2" w:space="0"/>
                  </w:tcBorders>
                  <w:noWrap w:val="0"/>
                  <w:vAlign w:val="center"/>
                </w:tcPr>
                <w:p>
                  <w:pPr>
                    <w:adjustRightInd w:val="0"/>
                    <w:snapToGrid w:val="0"/>
                    <w:jc w:val="center"/>
                    <w:rPr>
                      <w:color w:val="auto"/>
                      <w:sz w:val="18"/>
                      <w:szCs w:val="18"/>
                    </w:rPr>
                  </w:pPr>
                  <w:r>
                    <w:rPr>
                      <w:rStyle w:val="27"/>
                      <w:color w:val="auto"/>
                      <w:sz w:val="18"/>
                      <w:szCs w:val="18"/>
                    </w:rPr>
                    <w:t>C</w:t>
                  </w:r>
                  <w:r>
                    <w:rPr>
                      <w:color w:val="auto"/>
                      <w:sz w:val="18"/>
                      <w:szCs w:val="18"/>
                    </w:rPr>
                    <w:t>OD</w:t>
                  </w:r>
                </w:p>
              </w:tc>
              <w:tc>
                <w:tcPr>
                  <w:tcW w:w="621" w:type="pct"/>
                  <w:tcBorders>
                    <w:top w:val="single" w:color="auto" w:sz="12" w:space="0"/>
                  </w:tcBorders>
                  <w:noWrap w:val="0"/>
                  <w:vAlign w:val="center"/>
                </w:tcPr>
                <w:p>
                  <w:pPr>
                    <w:adjustRightInd w:val="0"/>
                    <w:snapToGrid w:val="0"/>
                    <w:jc w:val="center"/>
                    <w:rPr>
                      <w:color w:val="auto"/>
                      <w:sz w:val="18"/>
                      <w:szCs w:val="18"/>
                    </w:rPr>
                  </w:pPr>
                  <w:r>
                    <w:rPr>
                      <w:color w:val="auto"/>
                      <w:sz w:val="18"/>
                      <w:szCs w:val="18"/>
                    </w:rPr>
                    <w:t>SS</w:t>
                  </w:r>
                </w:p>
              </w:tc>
              <w:tc>
                <w:tcPr>
                  <w:tcW w:w="621" w:type="pct"/>
                  <w:tcBorders>
                    <w:top w:val="single" w:color="auto" w:sz="12" w:space="0"/>
                  </w:tcBorders>
                  <w:noWrap w:val="0"/>
                  <w:vAlign w:val="center"/>
                </w:tcPr>
                <w:p>
                  <w:pPr>
                    <w:adjustRightInd w:val="0"/>
                    <w:snapToGrid w:val="0"/>
                    <w:jc w:val="center"/>
                    <w:rPr>
                      <w:color w:val="auto"/>
                      <w:sz w:val="18"/>
                      <w:szCs w:val="18"/>
                    </w:rPr>
                  </w:pPr>
                  <w:r>
                    <w:rPr>
                      <w:color w:val="auto"/>
                      <w:sz w:val="18"/>
                      <w:szCs w:val="18"/>
                    </w:rPr>
                    <w:t>NH</w:t>
                  </w:r>
                  <w:r>
                    <w:rPr>
                      <w:color w:val="auto"/>
                      <w:sz w:val="18"/>
                      <w:szCs w:val="18"/>
                      <w:vertAlign w:val="subscript"/>
                    </w:rPr>
                    <w:t>3</w:t>
                  </w:r>
                  <w:r>
                    <w:rPr>
                      <w:color w:val="auto"/>
                      <w:sz w:val="18"/>
                      <w:szCs w:val="18"/>
                    </w:rPr>
                    <w:t>-N</w:t>
                  </w:r>
                </w:p>
              </w:tc>
              <w:tc>
                <w:tcPr>
                  <w:tcW w:w="622" w:type="pct"/>
                  <w:tcBorders>
                    <w:top w:val="single" w:color="auto" w:sz="12" w:space="0"/>
                    <w:right w:val="nil"/>
                  </w:tcBorders>
                  <w:noWrap w:val="0"/>
                  <w:vAlign w:val="center"/>
                </w:tcPr>
                <w:p>
                  <w:pPr>
                    <w:adjustRightInd w:val="0"/>
                    <w:snapToGrid w:val="0"/>
                    <w:jc w:val="center"/>
                    <w:rPr>
                      <w:color w:val="auto"/>
                      <w:sz w:val="18"/>
                      <w:szCs w:val="18"/>
                    </w:rPr>
                  </w:pPr>
                  <w:r>
                    <w:rPr>
                      <w:color w:val="auto"/>
                      <w:sz w:val="18"/>
                      <w:szCs w:val="18"/>
                    </w:rPr>
                    <w:t>TP</w:t>
                  </w:r>
                </w:p>
              </w:tc>
              <w:tc>
                <w:tcPr>
                  <w:tcW w:w="623" w:type="pct"/>
                  <w:tcBorders>
                    <w:top w:val="single" w:color="auto" w:sz="12" w:space="0"/>
                    <w:right w:val="nil"/>
                  </w:tcBorders>
                  <w:noWrap w:val="0"/>
                  <w:vAlign w:val="center"/>
                </w:tcPr>
                <w:p>
                  <w:pPr>
                    <w:adjustRightInd w:val="0"/>
                    <w:snapToGrid w:val="0"/>
                    <w:jc w:val="center"/>
                    <w:rPr>
                      <w:color w:val="auto"/>
                      <w:sz w:val="18"/>
                      <w:szCs w:val="18"/>
                    </w:rPr>
                  </w:pPr>
                  <w:r>
                    <w:rPr>
                      <w:rFonts w:hint="eastAsia"/>
                      <w:color w:val="auto"/>
                      <w:sz w:val="18"/>
                      <w:szCs w:val="18"/>
                    </w:rPr>
                    <w:t>TN</w:t>
                  </w:r>
                </w:p>
              </w:tc>
              <w:tc>
                <w:tcPr>
                  <w:tcW w:w="623" w:type="pct"/>
                  <w:tcBorders>
                    <w:top w:val="single" w:color="auto" w:sz="12" w:space="0"/>
                    <w:right w:val="nil"/>
                  </w:tcBorders>
                  <w:noWrap w:val="0"/>
                  <w:vAlign w:val="center"/>
                </w:tcPr>
                <w:p>
                  <w:pPr>
                    <w:adjustRightInd w:val="0"/>
                    <w:snapToGrid w:val="0"/>
                    <w:jc w:val="center"/>
                    <w:rPr>
                      <w:rFonts w:hint="eastAsia" w:eastAsia="宋体"/>
                      <w:color w:val="auto"/>
                      <w:sz w:val="18"/>
                      <w:szCs w:val="18"/>
                      <w:lang w:val="en-US" w:eastAsia="zh-CN"/>
                    </w:rPr>
                  </w:pPr>
                  <w:r>
                    <w:rPr>
                      <w:rFonts w:hint="eastAsia"/>
                      <w:color w:val="auto"/>
                      <w:sz w:val="18"/>
                      <w:szCs w:val="18"/>
                      <w:lang w:val="en-US" w:eastAsia="zh-CN"/>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7" w:hRule="atLeast"/>
                <w:jc w:val="center"/>
              </w:trPr>
              <w:tc>
                <w:tcPr>
                  <w:tcW w:w="645" w:type="pct"/>
                  <w:tcBorders>
                    <w:left w:val="nil"/>
                    <w:bottom w:val="single" w:color="auto" w:sz="12" w:space="0"/>
                  </w:tcBorders>
                  <w:noWrap w:val="0"/>
                  <w:vAlign w:val="center"/>
                </w:tcPr>
                <w:p>
                  <w:pPr>
                    <w:jc w:val="center"/>
                    <w:rPr>
                      <w:color w:val="auto"/>
                      <w:sz w:val="18"/>
                      <w:szCs w:val="18"/>
                    </w:rPr>
                  </w:pPr>
                  <w:r>
                    <w:rPr>
                      <w:color w:val="auto"/>
                      <w:sz w:val="18"/>
                      <w:szCs w:val="18"/>
                    </w:rPr>
                    <w:t>执行标准</w:t>
                  </w:r>
                </w:p>
              </w:tc>
              <w:tc>
                <w:tcPr>
                  <w:tcW w:w="620" w:type="pct"/>
                  <w:tcBorders>
                    <w:bottom w:val="single" w:color="auto" w:sz="12" w:space="0"/>
                    <w:right w:val="single" w:color="auto" w:sz="4" w:space="0"/>
                  </w:tcBorders>
                  <w:noWrap w:val="0"/>
                  <w:vAlign w:val="center"/>
                </w:tcPr>
                <w:p>
                  <w:pPr>
                    <w:adjustRightInd w:val="0"/>
                    <w:snapToGrid w:val="0"/>
                    <w:jc w:val="center"/>
                    <w:rPr>
                      <w:color w:val="auto"/>
                      <w:sz w:val="18"/>
                      <w:szCs w:val="18"/>
                    </w:rPr>
                  </w:pPr>
                  <w:r>
                    <w:rPr>
                      <w:color w:val="auto"/>
                      <w:sz w:val="18"/>
                      <w:szCs w:val="18"/>
                    </w:rPr>
                    <w:t>6</w:t>
                  </w:r>
                  <w:r>
                    <w:rPr>
                      <w:rFonts w:hint="eastAsia"/>
                      <w:color w:val="auto"/>
                      <w:sz w:val="18"/>
                      <w:szCs w:val="18"/>
                    </w:rPr>
                    <w:t>~</w:t>
                  </w:r>
                  <w:r>
                    <w:rPr>
                      <w:color w:val="auto"/>
                      <w:sz w:val="18"/>
                      <w:szCs w:val="18"/>
                    </w:rPr>
                    <w:t>9</w:t>
                  </w:r>
                </w:p>
              </w:tc>
              <w:tc>
                <w:tcPr>
                  <w:tcW w:w="621" w:type="pct"/>
                  <w:tcBorders>
                    <w:left w:val="single" w:color="auto" w:sz="4" w:space="0"/>
                    <w:bottom w:val="single" w:color="auto" w:sz="12" w:space="0"/>
                  </w:tcBorders>
                  <w:noWrap w:val="0"/>
                  <w:vAlign w:val="center"/>
                </w:tcPr>
                <w:p>
                  <w:pPr>
                    <w:adjustRightInd w:val="0"/>
                    <w:snapToGrid w:val="0"/>
                    <w:jc w:val="center"/>
                    <w:rPr>
                      <w:color w:val="auto"/>
                      <w:sz w:val="18"/>
                      <w:szCs w:val="18"/>
                    </w:rPr>
                  </w:pPr>
                  <w:r>
                    <w:rPr>
                      <w:color w:val="auto"/>
                      <w:sz w:val="18"/>
                      <w:szCs w:val="18"/>
                    </w:rPr>
                    <w:t>500</w:t>
                  </w:r>
                </w:p>
              </w:tc>
              <w:tc>
                <w:tcPr>
                  <w:tcW w:w="621" w:type="pct"/>
                  <w:tcBorders>
                    <w:bottom w:val="single" w:color="auto" w:sz="12" w:space="0"/>
                  </w:tcBorders>
                  <w:noWrap w:val="0"/>
                  <w:vAlign w:val="center"/>
                </w:tcPr>
                <w:p>
                  <w:pPr>
                    <w:adjustRightInd w:val="0"/>
                    <w:snapToGrid w:val="0"/>
                    <w:jc w:val="center"/>
                    <w:rPr>
                      <w:color w:val="auto"/>
                      <w:sz w:val="18"/>
                      <w:szCs w:val="18"/>
                    </w:rPr>
                  </w:pPr>
                  <w:r>
                    <w:rPr>
                      <w:color w:val="auto"/>
                      <w:sz w:val="18"/>
                      <w:szCs w:val="18"/>
                    </w:rPr>
                    <w:t>400</w:t>
                  </w:r>
                </w:p>
              </w:tc>
              <w:tc>
                <w:tcPr>
                  <w:tcW w:w="621" w:type="pct"/>
                  <w:tcBorders>
                    <w:bottom w:val="single" w:color="auto" w:sz="12" w:space="0"/>
                  </w:tcBorders>
                  <w:noWrap w:val="0"/>
                  <w:vAlign w:val="center"/>
                </w:tcPr>
                <w:p>
                  <w:pPr>
                    <w:adjustRightInd w:val="0"/>
                    <w:snapToGrid w:val="0"/>
                    <w:jc w:val="center"/>
                    <w:rPr>
                      <w:color w:val="auto"/>
                      <w:sz w:val="18"/>
                      <w:szCs w:val="18"/>
                    </w:rPr>
                  </w:pPr>
                  <w:r>
                    <w:rPr>
                      <w:color w:val="auto"/>
                      <w:sz w:val="18"/>
                      <w:szCs w:val="18"/>
                    </w:rPr>
                    <w:t>45</w:t>
                  </w:r>
                </w:p>
              </w:tc>
              <w:tc>
                <w:tcPr>
                  <w:tcW w:w="622" w:type="pct"/>
                  <w:tcBorders>
                    <w:bottom w:val="single" w:color="auto" w:sz="12" w:space="0"/>
                    <w:right w:val="nil"/>
                  </w:tcBorders>
                  <w:noWrap w:val="0"/>
                  <w:vAlign w:val="center"/>
                </w:tcPr>
                <w:p>
                  <w:pPr>
                    <w:adjustRightInd w:val="0"/>
                    <w:snapToGrid w:val="0"/>
                    <w:jc w:val="center"/>
                    <w:rPr>
                      <w:color w:val="auto"/>
                      <w:sz w:val="18"/>
                      <w:szCs w:val="18"/>
                    </w:rPr>
                  </w:pPr>
                  <w:r>
                    <w:rPr>
                      <w:rStyle w:val="27"/>
                      <w:color w:val="auto"/>
                      <w:sz w:val="18"/>
                      <w:szCs w:val="18"/>
                    </w:rPr>
                    <w:t>8</w:t>
                  </w:r>
                </w:p>
              </w:tc>
              <w:tc>
                <w:tcPr>
                  <w:tcW w:w="623" w:type="pct"/>
                  <w:tcBorders>
                    <w:bottom w:val="single" w:color="auto" w:sz="12" w:space="0"/>
                    <w:right w:val="nil"/>
                  </w:tcBorders>
                  <w:noWrap w:val="0"/>
                  <w:vAlign w:val="center"/>
                </w:tcPr>
                <w:p>
                  <w:pPr>
                    <w:adjustRightInd w:val="0"/>
                    <w:snapToGrid w:val="0"/>
                    <w:jc w:val="center"/>
                    <w:rPr>
                      <w:color w:val="auto"/>
                      <w:sz w:val="18"/>
                      <w:szCs w:val="18"/>
                    </w:rPr>
                  </w:pPr>
                  <w:r>
                    <w:rPr>
                      <w:rFonts w:hint="eastAsia"/>
                      <w:color w:val="auto"/>
                      <w:sz w:val="18"/>
                      <w:szCs w:val="18"/>
                    </w:rPr>
                    <w:t>70</w:t>
                  </w:r>
                </w:p>
              </w:tc>
              <w:tc>
                <w:tcPr>
                  <w:tcW w:w="623" w:type="pct"/>
                  <w:tcBorders>
                    <w:bottom w:val="single" w:color="auto" w:sz="12" w:space="0"/>
                    <w:right w:val="nil"/>
                  </w:tcBorders>
                  <w:noWrap w:val="0"/>
                  <w:vAlign w:val="center"/>
                </w:tcPr>
                <w:p>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100</w:t>
                  </w:r>
                </w:p>
              </w:tc>
            </w:tr>
          </w:tbl>
          <w:p>
            <w:pPr>
              <w:spacing w:line="500" w:lineRule="exact"/>
              <w:ind w:firstLine="422" w:firstLineChars="200"/>
              <w:jc w:val="center"/>
              <w:rPr>
                <w:rFonts w:hint="eastAsia" w:eastAsia="宋体"/>
                <w:b/>
                <w:color w:val="auto"/>
                <w:szCs w:val="21"/>
                <w:lang w:eastAsia="zh-CN"/>
              </w:rPr>
            </w:pPr>
            <w:r>
              <w:rPr>
                <w:b/>
                <w:color w:val="auto"/>
                <w:szCs w:val="21"/>
              </w:rPr>
              <w:t>表</w:t>
            </w:r>
            <w:r>
              <w:rPr>
                <w:rFonts w:hint="eastAsia"/>
                <w:b/>
                <w:color w:val="auto"/>
                <w:szCs w:val="21"/>
              </w:rPr>
              <w:t>3-</w:t>
            </w:r>
            <w:r>
              <w:rPr>
                <w:rFonts w:hint="eastAsia"/>
                <w:b/>
                <w:color w:val="auto"/>
                <w:szCs w:val="21"/>
                <w:lang w:val="en-US" w:eastAsia="zh-CN"/>
              </w:rPr>
              <w:t>9</w:t>
            </w:r>
            <w:r>
              <w:rPr>
                <w:rFonts w:hint="eastAsia"/>
                <w:b/>
                <w:color w:val="auto"/>
                <w:szCs w:val="21"/>
                <w:lang w:eastAsia="zh-CN"/>
              </w:rPr>
              <w:t xml:space="preserve">  尾水</w:t>
            </w:r>
            <w:r>
              <w:rPr>
                <w:rFonts w:hint="eastAsia"/>
                <w:b/>
                <w:color w:val="auto"/>
                <w:szCs w:val="21"/>
              </w:rPr>
              <w:t>排放标准</w:t>
            </w:r>
            <w:r>
              <w:rPr>
                <w:rFonts w:hint="eastAsia"/>
                <w:b/>
                <w:color w:val="auto"/>
                <w:szCs w:val="21"/>
                <w:lang w:eastAsia="zh-CN"/>
              </w:rPr>
              <w:t>（</w:t>
            </w:r>
            <w:r>
              <w:rPr>
                <w:rFonts w:hint="eastAsia"/>
                <w:b/>
                <w:color w:val="auto"/>
                <w:szCs w:val="21"/>
              </w:rPr>
              <w:t>GB18918-2002</w:t>
            </w:r>
            <w:r>
              <w:rPr>
                <w:rFonts w:hint="eastAsia"/>
                <w:b/>
                <w:color w:val="auto"/>
                <w:szCs w:val="21"/>
                <w:lang w:eastAsia="zh-CN"/>
              </w:rPr>
              <w:t>）（</w:t>
            </w:r>
            <w:r>
              <w:rPr>
                <w:b/>
                <w:bCs/>
                <w:color w:val="auto"/>
                <w:szCs w:val="21"/>
              </w:rPr>
              <w:t>单位：mg/L，pH无量纲</w:t>
            </w:r>
            <w:r>
              <w:rPr>
                <w:rFonts w:hint="eastAsia"/>
                <w:b/>
                <w:color w:val="auto"/>
                <w:szCs w:val="21"/>
                <w:lang w:eastAsia="zh-CN"/>
              </w:rPr>
              <w:t>）</w:t>
            </w:r>
          </w:p>
          <w:tbl>
            <w:tblPr>
              <w:tblStyle w:val="21"/>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123"/>
              <w:gridCol w:w="1000"/>
              <w:gridCol w:w="1002"/>
              <w:gridCol w:w="1002"/>
              <w:gridCol w:w="1002"/>
              <w:gridCol w:w="1002"/>
              <w:gridCol w:w="1002"/>
              <w:gridCol w:w="100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7" w:hRule="atLeast"/>
                <w:jc w:val="center"/>
              </w:trPr>
              <w:tc>
                <w:tcPr>
                  <w:tcW w:w="690" w:type="pct"/>
                  <w:tcBorders>
                    <w:tl2br w:val="nil"/>
                    <w:tr2bl w:val="nil"/>
                  </w:tcBorders>
                  <w:noWrap w:val="0"/>
                  <w:vAlign w:val="center"/>
                </w:tcPr>
                <w:p>
                  <w:pPr>
                    <w:jc w:val="center"/>
                    <w:rPr>
                      <w:color w:val="auto"/>
                      <w:sz w:val="18"/>
                      <w:szCs w:val="18"/>
                    </w:rPr>
                  </w:pPr>
                  <w:r>
                    <w:rPr>
                      <w:color w:val="auto"/>
                      <w:sz w:val="18"/>
                      <w:szCs w:val="18"/>
                    </w:rPr>
                    <w:t>项目</w:t>
                  </w:r>
                </w:p>
              </w:tc>
              <w:tc>
                <w:tcPr>
                  <w:tcW w:w="614" w:type="pct"/>
                  <w:tcBorders>
                    <w:tl2br w:val="nil"/>
                    <w:tr2bl w:val="nil"/>
                  </w:tcBorders>
                  <w:noWrap w:val="0"/>
                  <w:vAlign w:val="center"/>
                </w:tcPr>
                <w:p>
                  <w:pPr>
                    <w:adjustRightInd w:val="0"/>
                    <w:snapToGrid w:val="0"/>
                    <w:jc w:val="center"/>
                    <w:rPr>
                      <w:color w:val="auto"/>
                      <w:sz w:val="18"/>
                      <w:szCs w:val="18"/>
                    </w:rPr>
                  </w:pPr>
                  <w:r>
                    <w:rPr>
                      <w:rStyle w:val="27"/>
                      <w:color w:val="auto"/>
                      <w:sz w:val="18"/>
                      <w:szCs w:val="18"/>
                    </w:rPr>
                    <w:t>pH</w:t>
                  </w:r>
                </w:p>
              </w:tc>
              <w:tc>
                <w:tcPr>
                  <w:tcW w:w="615" w:type="pct"/>
                  <w:tcBorders>
                    <w:tl2br w:val="nil"/>
                    <w:tr2bl w:val="nil"/>
                  </w:tcBorders>
                  <w:noWrap w:val="0"/>
                  <w:vAlign w:val="center"/>
                </w:tcPr>
                <w:p>
                  <w:pPr>
                    <w:adjustRightInd w:val="0"/>
                    <w:snapToGrid w:val="0"/>
                    <w:jc w:val="center"/>
                    <w:rPr>
                      <w:color w:val="auto"/>
                      <w:sz w:val="18"/>
                      <w:szCs w:val="18"/>
                    </w:rPr>
                  </w:pPr>
                  <w:r>
                    <w:rPr>
                      <w:color w:val="auto"/>
                      <w:sz w:val="18"/>
                      <w:szCs w:val="18"/>
                    </w:rPr>
                    <w:t>COD</w:t>
                  </w:r>
                </w:p>
              </w:tc>
              <w:tc>
                <w:tcPr>
                  <w:tcW w:w="615" w:type="pct"/>
                  <w:tcBorders>
                    <w:tl2br w:val="nil"/>
                    <w:tr2bl w:val="nil"/>
                  </w:tcBorders>
                  <w:noWrap w:val="0"/>
                  <w:vAlign w:val="center"/>
                </w:tcPr>
                <w:p>
                  <w:pPr>
                    <w:adjustRightInd w:val="0"/>
                    <w:snapToGrid w:val="0"/>
                    <w:jc w:val="center"/>
                    <w:rPr>
                      <w:color w:val="auto"/>
                      <w:sz w:val="18"/>
                      <w:szCs w:val="18"/>
                    </w:rPr>
                  </w:pPr>
                  <w:r>
                    <w:rPr>
                      <w:color w:val="auto"/>
                      <w:sz w:val="18"/>
                      <w:szCs w:val="18"/>
                    </w:rPr>
                    <w:t>SS</w:t>
                  </w:r>
                </w:p>
              </w:tc>
              <w:tc>
                <w:tcPr>
                  <w:tcW w:w="615" w:type="pct"/>
                  <w:tcBorders>
                    <w:tl2br w:val="nil"/>
                    <w:tr2bl w:val="nil"/>
                  </w:tcBorders>
                  <w:noWrap w:val="0"/>
                  <w:vAlign w:val="center"/>
                </w:tcPr>
                <w:p>
                  <w:pPr>
                    <w:adjustRightInd w:val="0"/>
                    <w:snapToGrid w:val="0"/>
                    <w:jc w:val="center"/>
                    <w:rPr>
                      <w:color w:val="auto"/>
                      <w:sz w:val="18"/>
                      <w:szCs w:val="18"/>
                    </w:rPr>
                  </w:pPr>
                  <w:r>
                    <w:rPr>
                      <w:color w:val="auto"/>
                      <w:sz w:val="18"/>
                      <w:szCs w:val="18"/>
                    </w:rPr>
                    <w:t>NH</w:t>
                  </w:r>
                  <w:r>
                    <w:rPr>
                      <w:color w:val="auto"/>
                      <w:sz w:val="18"/>
                      <w:szCs w:val="18"/>
                      <w:vertAlign w:val="subscript"/>
                    </w:rPr>
                    <w:t>3</w:t>
                  </w:r>
                  <w:r>
                    <w:rPr>
                      <w:color w:val="auto"/>
                      <w:sz w:val="18"/>
                      <w:szCs w:val="18"/>
                    </w:rPr>
                    <w:t>-N</w:t>
                  </w:r>
                </w:p>
              </w:tc>
              <w:tc>
                <w:tcPr>
                  <w:tcW w:w="615" w:type="pct"/>
                  <w:tcBorders>
                    <w:tl2br w:val="nil"/>
                    <w:tr2bl w:val="nil"/>
                  </w:tcBorders>
                  <w:noWrap w:val="0"/>
                  <w:vAlign w:val="center"/>
                </w:tcPr>
                <w:p>
                  <w:pPr>
                    <w:adjustRightInd w:val="0"/>
                    <w:snapToGrid w:val="0"/>
                    <w:jc w:val="center"/>
                    <w:rPr>
                      <w:color w:val="auto"/>
                      <w:sz w:val="18"/>
                      <w:szCs w:val="18"/>
                    </w:rPr>
                  </w:pPr>
                  <w:r>
                    <w:rPr>
                      <w:color w:val="auto"/>
                      <w:sz w:val="18"/>
                      <w:szCs w:val="18"/>
                    </w:rPr>
                    <w:t>TP</w:t>
                  </w:r>
                </w:p>
              </w:tc>
              <w:tc>
                <w:tcPr>
                  <w:tcW w:w="615" w:type="pct"/>
                  <w:tcBorders>
                    <w:tl2br w:val="nil"/>
                    <w:tr2bl w:val="nil"/>
                  </w:tcBorders>
                  <w:noWrap w:val="0"/>
                  <w:vAlign w:val="center"/>
                </w:tcPr>
                <w:p>
                  <w:pPr>
                    <w:adjustRightInd w:val="0"/>
                    <w:snapToGrid w:val="0"/>
                    <w:jc w:val="center"/>
                    <w:rPr>
                      <w:color w:val="auto"/>
                      <w:sz w:val="18"/>
                      <w:szCs w:val="18"/>
                    </w:rPr>
                  </w:pPr>
                  <w:r>
                    <w:rPr>
                      <w:rFonts w:hint="eastAsia"/>
                      <w:color w:val="auto"/>
                      <w:sz w:val="18"/>
                      <w:szCs w:val="18"/>
                    </w:rPr>
                    <w:t>TN</w:t>
                  </w:r>
                </w:p>
              </w:tc>
              <w:tc>
                <w:tcPr>
                  <w:tcW w:w="615" w:type="pct"/>
                  <w:tcBorders>
                    <w:tl2br w:val="nil"/>
                    <w:tr2bl w:val="nil"/>
                  </w:tcBorders>
                  <w:noWrap w:val="0"/>
                  <w:vAlign w:val="center"/>
                </w:tcPr>
                <w:p>
                  <w:pPr>
                    <w:adjustRightInd w:val="0"/>
                    <w:snapToGrid w:val="0"/>
                    <w:jc w:val="center"/>
                    <w:rPr>
                      <w:rFonts w:hint="eastAsia" w:eastAsia="宋体"/>
                      <w:color w:val="auto"/>
                      <w:sz w:val="18"/>
                      <w:szCs w:val="18"/>
                      <w:lang w:val="en-US" w:eastAsia="zh-CN"/>
                    </w:rPr>
                  </w:pPr>
                  <w:r>
                    <w:rPr>
                      <w:rFonts w:hint="eastAsia"/>
                      <w:color w:val="auto"/>
                      <w:sz w:val="18"/>
                      <w:szCs w:val="18"/>
                      <w:lang w:val="en-US" w:eastAsia="zh-CN"/>
                    </w:rPr>
                    <w:t>动植物油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7" w:hRule="atLeast"/>
                <w:jc w:val="center"/>
              </w:trPr>
              <w:tc>
                <w:tcPr>
                  <w:tcW w:w="690" w:type="pct"/>
                  <w:tcBorders>
                    <w:tl2br w:val="nil"/>
                    <w:tr2bl w:val="nil"/>
                  </w:tcBorders>
                  <w:noWrap w:val="0"/>
                  <w:vAlign w:val="center"/>
                </w:tcPr>
                <w:p>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日均限制</w:t>
                  </w:r>
                </w:p>
              </w:tc>
              <w:tc>
                <w:tcPr>
                  <w:tcW w:w="614" w:type="pct"/>
                  <w:tcBorders>
                    <w:tl2br w:val="nil"/>
                    <w:tr2bl w:val="nil"/>
                  </w:tcBorders>
                  <w:noWrap w:val="0"/>
                  <w:vAlign w:val="center"/>
                </w:tcPr>
                <w:p>
                  <w:pPr>
                    <w:adjustRightInd w:val="0"/>
                    <w:snapToGrid w:val="0"/>
                    <w:jc w:val="center"/>
                    <w:rPr>
                      <w:color w:val="auto"/>
                      <w:sz w:val="18"/>
                      <w:szCs w:val="18"/>
                    </w:rPr>
                  </w:pPr>
                  <w:r>
                    <w:rPr>
                      <w:color w:val="auto"/>
                      <w:sz w:val="18"/>
                      <w:szCs w:val="18"/>
                    </w:rPr>
                    <w:t>6</w:t>
                  </w:r>
                  <w:r>
                    <w:rPr>
                      <w:rFonts w:hint="eastAsia"/>
                      <w:color w:val="auto"/>
                      <w:sz w:val="18"/>
                      <w:szCs w:val="18"/>
                    </w:rPr>
                    <w:t>~</w:t>
                  </w:r>
                  <w:r>
                    <w:rPr>
                      <w:color w:val="auto"/>
                      <w:sz w:val="18"/>
                      <w:szCs w:val="18"/>
                    </w:rPr>
                    <w:t>9</w:t>
                  </w:r>
                </w:p>
              </w:tc>
              <w:tc>
                <w:tcPr>
                  <w:tcW w:w="615" w:type="pct"/>
                  <w:tcBorders>
                    <w:tl2br w:val="nil"/>
                    <w:tr2bl w:val="nil"/>
                  </w:tcBorders>
                  <w:noWrap w:val="0"/>
                  <w:vAlign w:val="center"/>
                </w:tcPr>
                <w:p>
                  <w:pPr>
                    <w:adjustRightInd w:val="0"/>
                    <w:snapToGrid w:val="0"/>
                    <w:jc w:val="center"/>
                    <w:rPr>
                      <w:color w:val="auto"/>
                      <w:sz w:val="18"/>
                      <w:szCs w:val="18"/>
                    </w:rPr>
                  </w:pPr>
                  <w:r>
                    <w:rPr>
                      <w:color w:val="auto"/>
                      <w:sz w:val="18"/>
                      <w:szCs w:val="18"/>
                    </w:rPr>
                    <w:t>50</w:t>
                  </w:r>
                </w:p>
              </w:tc>
              <w:tc>
                <w:tcPr>
                  <w:tcW w:w="615" w:type="pct"/>
                  <w:tcBorders>
                    <w:tl2br w:val="nil"/>
                    <w:tr2bl w:val="nil"/>
                  </w:tcBorders>
                  <w:noWrap w:val="0"/>
                  <w:vAlign w:val="center"/>
                </w:tcPr>
                <w:p>
                  <w:pPr>
                    <w:adjustRightInd w:val="0"/>
                    <w:snapToGrid w:val="0"/>
                    <w:jc w:val="center"/>
                    <w:rPr>
                      <w:color w:val="auto"/>
                      <w:sz w:val="18"/>
                      <w:szCs w:val="18"/>
                    </w:rPr>
                  </w:pPr>
                  <w:r>
                    <w:rPr>
                      <w:color w:val="auto"/>
                      <w:sz w:val="18"/>
                      <w:szCs w:val="18"/>
                    </w:rPr>
                    <w:t>10</w:t>
                  </w:r>
                </w:p>
              </w:tc>
              <w:tc>
                <w:tcPr>
                  <w:tcW w:w="615" w:type="pct"/>
                  <w:tcBorders>
                    <w:tl2br w:val="nil"/>
                    <w:tr2bl w:val="nil"/>
                  </w:tcBorders>
                  <w:noWrap w:val="0"/>
                  <w:vAlign w:val="center"/>
                </w:tcPr>
                <w:p>
                  <w:pPr>
                    <w:adjustRightInd w:val="0"/>
                    <w:snapToGrid w:val="0"/>
                    <w:jc w:val="center"/>
                    <w:rPr>
                      <w:color w:val="auto"/>
                      <w:sz w:val="18"/>
                      <w:szCs w:val="18"/>
                    </w:rPr>
                  </w:pPr>
                  <w:r>
                    <w:rPr>
                      <w:rFonts w:hint="eastAsia"/>
                      <w:color w:val="auto"/>
                      <w:sz w:val="18"/>
                      <w:szCs w:val="18"/>
                      <w:lang w:val="en-US" w:eastAsia="zh-CN"/>
                    </w:rPr>
                    <w:t>5</w:t>
                  </w:r>
                  <w:r>
                    <w:rPr>
                      <w:color w:val="auto"/>
                      <w:sz w:val="18"/>
                      <w:szCs w:val="18"/>
                    </w:rPr>
                    <w:t>（</w:t>
                  </w:r>
                  <w:r>
                    <w:rPr>
                      <w:rFonts w:hint="eastAsia"/>
                      <w:color w:val="auto"/>
                      <w:sz w:val="18"/>
                      <w:szCs w:val="18"/>
                      <w:lang w:val="en-US" w:eastAsia="zh-CN"/>
                    </w:rPr>
                    <w:t>8</w:t>
                  </w:r>
                  <w:r>
                    <w:rPr>
                      <w:color w:val="auto"/>
                      <w:sz w:val="18"/>
                      <w:szCs w:val="18"/>
                    </w:rPr>
                    <w:t>）</w:t>
                  </w:r>
                  <w:r>
                    <w:rPr>
                      <w:rFonts w:hint="eastAsia"/>
                      <w:b w:val="0"/>
                      <w:bCs w:val="0"/>
                      <w:color w:val="auto"/>
                      <w:sz w:val="15"/>
                      <w:szCs w:val="15"/>
                      <w:vertAlign w:val="superscript"/>
                    </w:rPr>
                    <w:t>①</w:t>
                  </w:r>
                </w:p>
              </w:tc>
              <w:tc>
                <w:tcPr>
                  <w:tcW w:w="615" w:type="pct"/>
                  <w:tcBorders>
                    <w:tl2br w:val="nil"/>
                    <w:tr2bl w:val="nil"/>
                  </w:tcBorders>
                  <w:noWrap w:val="0"/>
                  <w:vAlign w:val="center"/>
                </w:tcPr>
                <w:p>
                  <w:pPr>
                    <w:adjustRightInd w:val="0"/>
                    <w:snapToGrid w:val="0"/>
                    <w:jc w:val="center"/>
                    <w:rPr>
                      <w:color w:val="auto"/>
                      <w:sz w:val="18"/>
                      <w:szCs w:val="18"/>
                    </w:rPr>
                  </w:pPr>
                  <w:r>
                    <w:rPr>
                      <w:color w:val="auto"/>
                      <w:sz w:val="18"/>
                      <w:szCs w:val="18"/>
                    </w:rPr>
                    <w:t>0.5</w:t>
                  </w:r>
                </w:p>
              </w:tc>
              <w:tc>
                <w:tcPr>
                  <w:tcW w:w="615" w:type="pct"/>
                  <w:tcBorders>
                    <w:tl2br w:val="nil"/>
                    <w:tr2bl w:val="nil"/>
                  </w:tcBorders>
                  <w:noWrap w:val="0"/>
                  <w:vAlign w:val="center"/>
                </w:tcPr>
                <w:p>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15</w:t>
                  </w:r>
                </w:p>
              </w:tc>
              <w:tc>
                <w:tcPr>
                  <w:tcW w:w="615" w:type="pct"/>
                  <w:tcBorders>
                    <w:tl2br w:val="nil"/>
                    <w:tr2bl w:val="nil"/>
                  </w:tcBorders>
                  <w:noWrap w:val="0"/>
                  <w:vAlign w:val="center"/>
                </w:tcPr>
                <w:p>
                  <w:pPr>
                    <w:adjustRightInd w:val="0"/>
                    <w:snapToGrid w:val="0"/>
                    <w:jc w:val="center"/>
                    <w:rPr>
                      <w:rFonts w:hint="default"/>
                      <w:color w:val="auto"/>
                      <w:sz w:val="18"/>
                      <w:szCs w:val="18"/>
                      <w:lang w:val="en-US" w:eastAsia="zh-CN"/>
                    </w:rPr>
                  </w:pPr>
                  <w:r>
                    <w:rPr>
                      <w:rFonts w:hint="eastAsia"/>
                      <w:color w:val="auto"/>
                      <w:sz w:val="18"/>
                      <w:szCs w:val="18"/>
                      <w:lang w:val="en-US" w:eastAsia="zh-CN"/>
                    </w:rPr>
                    <w:t>1</w:t>
                  </w:r>
                </w:p>
              </w:tc>
            </w:tr>
          </w:tbl>
          <w:p>
            <w:pPr>
              <w:rPr>
                <w:rFonts w:hint="eastAsia"/>
                <w:b/>
                <w:bCs/>
                <w:color w:val="auto"/>
                <w:sz w:val="15"/>
                <w:szCs w:val="15"/>
                <w:lang w:val="en-US" w:eastAsia="zh-CN"/>
              </w:rPr>
            </w:pPr>
            <w:r>
              <w:rPr>
                <w:b/>
                <w:bCs/>
                <w:color w:val="auto"/>
                <w:sz w:val="15"/>
                <w:szCs w:val="15"/>
              </w:rPr>
              <w:t>注：</w:t>
            </w:r>
            <w:r>
              <w:rPr>
                <w:rFonts w:hint="eastAsia"/>
                <w:b/>
                <w:bCs/>
                <w:color w:val="auto"/>
                <w:sz w:val="15"/>
                <w:szCs w:val="15"/>
              </w:rPr>
              <w:t>①</w:t>
            </w:r>
            <w:r>
              <w:rPr>
                <w:rFonts w:hint="eastAsia"/>
                <w:b/>
                <w:bCs/>
                <w:color w:val="auto"/>
                <w:sz w:val="15"/>
                <w:szCs w:val="15"/>
                <w:lang w:eastAsia="zh-CN"/>
              </w:rPr>
              <w:t>：</w:t>
            </w:r>
            <w:r>
              <w:rPr>
                <w:rFonts w:hint="eastAsia"/>
                <w:b/>
                <w:bCs/>
                <w:color w:val="auto"/>
                <w:sz w:val="15"/>
                <w:szCs w:val="15"/>
                <w:lang w:val="en-US" w:eastAsia="zh-CN"/>
              </w:rPr>
              <w:t>括号外数值为水温&gt;12℃时的控制指标，括号内数值为水温≤12℃时的控制指标。</w:t>
            </w:r>
          </w:p>
          <w:p>
            <w:pPr>
              <w:keepNext w:val="0"/>
              <w:keepLines w:val="0"/>
              <w:pageBreakBefore w:val="0"/>
              <w:widowControl w:val="0"/>
              <w:kinsoku/>
              <w:wordWrap/>
              <w:overflowPunct/>
              <w:topLinePunct w:val="0"/>
              <w:autoSpaceDE/>
              <w:autoSpaceDN/>
              <w:bidi w:val="0"/>
              <w:adjustRightInd/>
              <w:snapToGrid/>
              <w:spacing w:line="500" w:lineRule="exact"/>
              <w:ind w:firstLine="422" w:firstLineChars="200"/>
              <w:jc w:val="center"/>
              <w:textAlignment w:val="auto"/>
              <w:rPr>
                <w:rFonts w:hint="eastAsia" w:eastAsia="宋体"/>
                <w:b/>
                <w:color w:val="auto"/>
                <w:szCs w:val="21"/>
                <w:lang w:eastAsia="zh-CN"/>
              </w:rPr>
            </w:pPr>
            <w:r>
              <w:rPr>
                <w:b/>
                <w:color w:val="auto"/>
                <w:szCs w:val="21"/>
              </w:rPr>
              <w:t>表</w:t>
            </w:r>
            <w:r>
              <w:rPr>
                <w:rFonts w:hint="eastAsia"/>
                <w:b/>
                <w:color w:val="auto"/>
                <w:szCs w:val="21"/>
              </w:rPr>
              <w:t>3-</w:t>
            </w:r>
            <w:r>
              <w:rPr>
                <w:rFonts w:hint="eastAsia"/>
                <w:b/>
                <w:color w:val="auto"/>
                <w:szCs w:val="21"/>
                <w:lang w:val="en-US" w:eastAsia="zh-CN"/>
              </w:rPr>
              <w:t>10</w:t>
            </w:r>
            <w:r>
              <w:rPr>
                <w:rFonts w:hint="eastAsia"/>
                <w:b/>
                <w:color w:val="auto"/>
                <w:szCs w:val="21"/>
                <w:lang w:eastAsia="zh-CN"/>
              </w:rPr>
              <w:t xml:space="preserve">  尾水</w:t>
            </w:r>
            <w:r>
              <w:rPr>
                <w:rFonts w:hint="eastAsia"/>
                <w:b/>
                <w:color w:val="auto"/>
                <w:szCs w:val="21"/>
              </w:rPr>
              <w:t>排放标准</w:t>
            </w:r>
            <w:r>
              <w:rPr>
                <w:rFonts w:hint="eastAsia"/>
                <w:b/>
                <w:color w:val="auto"/>
                <w:szCs w:val="21"/>
                <w:lang w:eastAsia="zh-CN"/>
              </w:rPr>
              <w:t>（</w:t>
            </w:r>
            <w:r>
              <w:rPr>
                <w:rFonts w:hint="eastAsia"/>
                <w:b/>
                <w:color w:val="auto"/>
                <w:szCs w:val="21"/>
              </w:rPr>
              <w:t>DB32/4440-2022</w:t>
            </w:r>
            <w:r>
              <w:rPr>
                <w:rFonts w:hint="eastAsia"/>
                <w:b/>
                <w:color w:val="auto"/>
                <w:szCs w:val="21"/>
                <w:lang w:eastAsia="zh-CN"/>
              </w:rPr>
              <w:t>）（</w:t>
            </w:r>
            <w:r>
              <w:rPr>
                <w:b/>
                <w:bCs/>
                <w:color w:val="auto"/>
                <w:szCs w:val="21"/>
              </w:rPr>
              <w:t>单位：mg/L，pH无量纲</w:t>
            </w:r>
            <w:r>
              <w:rPr>
                <w:rFonts w:hint="eastAsia"/>
                <w:b/>
                <w:color w:val="auto"/>
                <w:szCs w:val="21"/>
                <w:lang w:eastAsia="zh-CN"/>
              </w:rPr>
              <w:t>）</w:t>
            </w:r>
          </w:p>
          <w:tbl>
            <w:tblPr>
              <w:tblStyle w:val="2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124"/>
              <w:gridCol w:w="1000"/>
              <w:gridCol w:w="1000"/>
              <w:gridCol w:w="1000"/>
              <w:gridCol w:w="1000"/>
              <w:gridCol w:w="1000"/>
              <w:gridCol w:w="1000"/>
              <w:gridCol w:w="10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7" w:hRule="atLeast"/>
                <w:jc w:val="center"/>
              </w:trPr>
              <w:tc>
                <w:tcPr>
                  <w:tcW w:w="691" w:type="pct"/>
                  <w:tcBorders>
                    <w:top w:val="single" w:color="auto" w:sz="12" w:space="0"/>
                    <w:left w:val="nil"/>
                  </w:tcBorders>
                  <w:noWrap w:val="0"/>
                  <w:vAlign w:val="center"/>
                </w:tcPr>
                <w:p>
                  <w:pPr>
                    <w:jc w:val="center"/>
                    <w:rPr>
                      <w:color w:val="auto"/>
                      <w:sz w:val="18"/>
                      <w:szCs w:val="18"/>
                    </w:rPr>
                  </w:pPr>
                  <w:r>
                    <w:rPr>
                      <w:color w:val="auto"/>
                      <w:sz w:val="18"/>
                      <w:szCs w:val="18"/>
                    </w:rPr>
                    <w:t>项目</w:t>
                  </w:r>
                </w:p>
              </w:tc>
              <w:tc>
                <w:tcPr>
                  <w:tcW w:w="615" w:type="pct"/>
                  <w:tcBorders>
                    <w:top w:val="single" w:color="auto" w:sz="12" w:space="0"/>
                    <w:right w:val="single" w:color="auto" w:sz="2" w:space="0"/>
                  </w:tcBorders>
                  <w:noWrap w:val="0"/>
                  <w:vAlign w:val="center"/>
                </w:tcPr>
                <w:p>
                  <w:pPr>
                    <w:adjustRightInd w:val="0"/>
                    <w:snapToGrid w:val="0"/>
                    <w:jc w:val="center"/>
                    <w:rPr>
                      <w:color w:val="auto"/>
                      <w:sz w:val="18"/>
                      <w:szCs w:val="18"/>
                    </w:rPr>
                  </w:pPr>
                  <w:r>
                    <w:rPr>
                      <w:rStyle w:val="27"/>
                      <w:color w:val="auto"/>
                      <w:sz w:val="18"/>
                      <w:szCs w:val="18"/>
                    </w:rPr>
                    <w:t>pH</w:t>
                  </w:r>
                </w:p>
              </w:tc>
              <w:tc>
                <w:tcPr>
                  <w:tcW w:w="615" w:type="pct"/>
                  <w:tcBorders>
                    <w:top w:val="single" w:color="auto" w:sz="12" w:space="0"/>
                    <w:left w:val="single" w:color="auto" w:sz="2" w:space="0"/>
                  </w:tcBorders>
                  <w:noWrap w:val="0"/>
                  <w:vAlign w:val="center"/>
                </w:tcPr>
                <w:p>
                  <w:pPr>
                    <w:adjustRightInd w:val="0"/>
                    <w:snapToGrid w:val="0"/>
                    <w:jc w:val="center"/>
                    <w:rPr>
                      <w:color w:val="auto"/>
                      <w:sz w:val="18"/>
                      <w:szCs w:val="18"/>
                    </w:rPr>
                  </w:pPr>
                  <w:r>
                    <w:rPr>
                      <w:color w:val="auto"/>
                      <w:sz w:val="18"/>
                      <w:szCs w:val="18"/>
                    </w:rPr>
                    <w:t>COD</w:t>
                  </w:r>
                </w:p>
              </w:tc>
              <w:tc>
                <w:tcPr>
                  <w:tcW w:w="615" w:type="pct"/>
                  <w:tcBorders>
                    <w:top w:val="single" w:color="auto" w:sz="12" w:space="0"/>
                  </w:tcBorders>
                  <w:noWrap w:val="0"/>
                  <w:vAlign w:val="center"/>
                </w:tcPr>
                <w:p>
                  <w:pPr>
                    <w:adjustRightInd w:val="0"/>
                    <w:snapToGrid w:val="0"/>
                    <w:jc w:val="center"/>
                    <w:rPr>
                      <w:color w:val="auto"/>
                      <w:sz w:val="18"/>
                      <w:szCs w:val="18"/>
                    </w:rPr>
                  </w:pPr>
                  <w:r>
                    <w:rPr>
                      <w:color w:val="auto"/>
                      <w:sz w:val="18"/>
                      <w:szCs w:val="18"/>
                    </w:rPr>
                    <w:t>SS</w:t>
                  </w:r>
                </w:p>
              </w:tc>
              <w:tc>
                <w:tcPr>
                  <w:tcW w:w="615" w:type="pct"/>
                  <w:tcBorders>
                    <w:top w:val="single" w:color="auto" w:sz="12" w:space="0"/>
                  </w:tcBorders>
                  <w:noWrap w:val="0"/>
                  <w:vAlign w:val="center"/>
                </w:tcPr>
                <w:p>
                  <w:pPr>
                    <w:adjustRightInd w:val="0"/>
                    <w:snapToGrid w:val="0"/>
                    <w:jc w:val="center"/>
                    <w:rPr>
                      <w:color w:val="auto"/>
                      <w:sz w:val="18"/>
                      <w:szCs w:val="18"/>
                    </w:rPr>
                  </w:pPr>
                  <w:r>
                    <w:rPr>
                      <w:color w:val="auto"/>
                      <w:sz w:val="18"/>
                      <w:szCs w:val="18"/>
                    </w:rPr>
                    <w:t>NH</w:t>
                  </w:r>
                  <w:r>
                    <w:rPr>
                      <w:color w:val="auto"/>
                      <w:sz w:val="18"/>
                      <w:szCs w:val="18"/>
                      <w:vertAlign w:val="subscript"/>
                    </w:rPr>
                    <w:t>3</w:t>
                  </w:r>
                  <w:r>
                    <w:rPr>
                      <w:color w:val="auto"/>
                      <w:sz w:val="18"/>
                      <w:szCs w:val="18"/>
                    </w:rPr>
                    <w:t>-N</w:t>
                  </w:r>
                </w:p>
              </w:tc>
              <w:tc>
                <w:tcPr>
                  <w:tcW w:w="615" w:type="pct"/>
                  <w:tcBorders>
                    <w:top w:val="single" w:color="auto" w:sz="12" w:space="0"/>
                    <w:right w:val="nil"/>
                  </w:tcBorders>
                  <w:noWrap w:val="0"/>
                  <w:vAlign w:val="center"/>
                </w:tcPr>
                <w:p>
                  <w:pPr>
                    <w:adjustRightInd w:val="0"/>
                    <w:snapToGrid w:val="0"/>
                    <w:jc w:val="center"/>
                    <w:rPr>
                      <w:color w:val="auto"/>
                      <w:sz w:val="18"/>
                      <w:szCs w:val="18"/>
                    </w:rPr>
                  </w:pPr>
                  <w:r>
                    <w:rPr>
                      <w:color w:val="auto"/>
                      <w:sz w:val="18"/>
                      <w:szCs w:val="18"/>
                    </w:rPr>
                    <w:t>TP</w:t>
                  </w:r>
                </w:p>
              </w:tc>
              <w:tc>
                <w:tcPr>
                  <w:tcW w:w="615" w:type="pct"/>
                  <w:tcBorders>
                    <w:top w:val="single" w:color="auto" w:sz="12" w:space="0"/>
                    <w:right w:val="nil"/>
                  </w:tcBorders>
                  <w:noWrap w:val="0"/>
                  <w:vAlign w:val="center"/>
                </w:tcPr>
                <w:p>
                  <w:pPr>
                    <w:adjustRightInd w:val="0"/>
                    <w:snapToGrid w:val="0"/>
                    <w:jc w:val="center"/>
                    <w:rPr>
                      <w:color w:val="auto"/>
                      <w:sz w:val="18"/>
                      <w:szCs w:val="18"/>
                    </w:rPr>
                  </w:pPr>
                  <w:r>
                    <w:rPr>
                      <w:rFonts w:hint="eastAsia"/>
                      <w:color w:val="auto"/>
                      <w:sz w:val="18"/>
                      <w:szCs w:val="18"/>
                    </w:rPr>
                    <w:t>TN</w:t>
                  </w:r>
                </w:p>
              </w:tc>
              <w:tc>
                <w:tcPr>
                  <w:tcW w:w="1001" w:type="dxa"/>
                  <w:tcBorders>
                    <w:top w:val="single" w:color="auto" w:sz="12" w:space="0"/>
                    <w:right w:val="nil"/>
                  </w:tcBorders>
                  <w:noWrap w:val="0"/>
                  <w:vAlign w:val="center"/>
                </w:tcPr>
                <w:p>
                  <w:pPr>
                    <w:adjustRightInd w:val="0"/>
                    <w:snapToGrid w:val="0"/>
                    <w:jc w:val="center"/>
                    <w:rPr>
                      <w:rFonts w:hint="eastAsia" w:eastAsia="宋体"/>
                      <w:color w:val="auto"/>
                      <w:sz w:val="18"/>
                      <w:szCs w:val="18"/>
                      <w:lang w:val="en-US" w:eastAsia="zh-CN"/>
                    </w:rPr>
                  </w:pPr>
                  <w:r>
                    <w:rPr>
                      <w:rFonts w:hint="eastAsia"/>
                      <w:color w:val="auto"/>
                      <w:sz w:val="18"/>
                      <w:szCs w:val="18"/>
                      <w:lang w:val="en-US" w:eastAsia="zh-CN"/>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7" w:hRule="atLeast"/>
                <w:jc w:val="center"/>
              </w:trPr>
              <w:tc>
                <w:tcPr>
                  <w:tcW w:w="691" w:type="pct"/>
                  <w:tcBorders>
                    <w:left w:val="nil"/>
                  </w:tcBorders>
                  <w:noWrap w:val="0"/>
                  <w:vAlign w:val="center"/>
                </w:tcPr>
                <w:p>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日均限制</w:t>
                  </w:r>
                </w:p>
              </w:tc>
              <w:tc>
                <w:tcPr>
                  <w:tcW w:w="615" w:type="pct"/>
                  <w:tcBorders>
                    <w:right w:val="single" w:color="auto" w:sz="4" w:space="0"/>
                  </w:tcBorders>
                  <w:noWrap w:val="0"/>
                  <w:vAlign w:val="center"/>
                </w:tcPr>
                <w:p>
                  <w:pPr>
                    <w:adjustRightInd w:val="0"/>
                    <w:snapToGrid w:val="0"/>
                    <w:jc w:val="center"/>
                    <w:rPr>
                      <w:color w:val="auto"/>
                      <w:sz w:val="18"/>
                      <w:szCs w:val="18"/>
                    </w:rPr>
                  </w:pPr>
                  <w:r>
                    <w:rPr>
                      <w:color w:val="auto"/>
                      <w:sz w:val="18"/>
                      <w:szCs w:val="18"/>
                    </w:rPr>
                    <w:t>6</w:t>
                  </w:r>
                  <w:r>
                    <w:rPr>
                      <w:rFonts w:hint="eastAsia"/>
                      <w:color w:val="auto"/>
                      <w:sz w:val="18"/>
                      <w:szCs w:val="18"/>
                    </w:rPr>
                    <w:t>~</w:t>
                  </w:r>
                  <w:r>
                    <w:rPr>
                      <w:color w:val="auto"/>
                      <w:sz w:val="18"/>
                      <w:szCs w:val="18"/>
                    </w:rPr>
                    <w:t>9</w:t>
                  </w:r>
                </w:p>
              </w:tc>
              <w:tc>
                <w:tcPr>
                  <w:tcW w:w="615" w:type="pct"/>
                  <w:tcBorders>
                    <w:left w:val="single" w:color="auto" w:sz="4" w:space="0"/>
                  </w:tcBorders>
                  <w:noWrap w:val="0"/>
                  <w:vAlign w:val="center"/>
                </w:tcPr>
                <w:p>
                  <w:pPr>
                    <w:adjustRightInd w:val="0"/>
                    <w:snapToGrid w:val="0"/>
                    <w:jc w:val="center"/>
                    <w:rPr>
                      <w:color w:val="auto"/>
                      <w:sz w:val="18"/>
                      <w:szCs w:val="18"/>
                    </w:rPr>
                  </w:pPr>
                  <w:r>
                    <w:rPr>
                      <w:color w:val="auto"/>
                      <w:sz w:val="18"/>
                      <w:szCs w:val="18"/>
                    </w:rPr>
                    <w:t>50</w:t>
                  </w:r>
                </w:p>
              </w:tc>
              <w:tc>
                <w:tcPr>
                  <w:tcW w:w="615" w:type="pct"/>
                  <w:noWrap w:val="0"/>
                  <w:vAlign w:val="center"/>
                </w:tcPr>
                <w:p>
                  <w:pPr>
                    <w:adjustRightInd w:val="0"/>
                    <w:snapToGrid w:val="0"/>
                    <w:jc w:val="center"/>
                    <w:rPr>
                      <w:color w:val="auto"/>
                      <w:sz w:val="18"/>
                      <w:szCs w:val="18"/>
                    </w:rPr>
                  </w:pPr>
                  <w:r>
                    <w:rPr>
                      <w:color w:val="auto"/>
                      <w:sz w:val="18"/>
                      <w:szCs w:val="18"/>
                    </w:rPr>
                    <w:t>10</w:t>
                  </w:r>
                </w:p>
              </w:tc>
              <w:tc>
                <w:tcPr>
                  <w:tcW w:w="615" w:type="pct"/>
                  <w:noWrap w:val="0"/>
                  <w:vAlign w:val="center"/>
                </w:tcPr>
                <w:p>
                  <w:pPr>
                    <w:adjustRightInd w:val="0"/>
                    <w:snapToGrid w:val="0"/>
                    <w:jc w:val="center"/>
                    <w:rPr>
                      <w:color w:val="auto"/>
                      <w:sz w:val="18"/>
                      <w:szCs w:val="18"/>
                    </w:rPr>
                  </w:pPr>
                  <w:r>
                    <w:rPr>
                      <w:rFonts w:hint="eastAsia"/>
                      <w:color w:val="auto"/>
                      <w:sz w:val="18"/>
                      <w:szCs w:val="18"/>
                      <w:lang w:val="en-US" w:eastAsia="zh-CN"/>
                    </w:rPr>
                    <w:t>4</w:t>
                  </w:r>
                  <w:r>
                    <w:rPr>
                      <w:color w:val="auto"/>
                      <w:sz w:val="18"/>
                      <w:szCs w:val="18"/>
                    </w:rPr>
                    <w:t>（</w:t>
                  </w:r>
                  <w:r>
                    <w:rPr>
                      <w:rFonts w:hint="eastAsia"/>
                      <w:color w:val="auto"/>
                      <w:sz w:val="18"/>
                      <w:szCs w:val="18"/>
                      <w:lang w:val="en-US" w:eastAsia="zh-CN"/>
                    </w:rPr>
                    <w:t>6</w:t>
                  </w:r>
                  <w:r>
                    <w:rPr>
                      <w:color w:val="auto"/>
                      <w:sz w:val="18"/>
                      <w:szCs w:val="18"/>
                    </w:rPr>
                    <w:t>）</w:t>
                  </w:r>
                </w:p>
              </w:tc>
              <w:tc>
                <w:tcPr>
                  <w:tcW w:w="615" w:type="pct"/>
                  <w:tcBorders>
                    <w:right w:val="nil"/>
                  </w:tcBorders>
                  <w:noWrap w:val="0"/>
                  <w:vAlign w:val="center"/>
                </w:tcPr>
                <w:p>
                  <w:pPr>
                    <w:adjustRightInd w:val="0"/>
                    <w:snapToGrid w:val="0"/>
                    <w:jc w:val="center"/>
                    <w:rPr>
                      <w:color w:val="auto"/>
                      <w:sz w:val="18"/>
                      <w:szCs w:val="18"/>
                    </w:rPr>
                  </w:pPr>
                  <w:r>
                    <w:rPr>
                      <w:color w:val="auto"/>
                      <w:sz w:val="18"/>
                      <w:szCs w:val="18"/>
                    </w:rPr>
                    <w:t>0.5</w:t>
                  </w:r>
                </w:p>
              </w:tc>
              <w:tc>
                <w:tcPr>
                  <w:tcW w:w="615" w:type="pct"/>
                  <w:tcBorders>
                    <w:right w:val="nil"/>
                  </w:tcBorders>
                  <w:noWrap w:val="0"/>
                  <w:vAlign w:val="center"/>
                </w:tcPr>
                <w:p>
                  <w:pPr>
                    <w:adjustRightInd w:val="0"/>
                    <w:snapToGrid w:val="0"/>
                    <w:jc w:val="center"/>
                    <w:rPr>
                      <w:rFonts w:hint="eastAsia" w:eastAsia="宋体"/>
                      <w:color w:val="auto"/>
                      <w:sz w:val="18"/>
                      <w:szCs w:val="18"/>
                      <w:lang w:eastAsia="zh-CN"/>
                    </w:rPr>
                  </w:pPr>
                  <w:r>
                    <w:rPr>
                      <w:rFonts w:hint="eastAsia"/>
                      <w:color w:val="auto"/>
                      <w:sz w:val="18"/>
                      <w:szCs w:val="18"/>
                      <w:lang w:val="en-US" w:eastAsia="zh-CN"/>
                    </w:rPr>
                    <w:t>12</w:t>
                  </w:r>
                  <w:r>
                    <w:rPr>
                      <w:rFonts w:hint="eastAsia"/>
                      <w:color w:val="auto"/>
                      <w:sz w:val="18"/>
                      <w:szCs w:val="18"/>
                      <w:lang w:eastAsia="zh-CN"/>
                    </w:rPr>
                    <w:t>（</w:t>
                  </w:r>
                  <w:r>
                    <w:rPr>
                      <w:rFonts w:hint="eastAsia"/>
                      <w:color w:val="auto"/>
                      <w:sz w:val="18"/>
                      <w:szCs w:val="18"/>
                    </w:rPr>
                    <w:t>15</w:t>
                  </w:r>
                  <w:r>
                    <w:rPr>
                      <w:rFonts w:hint="eastAsia"/>
                      <w:color w:val="auto"/>
                      <w:sz w:val="18"/>
                      <w:szCs w:val="18"/>
                      <w:lang w:eastAsia="zh-CN"/>
                    </w:rPr>
                    <w:t>）</w:t>
                  </w:r>
                </w:p>
              </w:tc>
              <w:tc>
                <w:tcPr>
                  <w:tcW w:w="1001" w:type="dxa"/>
                  <w:tcBorders>
                    <w:right w:val="nil"/>
                  </w:tcBorders>
                  <w:noWrap w:val="0"/>
                  <w:vAlign w:val="center"/>
                </w:tcPr>
                <w:p>
                  <w:pPr>
                    <w:adjustRightInd w:val="0"/>
                    <w:snapToGrid w:val="0"/>
                    <w:jc w:val="center"/>
                    <w:rPr>
                      <w:rFonts w:hint="default"/>
                      <w:color w:val="auto"/>
                      <w:sz w:val="18"/>
                      <w:szCs w:val="18"/>
                      <w:lang w:val="en-US" w:eastAsia="zh-CN"/>
                    </w:rPr>
                  </w:pPr>
                  <w:r>
                    <w:rPr>
                      <w:rFonts w:hint="eastAsia"/>
                      <w:color w:val="auto"/>
                      <w:sz w:val="18"/>
                      <w:szCs w:val="18"/>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7" w:hRule="atLeast"/>
                <w:jc w:val="center"/>
              </w:trPr>
              <w:tc>
                <w:tcPr>
                  <w:tcW w:w="691" w:type="pct"/>
                  <w:tcBorders>
                    <w:left w:val="nil"/>
                    <w:bottom w:val="single" w:color="auto" w:sz="12" w:space="0"/>
                  </w:tcBorders>
                  <w:noWrap w:val="0"/>
                  <w:vAlign w:val="center"/>
                </w:tcPr>
                <w:p>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一次限制</w:t>
                  </w:r>
                </w:p>
              </w:tc>
              <w:tc>
                <w:tcPr>
                  <w:tcW w:w="615" w:type="pct"/>
                  <w:tcBorders>
                    <w:bottom w:val="single" w:color="auto" w:sz="12" w:space="0"/>
                    <w:right w:val="single" w:color="auto" w:sz="4" w:space="0"/>
                  </w:tcBorders>
                  <w:noWrap w:val="0"/>
                  <w:vAlign w:val="center"/>
                </w:tcPr>
                <w:p>
                  <w:pPr>
                    <w:adjustRightInd w:val="0"/>
                    <w:snapToGrid w:val="0"/>
                    <w:jc w:val="center"/>
                    <w:rPr>
                      <w:rFonts w:hint="eastAsia" w:eastAsia="宋体"/>
                      <w:color w:val="auto"/>
                      <w:sz w:val="18"/>
                      <w:szCs w:val="18"/>
                      <w:lang w:val="en-US" w:eastAsia="zh-CN"/>
                    </w:rPr>
                  </w:pPr>
                  <w:r>
                    <w:rPr>
                      <w:rFonts w:hint="eastAsia"/>
                      <w:color w:val="auto"/>
                      <w:sz w:val="18"/>
                      <w:szCs w:val="18"/>
                      <w:lang w:val="en-US" w:eastAsia="zh-CN"/>
                    </w:rPr>
                    <w:t>/</w:t>
                  </w:r>
                </w:p>
              </w:tc>
              <w:tc>
                <w:tcPr>
                  <w:tcW w:w="615" w:type="pct"/>
                  <w:tcBorders>
                    <w:left w:val="single" w:color="auto" w:sz="4" w:space="0"/>
                    <w:bottom w:val="single" w:color="auto" w:sz="12" w:space="0"/>
                  </w:tcBorders>
                  <w:noWrap w:val="0"/>
                  <w:vAlign w:val="center"/>
                </w:tcPr>
                <w:p>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75</w:t>
                  </w:r>
                </w:p>
              </w:tc>
              <w:tc>
                <w:tcPr>
                  <w:tcW w:w="615" w:type="pct"/>
                  <w:tcBorders>
                    <w:bottom w:val="single" w:color="auto" w:sz="12" w:space="0"/>
                  </w:tcBorders>
                  <w:noWrap w:val="0"/>
                  <w:vAlign w:val="center"/>
                </w:tcPr>
                <w:p>
                  <w:pPr>
                    <w:adjustRightInd w:val="0"/>
                    <w:snapToGrid w:val="0"/>
                    <w:jc w:val="center"/>
                    <w:rPr>
                      <w:color w:val="auto"/>
                      <w:sz w:val="18"/>
                      <w:szCs w:val="18"/>
                    </w:rPr>
                  </w:pPr>
                  <w:r>
                    <w:rPr>
                      <w:rFonts w:hint="eastAsia"/>
                      <w:color w:val="auto"/>
                      <w:sz w:val="18"/>
                      <w:szCs w:val="18"/>
                      <w:lang w:val="en-US" w:eastAsia="zh-CN"/>
                    </w:rPr>
                    <w:t>/</w:t>
                  </w:r>
                </w:p>
              </w:tc>
              <w:tc>
                <w:tcPr>
                  <w:tcW w:w="615" w:type="pct"/>
                  <w:tcBorders>
                    <w:bottom w:val="single" w:color="auto" w:sz="12" w:space="0"/>
                  </w:tcBorders>
                  <w:noWrap w:val="0"/>
                  <w:vAlign w:val="center"/>
                </w:tcPr>
                <w:p>
                  <w:pPr>
                    <w:adjustRightInd w:val="0"/>
                    <w:snapToGrid w:val="0"/>
                    <w:jc w:val="center"/>
                    <w:rPr>
                      <w:color w:val="auto"/>
                      <w:sz w:val="18"/>
                      <w:szCs w:val="18"/>
                    </w:rPr>
                  </w:pPr>
                  <w:r>
                    <w:rPr>
                      <w:rFonts w:hint="eastAsia"/>
                      <w:color w:val="auto"/>
                      <w:sz w:val="18"/>
                      <w:szCs w:val="18"/>
                      <w:lang w:val="en-US" w:eastAsia="zh-CN"/>
                    </w:rPr>
                    <w:t>8</w:t>
                  </w:r>
                  <w:r>
                    <w:rPr>
                      <w:color w:val="auto"/>
                      <w:sz w:val="18"/>
                      <w:szCs w:val="18"/>
                    </w:rPr>
                    <w:t>（</w:t>
                  </w:r>
                  <w:r>
                    <w:rPr>
                      <w:rFonts w:hint="eastAsia"/>
                      <w:color w:val="auto"/>
                      <w:sz w:val="18"/>
                      <w:szCs w:val="18"/>
                      <w:lang w:val="en-US" w:eastAsia="zh-CN"/>
                    </w:rPr>
                    <w:t>12</w:t>
                  </w:r>
                  <w:r>
                    <w:rPr>
                      <w:color w:val="auto"/>
                      <w:sz w:val="18"/>
                      <w:szCs w:val="18"/>
                    </w:rPr>
                    <w:t>）</w:t>
                  </w:r>
                </w:p>
              </w:tc>
              <w:tc>
                <w:tcPr>
                  <w:tcW w:w="615" w:type="pct"/>
                  <w:tcBorders>
                    <w:bottom w:val="single" w:color="auto" w:sz="12" w:space="0"/>
                    <w:right w:val="nil"/>
                  </w:tcBorders>
                  <w:noWrap w:val="0"/>
                  <w:vAlign w:val="center"/>
                </w:tcPr>
                <w:p>
                  <w:pPr>
                    <w:adjustRightInd w:val="0"/>
                    <w:snapToGrid w:val="0"/>
                    <w:jc w:val="center"/>
                    <w:rPr>
                      <w:rFonts w:hint="eastAsia" w:eastAsia="宋体"/>
                      <w:color w:val="auto"/>
                      <w:sz w:val="18"/>
                      <w:szCs w:val="18"/>
                      <w:lang w:val="en-US" w:eastAsia="zh-CN"/>
                    </w:rPr>
                  </w:pPr>
                  <w:r>
                    <w:rPr>
                      <w:rFonts w:hint="eastAsia"/>
                      <w:color w:val="auto"/>
                      <w:sz w:val="18"/>
                      <w:szCs w:val="18"/>
                      <w:lang w:val="en-US" w:eastAsia="zh-CN"/>
                    </w:rPr>
                    <w:t>1</w:t>
                  </w:r>
                </w:p>
              </w:tc>
              <w:tc>
                <w:tcPr>
                  <w:tcW w:w="615" w:type="pct"/>
                  <w:tcBorders>
                    <w:bottom w:val="single" w:color="auto" w:sz="12" w:space="0"/>
                    <w:right w:val="nil"/>
                  </w:tcBorders>
                  <w:noWrap w:val="0"/>
                  <w:vAlign w:val="center"/>
                </w:tcPr>
                <w:p>
                  <w:pPr>
                    <w:adjustRightInd w:val="0"/>
                    <w:snapToGrid w:val="0"/>
                    <w:jc w:val="center"/>
                    <w:rPr>
                      <w:rFonts w:hint="eastAsia"/>
                      <w:color w:val="auto"/>
                      <w:sz w:val="18"/>
                      <w:szCs w:val="18"/>
                    </w:rPr>
                  </w:pPr>
                  <w:r>
                    <w:rPr>
                      <w:rFonts w:hint="eastAsia"/>
                      <w:color w:val="auto"/>
                      <w:sz w:val="18"/>
                      <w:szCs w:val="18"/>
                      <w:lang w:val="en-US" w:eastAsia="zh-CN"/>
                    </w:rPr>
                    <w:t>15</w:t>
                  </w:r>
                  <w:r>
                    <w:rPr>
                      <w:rFonts w:hint="eastAsia"/>
                      <w:color w:val="auto"/>
                      <w:sz w:val="18"/>
                      <w:szCs w:val="18"/>
                      <w:lang w:eastAsia="zh-CN"/>
                    </w:rPr>
                    <w:t>（</w:t>
                  </w:r>
                  <w:r>
                    <w:rPr>
                      <w:rFonts w:hint="eastAsia"/>
                      <w:color w:val="auto"/>
                      <w:sz w:val="18"/>
                      <w:szCs w:val="18"/>
                      <w:lang w:val="en-US" w:eastAsia="zh-CN"/>
                    </w:rPr>
                    <w:t>20</w:t>
                  </w:r>
                  <w:r>
                    <w:rPr>
                      <w:rFonts w:hint="eastAsia"/>
                      <w:color w:val="auto"/>
                      <w:sz w:val="18"/>
                      <w:szCs w:val="18"/>
                      <w:lang w:eastAsia="zh-CN"/>
                    </w:rPr>
                    <w:t>）</w:t>
                  </w:r>
                </w:p>
              </w:tc>
              <w:tc>
                <w:tcPr>
                  <w:tcW w:w="615" w:type="pct"/>
                  <w:tcBorders>
                    <w:bottom w:val="single" w:color="auto" w:sz="12" w:space="0"/>
                    <w:right w:val="nil"/>
                  </w:tcBorders>
                  <w:noWrap w:val="0"/>
                  <w:vAlign w:val="center"/>
                </w:tcPr>
                <w:p>
                  <w:pPr>
                    <w:adjustRightInd w:val="0"/>
                    <w:snapToGrid w:val="0"/>
                    <w:jc w:val="center"/>
                    <w:rPr>
                      <w:rFonts w:hint="default"/>
                      <w:color w:val="auto"/>
                      <w:sz w:val="18"/>
                      <w:szCs w:val="18"/>
                      <w:lang w:val="en-US" w:eastAsia="zh-CN"/>
                    </w:rPr>
                  </w:pPr>
                  <w:r>
                    <w:rPr>
                      <w:rFonts w:hint="eastAsia"/>
                      <w:color w:val="auto"/>
                      <w:sz w:val="18"/>
                      <w:szCs w:val="18"/>
                      <w:lang w:val="en-US" w:eastAsia="zh-CN"/>
                    </w:rPr>
                    <w:t>/</w:t>
                  </w:r>
                </w:p>
              </w:tc>
            </w:tr>
          </w:tbl>
          <w:p>
            <w:pPr>
              <w:rPr>
                <w:rFonts w:hint="default" w:eastAsia="宋体"/>
                <w:b/>
                <w:bCs/>
                <w:color w:val="auto"/>
                <w:sz w:val="15"/>
                <w:szCs w:val="15"/>
                <w:lang w:val="en-US" w:eastAsia="zh-CN"/>
              </w:rPr>
            </w:pPr>
            <w:r>
              <w:rPr>
                <w:b/>
                <w:bCs/>
                <w:color w:val="auto"/>
                <w:sz w:val="15"/>
                <w:szCs w:val="15"/>
              </w:rPr>
              <w:t>注：</w:t>
            </w:r>
            <w:r>
              <w:rPr>
                <w:rFonts w:hint="eastAsia"/>
                <w:b/>
                <w:bCs/>
                <w:color w:val="auto"/>
                <w:sz w:val="15"/>
                <w:szCs w:val="15"/>
                <w:lang w:val="en-US" w:eastAsia="zh-CN"/>
              </w:rPr>
              <w:t>每年11月1日至次年3月31日执行括号内排放限制。</w:t>
            </w:r>
          </w:p>
          <w:p>
            <w:pPr>
              <w:adjustRightInd w:val="0"/>
              <w:snapToGrid w:val="0"/>
              <w:spacing w:line="500" w:lineRule="exact"/>
              <w:ind w:firstLine="420" w:firstLineChars="200"/>
              <w:rPr>
                <w:rFonts w:hint="eastAsia"/>
                <w:color w:val="auto"/>
                <w:szCs w:val="21"/>
              </w:rPr>
            </w:pPr>
            <w:r>
              <w:rPr>
                <w:rFonts w:hint="eastAsia"/>
                <w:color w:val="auto"/>
                <w:kern w:val="0"/>
                <w:szCs w:val="21"/>
              </w:rPr>
              <w:t>项目后期雨水</w:t>
            </w:r>
            <w:r>
              <w:rPr>
                <w:rFonts w:hint="eastAsia"/>
                <w:color w:val="auto"/>
                <w:kern w:val="0"/>
                <w:szCs w:val="21"/>
                <w:lang w:val="en-US" w:eastAsia="zh-CN"/>
              </w:rPr>
              <w:t>排入市政管网，最终汇入南侧的</w:t>
            </w:r>
            <w:r>
              <w:rPr>
                <w:rFonts w:hint="eastAsia" w:ascii="Times New Roman" w:hAnsi="Times New Roman" w:eastAsia="宋体" w:cs="Times New Roman"/>
                <w:color w:val="auto"/>
                <w:kern w:val="0"/>
                <w:szCs w:val="21"/>
                <w:lang w:val="en-US" w:eastAsia="zh-CN"/>
              </w:rPr>
              <w:t>如皋港引河（</w:t>
            </w:r>
            <w:r>
              <w:rPr>
                <w:rFonts w:hint="eastAsia" w:ascii="宋体" w:hAnsi="宋体" w:eastAsia="宋体" w:cs="宋体"/>
                <w:color w:val="auto"/>
                <w:kern w:val="0"/>
                <w:szCs w:val="21"/>
                <w:lang w:val="en-US" w:eastAsia="zh-CN"/>
              </w:rPr>
              <w:t>Ⅲ</w:t>
            </w:r>
            <w:r>
              <w:rPr>
                <w:rFonts w:hint="eastAsia" w:ascii="宋体" w:hAnsi="宋体" w:cs="宋体"/>
                <w:color w:val="auto"/>
                <w:kern w:val="0"/>
                <w:szCs w:val="21"/>
                <w:lang w:val="en-US" w:eastAsia="zh-CN"/>
              </w:rPr>
              <w:t>类标准</w:t>
            </w:r>
            <w:r>
              <w:rPr>
                <w:rFonts w:hint="eastAsia"/>
                <w:color w:val="auto"/>
                <w:kern w:val="0"/>
                <w:szCs w:val="21"/>
                <w:lang w:val="en-US" w:eastAsia="zh-CN"/>
              </w:rPr>
              <w:t>）</w:t>
            </w:r>
            <w:r>
              <w:rPr>
                <w:rFonts w:hint="eastAsia"/>
                <w:color w:val="auto"/>
                <w:szCs w:val="21"/>
              </w:rPr>
              <w:t>，根据关于印发《江苏省重点行业工业企业雨水排放环境管理办法（试行）》的通知（苏污防攻坚指办〔2023〕71号），</w:t>
            </w:r>
            <w:r>
              <w:rPr>
                <w:rFonts w:hint="eastAsia"/>
                <w:color w:val="auto"/>
                <w:szCs w:val="21"/>
                <w:lang w:eastAsia="zh-CN"/>
              </w:rPr>
              <w:t>后期</w:t>
            </w:r>
            <w:r>
              <w:rPr>
                <w:rFonts w:hint="eastAsia"/>
                <w:color w:val="auto"/>
                <w:szCs w:val="21"/>
              </w:rPr>
              <w:t>雨水应满足以下要求：</w:t>
            </w:r>
          </w:p>
          <w:p>
            <w:pPr>
              <w:adjustRightInd w:val="0"/>
              <w:snapToGrid w:val="0"/>
              <w:spacing w:line="500" w:lineRule="exact"/>
              <w:ind w:firstLine="420" w:firstLineChars="200"/>
              <w:rPr>
                <w:rFonts w:hint="eastAsia"/>
                <w:color w:val="auto"/>
                <w:szCs w:val="21"/>
              </w:rPr>
            </w:pPr>
            <w:r>
              <w:rPr>
                <w:rFonts w:hint="eastAsia"/>
                <w:color w:val="auto"/>
                <w:szCs w:val="21"/>
              </w:rPr>
              <w:t>① 应做好后期雨水的收集、监控和排放；</w:t>
            </w:r>
          </w:p>
          <w:p>
            <w:pPr>
              <w:adjustRightInd w:val="0"/>
              <w:snapToGrid w:val="0"/>
              <w:spacing w:line="500" w:lineRule="exact"/>
              <w:ind w:firstLine="420" w:firstLineChars="200"/>
              <w:rPr>
                <w:rFonts w:hint="eastAsia"/>
                <w:color w:val="auto"/>
                <w:szCs w:val="21"/>
              </w:rPr>
            </w:pPr>
            <w:r>
              <w:rPr>
                <w:rFonts w:hint="eastAsia"/>
                <w:color w:val="auto"/>
                <w:szCs w:val="21"/>
              </w:rPr>
              <w:t>② 后期雨水可直接排放或纳管市政雨水管网。雨水排放口水质应保持稳定、清洁。严禁将后期雨水排入污水收集处理设施，借道污水排口排放的，不得在污水排放监控点之前汇入，避免影响污水处理设施效能或产生稀释排污的嫌疑。</w:t>
            </w:r>
          </w:p>
          <w:p>
            <w:pPr>
              <w:adjustRightInd w:val="0"/>
              <w:snapToGrid w:val="0"/>
              <w:spacing w:line="500" w:lineRule="exact"/>
              <w:ind w:firstLine="420" w:firstLineChars="200"/>
              <w:rPr>
                <w:rFonts w:hint="eastAsia"/>
                <w:color w:val="auto"/>
                <w:szCs w:val="21"/>
              </w:rPr>
            </w:pPr>
            <w:r>
              <w:rPr>
                <w:rFonts w:hint="eastAsia"/>
                <w:color w:val="auto"/>
                <w:szCs w:val="21"/>
              </w:rPr>
              <w:t>③ 企业原则上一个厂区只允许设置一个雨水排放口。确需设置两个及以上雨水排放口的，应书面告知生态环境部门。</w:t>
            </w:r>
          </w:p>
          <w:p>
            <w:pPr>
              <w:adjustRightInd w:val="0"/>
              <w:snapToGrid w:val="0"/>
              <w:spacing w:line="500" w:lineRule="exact"/>
              <w:ind w:firstLine="420" w:firstLineChars="200"/>
              <w:rPr>
                <w:rFonts w:hint="eastAsia"/>
                <w:color w:val="auto"/>
                <w:szCs w:val="21"/>
              </w:rPr>
            </w:pPr>
            <w:r>
              <w:rPr>
                <w:rFonts w:hint="eastAsia"/>
                <w:color w:val="auto"/>
                <w:szCs w:val="21"/>
              </w:rPr>
              <w:t>④ 雨水排放口前须设置明渠或取样监测观察井。明渠长度一般不小于1.5米，检查井长宽不小于0.5米，检查井底部要低于管渠底部0.3</w:t>
            </w:r>
            <w:r>
              <w:rPr>
                <w:rFonts w:hint="eastAsia"/>
                <w:color w:val="auto"/>
                <w:sz w:val="18"/>
                <w:szCs w:val="18"/>
              </w:rPr>
              <w:t>米</w:t>
            </w:r>
            <w:r>
              <w:rPr>
                <w:rFonts w:hint="eastAsia"/>
                <w:color w:val="auto"/>
                <w:szCs w:val="21"/>
              </w:rPr>
              <w:t>以上，内侧贴白色瓷砖。</w:t>
            </w:r>
          </w:p>
          <w:p>
            <w:pPr>
              <w:adjustRightInd w:val="0"/>
              <w:snapToGrid w:val="0"/>
              <w:spacing w:line="500" w:lineRule="exact"/>
              <w:ind w:firstLine="420" w:firstLineChars="200"/>
              <w:rPr>
                <w:rFonts w:hint="eastAsia"/>
                <w:color w:val="auto"/>
                <w:szCs w:val="21"/>
              </w:rPr>
            </w:pPr>
            <w:r>
              <w:rPr>
                <w:rFonts w:hint="eastAsia"/>
                <w:color w:val="auto"/>
                <w:szCs w:val="21"/>
              </w:rPr>
              <w:t>⑤ 排放口应按相关规定和管理要求安装视频监控设备或水质在线监控设备，并与生态环境部门联网。水质在线监控因子由生态环境部门根据环境影响评价、排污许可管理、接管集中式污水处理厂去除能力，以及下游水功能区、国省考断面、饮用水源地等敏感目标管理要求等确定。</w:t>
            </w:r>
          </w:p>
          <w:p>
            <w:pPr>
              <w:adjustRightInd w:val="0"/>
              <w:snapToGrid w:val="0"/>
              <w:spacing w:line="500" w:lineRule="exact"/>
              <w:ind w:firstLine="420" w:firstLineChars="200"/>
              <w:rPr>
                <w:rFonts w:hint="eastAsia"/>
                <w:color w:val="auto"/>
                <w:szCs w:val="21"/>
              </w:rPr>
            </w:pPr>
            <w:r>
              <w:rPr>
                <w:rFonts w:hint="eastAsia"/>
                <w:color w:val="auto"/>
                <w:szCs w:val="21"/>
              </w:rPr>
              <w:t>⑥ 为有效防范后期雨水异常排放，必要时在雨水排放口前应安装自动紧急切断装置，并与水质在线监控设备连锁。发现雨水排放口水质异常，如监控因子浓度出现明显升高，或超过受纳水体水功能区目标等管控要求时，应立即启动企业突发环境事件应急预案，立即停止排水并排查超标原因，达到相关要求后方可恢复排水。</w:t>
            </w:r>
          </w:p>
          <w:p>
            <w:pPr>
              <w:adjustRightInd w:val="0"/>
              <w:snapToGrid w:val="0"/>
              <w:spacing w:line="500" w:lineRule="exact"/>
              <w:ind w:firstLine="420" w:firstLineChars="200"/>
              <w:rPr>
                <w:rFonts w:hint="eastAsia"/>
                <w:color w:val="auto"/>
                <w:szCs w:val="21"/>
              </w:rPr>
            </w:pPr>
            <w:r>
              <w:rPr>
                <w:rFonts w:hint="eastAsia"/>
                <w:color w:val="auto"/>
                <w:szCs w:val="21"/>
              </w:rPr>
              <w:t>⑦ 无降雨时，雨水排放口原则上应保持干燥；降雨后应及时排出积水，降雨停止1至3日后一般不应再出现对外排水。</w:t>
            </w:r>
          </w:p>
          <w:p>
            <w:pPr>
              <w:adjustRightInd w:val="0"/>
              <w:snapToGrid w:val="0"/>
              <w:spacing w:line="500" w:lineRule="exact"/>
              <w:ind w:firstLine="420" w:firstLineChars="200"/>
              <w:rPr>
                <w:rFonts w:hint="eastAsia"/>
                <w:color w:val="auto"/>
                <w:kern w:val="0"/>
                <w:szCs w:val="21"/>
              </w:rPr>
            </w:pPr>
            <w:r>
              <w:rPr>
                <w:rFonts w:hint="eastAsia"/>
                <w:color w:val="auto"/>
                <w:kern w:val="0"/>
                <w:szCs w:val="21"/>
              </w:rPr>
              <w:t>项目</w:t>
            </w:r>
            <w:r>
              <w:rPr>
                <w:rFonts w:hint="eastAsia"/>
                <w:color w:val="auto"/>
                <w:kern w:val="0"/>
                <w:szCs w:val="21"/>
                <w:lang w:eastAsia="zh-CN"/>
              </w:rPr>
              <w:t>后期</w:t>
            </w:r>
            <w:r>
              <w:rPr>
                <w:rFonts w:hint="eastAsia"/>
                <w:color w:val="auto"/>
                <w:kern w:val="0"/>
                <w:szCs w:val="21"/>
              </w:rPr>
              <w:t>雨水</w:t>
            </w:r>
            <w:r>
              <w:rPr>
                <w:rFonts w:hint="eastAsia"/>
                <w:color w:val="auto"/>
                <w:kern w:val="0"/>
                <w:szCs w:val="21"/>
                <w:lang w:eastAsia="zh-CN"/>
              </w:rPr>
              <w:t>排放</w:t>
            </w:r>
            <w:r>
              <w:rPr>
                <w:rFonts w:hint="eastAsia"/>
                <w:color w:val="auto"/>
                <w:kern w:val="0"/>
                <w:szCs w:val="21"/>
              </w:rPr>
              <w:t>具体标准见表3-</w:t>
            </w:r>
            <w:r>
              <w:rPr>
                <w:rFonts w:hint="eastAsia"/>
                <w:color w:val="auto"/>
                <w:kern w:val="0"/>
                <w:szCs w:val="21"/>
                <w:lang w:val="en-US" w:eastAsia="zh-CN"/>
              </w:rPr>
              <w:t>11</w:t>
            </w:r>
            <w:r>
              <w:rPr>
                <w:rFonts w:hint="eastAsia"/>
                <w:color w:val="auto"/>
                <w:kern w:val="0"/>
                <w:szCs w:val="21"/>
              </w:rPr>
              <w:t>。</w:t>
            </w:r>
          </w:p>
          <w:p>
            <w:pPr>
              <w:spacing w:line="500" w:lineRule="exact"/>
              <w:jc w:val="center"/>
              <w:rPr>
                <w:rFonts w:hint="eastAsia" w:eastAsia="宋体"/>
                <w:color w:val="auto"/>
                <w:szCs w:val="21"/>
                <w:shd w:val="clear" w:color="auto" w:fill="FFFFFF"/>
                <w:lang w:eastAsia="zh-CN"/>
              </w:rPr>
            </w:pPr>
            <w:r>
              <w:rPr>
                <w:b/>
                <w:color w:val="auto"/>
                <w:szCs w:val="21"/>
                <w:shd w:val="clear" w:color="auto" w:fill="FFFFFF"/>
              </w:rPr>
              <w:t>表</w:t>
            </w:r>
            <w:r>
              <w:rPr>
                <w:rFonts w:hint="eastAsia"/>
                <w:b/>
                <w:color w:val="auto"/>
                <w:szCs w:val="21"/>
                <w:shd w:val="clear" w:color="auto" w:fill="FFFFFF"/>
              </w:rPr>
              <w:t>3-</w:t>
            </w:r>
            <w:r>
              <w:rPr>
                <w:rFonts w:hint="eastAsia"/>
                <w:b/>
                <w:color w:val="auto"/>
                <w:szCs w:val="21"/>
                <w:shd w:val="clear" w:color="auto" w:fill="FFFFFF"/>
                <w:lang w:val="en-US" w:eastAsia="zh-CN"/>
              </w:rPr>
              <w:t>11</w:t>
            </w:r>
            <w:r>
              <w:rPr>
                <w:b/>
                <w:color w:val="auto"/>
                <w:szCs w:val="21"/>
                <w:shd w:val="clear" w:color="auto" w:fill="FFFFFF"/>
              </w:rPr>
              <w:t xml:space="preserve"> </w:t>
            </w:r>
            <w:r>
              <w:rPr>
                <w:rFonts w:hint="eastAsia"/>
                <w:b/>
                <w:color w:val="auto"/>
                <w:szCs w:val="21"/>
                <w:shd w:val="clear" w:color="auto" w:fill="FFFFFF"/>
              </w:rPr>
              <w:t>雨水排放环境管理要求</w:t>
            </w:r>
          </w:p>
          <w:tbl>
            <w:tblPr>
              <w:tblStyle w:val="21"/>
              <w:tblW w:w="800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79"/>
              <w:gridCol w:w="3211"/>
              <w:gridCol w:w="32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579" w:type="dxa"/>
                  <w:noWrap w:val="0"/>
                  <w:vAlign w:val="center"/>
                </w:tcPr>
                <w:p>
                  <w:pPr>
                    <w:adjustRightInd w:val="0"/>
                    <w:snapToGrid w:val="0"/>
                    <w:jc w:val="center"/>
                    <w:rPr>
                      <w:rFonts w:ascii="Times New Roman" w:hAnsi="Times New Roman" w:eastAsia="宋体" w:cs="Times New Roman"/>
                      <w:b/>
                      <w:bCs/>
                      <w:color w:val="auto"/>
                      <w:sz w:val="18"/>
                      <w:szCs w:val="18"/>
                    </w:rPr>
                  </w:pPr>
                  <w:r>
                    <w:rPr>
                      <w:rFonts w:hint="eastAsia" w:ascii="Times New Roman" w:hAnsi="Times New Roman" w:eastAsia="宋体" w:cs="Times New Roman"/>
                      <w:b/>
                      <w:bCs/>
                      <w:color w:val="auto"/>
                      <w:sz w:val="18"/>
                      <w:szCs w:val="18"/>
                    </w:rPr>
                    <w:t>序号</w:t>
                  </w:r>
                </w:p>
              </w:tc>
              <w:tc>
                <w:tcPr>
                  <w:tcW w:w="3211" w:type="dxa"/>
                  <w:noWrap w:val="0"/>
                  <w:vAlign w:val="center"/>
                </w:tcPr>
                <w:p>
                  <w:pPr>
                    <w:adjustRightInd w:val="0"/>
                    <w:snapToGrid w:val="0"/>
                    <w:jc w:val="center"/>
                    <w:rPr>
                      <w:rFonts w:ascii="Times New Roman" w:hAnsi="Times New Roman" w:eastAsia="宋体" w:cs="Times New Roman"/>
                      <w:b/>
                      <w:bCs/>
                      <w:color w:val="auto"/>
                      <w:sz w:val="18"/>
                      <w:szCs w:val="18"/>
                    </w:rPr>
                  </w:pPr>
                  <w:r>
                    <w:rPr>
                      <w:rFonts w:hint="eastAsia" w:ascii="Times New Roman" w:hAnsi="Times New Roman" w:eastAsia="宋体" w:cs="Times New Roman"/>
                      <w:b/>
                      <w:bCs/>
                      <w:color w:val="auto"/>
                      <w:sz w:val="18"/>
                      <w:szCs w:val="18"/>
                    </w:rPr>
                    <w:t>污染物名称</w:t>
                  </w:r>
                </w:p>
              </w:tc>
              <w:tc>
                <w:tcPr>
                  <w:tcW w:w="3211" w:type="dxa"/>
                  <w:noWrap w:val="0"/>
                  <w:vAlign w:val="center"/>
                </w:tcPr>
                <w:p>
                  <w:pPr>
                    <w:adjustRightInd w:val="0"/>
                    <w:snapToGrid w:val="0"/>
                    <w:jc w:val="center"/>
                    <w:rPr>
                      <w:rFonts w:hint="default" w:ascii="Times New Roman" w:hAnsi="Times New Roman" w:eastAsia="宋体" w:cs="Times New Roman"/>
                      <w:b/>
                      <w:bCs/>
                      <w:color w:val="auto"/>
                      <w:sz w:val="18"/>
                      <w:szCs w:val="18"/>
                      <w:lang w:val="en-US" w:eastAsia="zh-CN"/>
                    </w:rPr>
                  </w:pPr>
                  <w:r>
                    <w:rPr>
                      <w:rFonts w:ascii="Times New Roman" w:hAnsi="Times New Roman" w:eastAsia="宋体" w:cs="Times New Roman"/>
                      <w:b/>
                      <w:bCs/>
                      <w:color w:val="auto"/>
                      <w:sz w:val="18"/>
                      <w:szCs w:val="18"/>
                    </w:rPr>
                    <w:t>排放浓度</w:t>
                  </w:r>
                  <w:r>
                    <w:rPr>
                      <w:rFonts w:hint="eastAsia" w:ascii="Times New Roman" w:hAnsi="Times New Roman" w:eastAsia="宋体" w:cs="Times New Roman"/>
                      <w:b/>
                      <w:bCs/>
                      <w:color w:val="auto"/>
                      <w:sz w:val="18"/>
                      <w:szCs w:val="18"/>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579" w:type="dxa"/>
                  <w:noWrap w:val="0"/>
                  <w:vAlign w:val="center"/>
                </w:tcPr>
                <w:p>
                  <w:pPr>
                    <w:adjustRightInd w:val="0"/>
                    <w:snapToGrid w:val="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w:t>
                  </w:r>
                </w:p>
              </w:tc>
              <w:tc>
                <w:tcPr>
                  <w:tcW w:w="3211" w:type="dxa"/>
                  <w:noWrap w:val="0"/>
                  <w:vAlign w:val="center"/>
                </w:tcPr>
                <w:p>
                  <w:pPr>
                    <w:adjustRightInd w:val="0"/>
                    <w:snapToGrid w:val="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化学需氧量</w:t>
                  </w:r>
                </w:p>
              </w:tc>
              <w:tc>
                <w:tcPr>
                  <w:tcW w:w="3211" w:type="dxa"/>
                  <w:noWrap w:val="0"/>
                  <w:vAlign w:val="center"/>
                </w:tcPr>
                <w:p>
                  <w:pPr>
                    <w:adjustRightInd w:val="0"/>
                    <w:snapToGrid w:val="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579" w:type="dxa"/>
                  <w:noWrap w:val="0"/>
                  <w:vAlign w:val="center"/>
                </w:tcPr>
                <w:p>
                  <w:pPr>
                    <w:adjustRightInd w:val="0"/>
                    <w:snapToGrid w:val="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w:t>
                  </w:r>
                </w:p>
              </w:tc>
              <w:tc>
                <w:tcPr>
                  <w:tcW w:w="3211" w:type="dxa"/>
                  <w:noWrap w:val="0"/>
                  <w:vAlign w:val="center"/>
                </w:tcPr>
                <w:p>
                  <w:pPr>
                    <w:adjustRightInd w:val="0"/>
                    <w:snapToGrid w:val="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悬浮物</w:t>
                  </w:r>
                </w:p>
              </w:tc>
              <w:tc>
                <w:tcPr>
                  <w:tcW w:w="3211" w:type="dxa"/>
                  <w:noWrap w:val="0"/>
                  <w:vAlign w:val="center"/>
                </w:tcPr>
                <w:p>
                  <w:pPr>
                    <w:adjustRightInd w:val="0"/>
                    <w:snapToGrid w:val="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30</w:t>
                  </w:r>
                </w:p>
              </w:tc>
            </w:tr>
          </w:tbl>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b/>
                <w:bCs/>
                <w:color w:val="auto"/>
                <w:sz w:val="18"/>
                <w:szCs w:val="18"/>
                <w:lang w:val="en-US" w:eastAsia="zh-CN"/>
              </w:rPr>
            </w:pPr>
            <w:r>
              <w:rPr>
                <w:rFonts w:hint="eastAsia"/>
                <w:b/>
                <w:bCs/>
                <w:color w:val="auto"/>
                <w:sz w:val="18"/>
                <w:szCs w:val="18"/>
                <w:lang w:val="en-US" w:eastAsia="zh-CN"/>
              </w:rPr>
              <w:t>*注：参照执行</w:t>
            </w:r>
            <w:r>
              <w:rPr>
                <w:rFonts w:hint="eastAsia"/>
                <w:b/>
                <w:bCs/>
                <w:color w:val="auto"/>
                <w:kern w:val="0"/>
                <w:sz w:val="18"/>
                <w:szCs w:val="18"/>
              </w:rPr>
              <w:t>《</w:t>
            </w:r>
            <w:r>
              <w:rPr>
                <w:rFonts w:hint="eastAsia"/>
                <w:b/>
                <w:bCs/>
                <w:color w:val="auto"/>
                <w:sz w:val="18"/>
                <w:szCs w:val="18"/>
                <w:lang w:val="en-US" w:eastAsia="zh-CN"/>
              </w:rPr>
              <w:t>地表水环境质量标准</w:t>
            </w:r>
            <w:r>
              <w:rPr>
                <w:rFonts w:hint="eastAsia"/>
                <w:b/>
                <w:bCs/>
                <w:color w:val="auto"/>
                <w:kern w:val="0"/>
                <w:sz w:val="18"/>
                <w:szCs w:val="18"/>
              </w:rPr>
              <w:t>》（GB</w:t>
            </w:r>
            <w:r>
              <w:rPr>
                <w:rFonts w:hint="eastAsia"/>
                <w:b/>
                <w:bCs/>
                <w:color w:val="auto"/>
                <w:kern w:val="0"/>
                <w:sz w:val="18"/>
                <w:szCs w:val="18"/>
                <w:lang w:val="en-US" w:eastAsia="zh-CN"/>
              </w:rPr>
              <w:t>3838</w:t>
            </w:r>
            <w:r>
              <w:rPr>
                <w:rFonts w:hint="eastAsia"/>
                <w:b/>
                <w:bCs/>
                <w:color w:val="auto"/>
                <w:kern w:val="0"/>
                <w:sz w:val="18"/>
                <w:szCs w:val="18"/>
              </w:rPr>
              <w:t>-2002）</w:t>
            </w:r>
            <w:r>
              <w:rPr>
                <w:rFonts w:hint="eastAsia" w:ascii="仿宋" w:hAnsi="仿宋" w:eastAsia="仿宋" w:cs="仿宋"/>
                <w:b/>
                <w:bCs/>
                <w:color w:val="auto"/>
                <w:kern w:val="0"/>
                <w:sz w:val="18"/>
                <w:szCs w:val="18"/>
                <w:lang w:val="en-US" w:eastAsia="zh-CN"/>
              </w:rPr>
              <w:t>Ⅲ</w:t>
            </w:r>
            <w:r>
              <w:rPr>
                <w:rFonts w:hint="eastAsia"/>
                <w:b/>
                <w:bCs/>
                <w:color w:val="auto"/>
                <w:kern w:val="0"/>
                <w:sz w:val="18"/>
                <w:szCs w:val="18"/>
                <w:lang w:val="en-US" w:eastAsia="zh-CN"/>
              </w:rPr>
              <w:t>类标准。</w:t>
            </w:r>
          </w:p>
          <w:p>
            <w:pPr>
              <w:spacing w:line="500" w:lineRule="exact"/>
              <w:ind w:firstLine="422" w:firstLineChars="200"/>
              <w:rPr>
                <w:b/>
                <w:bCs/>
                <w:szCs w:val="21"/>
              </w:rPr>
            </w:pPr>
            <w:r>
              <w:rPr>
                <w:b/>
                <w:bCs/>
                <w:szCs w:val="21"/>
              </w:rPr>
              <w:t xml:space="preserve">3、噪声排放标准 </w:t>
            </w:r>
          </w:p>
          <w:p>
            <w:pPr>
              <w:keepNext w:val="0"/>
              <w:keepLines w:val="0"/>
              <w:pageBreakBefore w:val="0"/>
              <w:widowControl w:val="0"/>
              <w:kinsoku/>
              <w:wordWrap w:val="0"/>
              <w:overflowPunct/>
              <w:topLinePunct w:val="0"/>
              <w:autoSpaceDE/>
              <w:autoSpaceDN/>
              <w:bidi w:val="0"/>
              <w:adjustRightInd w:val="0"/>
              <w:snapToGrid w:val="0"/>
              <w:spacing w:line="500" w:lineRule="exact"/>
              <w:ind w:firstLine="420" w:firstLineChars="200"/>
              <w:textAlignment w:val="auto"/>
              <w:rPr>
                <w:rFonts w:hint="eastAsia"/>
                <w:color w:val="auto"/>
                <w:kern w:val="0"/>
                <w:szCs w:val="21"/>
              </w:rPr>
            </w:pPr>
            <w:r>
              <w:rPr>
                <w:rFonts w:hint="eastAsia"/>
                <w:color w:val="auto"/>
                <w:kern w:val="0"/>
                <w:szCs w:val="21"/>
                <w:lang w:val="en-US" w:eastAsia="zh-CN"/>
              </w:rPr>
              <w:t>项目位于</w:t>
            </w:r>
            <w:r>
              <w:rPr>
                <w:rFonts w:hint="eastAsia"/>
                <w:color w:val="auto"/>
                <w:szCs w:val="21"/>
                <w:lang w:val="en-US" w:eastAsia="zh-CN"/>
              </w:rPr>
              <w:t>如皋市长江镇创业路8号</w:t>
            </w:r>
            <w:r>
              <w:rPr>
                <w:rFonts w:hint="eastAsia"/>
                <w:color w:val="auto"/>
                <w:kern w:val="0"/>
                <w:szCs w:val="21"/>
                <w:lang w:val="en-US" w:eastAsia="zh-CN"/>
              </w:rPr>
              <w:t>，项目根据《如皋市区声环境功能区划分调整方案》通如皋环（2020）67号文，工业园区或开发区统一执行3类区标准，所在地属于工业园区，则</w:t>
            </w:r>
            <w:r>
              <w:rPr>
                <w:rFonts w:hint="eastAsia"/>
                <w:color w:val="auto"/>
                <w:kern w:val="0"/>
                <w:szCs w:val="21"/>
              </w:rPr>
              <w:t>运营期项目四周</w:t>
            </w:r>
            <w:r>
              <w:rPr>
                <w:rFonts w:hint="eastAsia"/>
                <w:color w:val="auto"/>
                <w:kern w:val="0"/>
                <w:szCs w:val="21"/>
                <w:lang w:val="en-US" w:eastAsia="zh-CN"/>
              </w:rPr>
              <w:t>厂界</w:t>
            </w:r>
            <w:r>
              <w:rPr>
                <w:rFonts w:hint="eastAsia"/>
                <w:color w:val="auto"/>
                <w:kern w:val="0"/>
                <w:szCs w:val="21"/>
              </w:rPr>
              <w:t>噪声排放标准执行《工业企业厂界环境噪声排放标准》（GB12348-2008）</w:t>
            </w:r>
            <w:r>
              <w:rPr>
                <w:rFonts w:hint="eastAsia"/>
                <w:color w:val="auto"/>
                <w:kern w:val="0"/>
                <w:szCs w:val="21"/>
                <w:lang w:val="en-US" w:eastAsia="zh-CN"/>
              </w:rPr>
              <w:t>3</w:t>
            </w:r>
            <w:r>
              <w:rPr>
                <w:rFonts w:hint="eastAsia"/>
                <w:color w:val="auto"/>
                <w:kern w:val="0"/>
                <w:szCs w:val="21"/>
              </w:rPr>
              <w:t>类标准</w:t>
            </w:r>
            <w:r>
              <w:rPr>
                <w:rFonts w:hint="eastAsia"/>
                <w:color w:val="auto"/>
                <w:kern w:val="0"/>
                <w:szCs w:val="21"/>
                <w:lang w:eastAsia="zh-CN"/>
              </w:rPr>
              <w:t>，</w:t>
            </w:r>
            <w:r>
              <w:rPr>
                <w:rFonts w:hint="eastAsia"/>
                <w:color w:val="auto"/>
                <w:kern w:val="0"/>
                <w:szCs w:val="21"/>
              </w:rPr>
              <w:t>具体标准限值见表3-</w:t>
            </w:r>
            <w:r>
              <w:rPr>
                <w:rFonts w:hint="eastAsia"/>
                <w:color w:val="auto"/>
                <w:kern w:val="0"/>
                <w:szCs w:val="21"/>
                <w:lang w:val="en-US" w:eastAsia="zh-CN"/>
              </w:rPr>
              <w:t>12</w:t>
            </w:r>
            <w:r>
              <w:rPr>
                <w:rFonts w:hint="eastAsia"/>
                <w:color w:val="auto"/>
                <w:kern w:val="0"/>
                <w:szCs w:val="21"/>
              </w:rPr>
              <w:t>。</w:t>
            </w:r>
          </w:p>
          <w:p>
            <w:pPr>
              <w:spacing w:line="500" w:lineRule="exact"/>
              <w:ind w:firstLine="422" w:firstLineChars="200"/>
              <w:jc w:val="center"/>
              <w:rPr>
                <w:b/>
                <w:color w:val="auto"/>
              </w:rPr>
            </w:pPr>
            <w:r>
              <w:rPr>
                <w:b/>
                <w:color w:val="auto"/>
              </w:rPr>
              <w:t>表</w:t>
            </w:r>
            <w:r>
              <w:rPr>
                <w:rFonts w:hint="eastAsia"/>
                <w:b/>
                <w:color w:val="auto"/>
              </w:rPr>
              <w:t>3-</w:t>
            </w:r>
            <w:r>
              <w:rPr>
                <w:rFonts w:hint="eastAsia"/>
                <w:b/>
                <w:color w:val="auto"/>
                <w:lang w:val="en-US" w:eastAsia="zh-CN"/>
              </w:rPr>
              <w:t>12</w:t>
            </w:r>
            <w:r>
              <w:rPr>
                <w:rFonts w:hint="eastAsia"/>
                <w:b/>
                <w:color w:val="auto"/>
                <w:lang w:eastAsia="zh-CN"/>
              </w:rPr>
              <w:t xml:space="preserve">  </w:t>
            </w:r>
            <w:r>
              <w:rPr>
                <w:b/>
                <w:color w:val="auto"/>
              </w:rPr>
              <w:t>运营期噪声执行标准限值</w:t>
            </w:r>
            <w:r>
              <w:rPr>
                <w:rFonts w:hint="eastAsia"/>
                <w:b/>
                <w:color w:val="auto"/>
                <w:lang w:eastAsia="zh-CN"/>
              </w:rPr>
              <w:t>（</w:t>
            </w:r>
            <w:r>
              <w:rPr>
                <w:b/>
                <w:bCs/>
                <w:color w:val="auto"/>
              </w:rPr>
              <w:t>单位：dB（A）</w:t>
            </w:r>
            <w:r>
              <w:rPr>
                <w:rFonts w:hint="eastAsia"/>
                <w:b/>
                <w:color w:val="auto"/>
                <w:lang w:eastAsia="zh-CN"/>
              </w:rPr>
              <w:t>）</w:t>
            </w:r>
          </w:p>
          <w:tbl>
            <w:tblPr>
              <w:tblStyle w:val="2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19"/>
              <w:gridCol w:w="2127"/>
              <w:gridCol w:w="1941"/>
              <w:gridCol w:w="255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33" w:type="pct"/>
                  <w:noWrap w:val="0"/>
                  <w:vAlign w:val="center"/>
                </w:tcPr>
                <w:p>
                  <w:pPr>
                    <w:jc w:val="center"/>
                    <w:rPr>
                      <w:b/>
                      <w:bCs/>
                      <w:color w:val="auto"/>
                      <w:sz w:val="18"/>
                      <w:szCs w:val="18"/>
                    </w:rPr>
                  </w:pPr>
                  <w:r>
                    <w:rPr>
                      <w:b/>
                      <w:bCs/>
                      <w:color w:val="auto"/>
                      <w:sz w:val="18"/>
                      <w:szCs w:val="18"/>
                    </w:rPr>
                    <w:t>类别</w:t>
                  </w:r>
                </w:p>
              </w:tc>
              <w:tc>
                <w:tcPr>
                  <w:tcW w:w="1306" w:type="pct"/>
                  <w:noWrap w:val="0"/>
                  <w:vAlign w:val="center"/>
                </w:tcPr>
                <w:p>
                  <w:pPr>
                    <w:jc w:val="center"/>
                    <w:rPr>
                      <w:b/>
                      <w:bCs/>
                      <w:color w:val="auto"/>
                      <w:sz w:val="18"/>
                      <w:szCs w:val="18"/>
                    </w:rPr>
                  </w:pPr>
                  <w:r>
                    <w:rPr>
                      <w:b/>
                      <w:bCs/>
                      <w:color w:val="auto"/>
                      <w:sz w:val="18"/>
                      <w:szCs w:val="18"/>
                    </w:rPr>
                    <w:t>昼间</w:t>
                  </w:r>
                </w:p>
              </w:tc>
              <w:tc>
                <w:tcPr>
                  <w:tcW w:w="1192" w:type="pct"/>
                  <w:noWrap w:val="0"/>
                  <w:vAlign w:val="center"/>
                </w:tcPr>
                <w:p>
                  <w:pPr>
                    <w:jc w:val="center"/>
                    <w:rPr>
                      <w:rFonts w:hint="eastAsia" w:eastAsia="宋体"/>
                      <w:b/>
                      <w:bCs/>
                      <w:color w:val="auto"/>
                      <w:sz w:val="18"/>
                      <w:szCs w:val="18"/>
                      <w:lang w:eastAsia="zh-CN"/>
                    </w:rPr>
                  </w:pPr>
                  <w:r>
                    <w:rPr>
                      <w:rFonts w:hint="eastAsia"/>
                      <w:b/>
                      <w:bCs/>
                      <w:color w:val="auto"/>
                      <w:sz w:val="18"/>
                      <w:szCs w:val="18"/>
                      <w:lang w:eastAsia="zh-CN"/>
                    </w:rPr>
                    <w:t>夜间</w:t>
                  </w:r>
                </w:p>
              </w:tc>
              <w:tc>
                <w:tcPr>
                  <w:tcW w:w="1567" w:type="pct"/>
                  <w:noWrap w:val="0"/>
                  <w:vAlign w:val="center"/>
                </w:tcPr>
                <w:p>
                  <w:pPr>
                    <w:jc w:val="center"/>
                    <w:rPr>
                      <w:b/>
                      <w:bCs/>
                      <w:color w:val="auto"/>
                      <w:sz w:val="18"/>
                      <w:szCs w:val="18"/>
                    </w:rPr>
                  </w:pPr>
                  <w:r>
                    <w:rPr>
                      <w:b/>
                      <w:bCs/>
                      <w:color w:val="auto"/>
                      <w:sz w:val="18"/>
                      <w:szCs w:val="18"/>
                    </w:rPr>
                    <w:t>执行区域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33" w:type="pct"/>
                  <w:noWrap w:val="0"/>
                  <w:vAlign w:val="center"/>
                </w:tcPr>
                <w:p>
                  <w:pPr>
                    <w:jc w:val="center"/>
                    <w:rPr>
                      <w:rFonts w:hint="eastAsia"/>
                      <w:color w:val="auto"/>
                      <w:kern w:val="2"/>
                      <w:sz w:val="18"/>
                      <w:szCs w:val="18"/>
                      <w:lang w:val="en-US" w:eastAsia="zh-CN" w:bidi="ar-SA"/>
                    </w:rPr>
                  </w:pPr>
                  <w:r>
                    <w:rPr>
                      <w:rFonts w:hint="eastAsia"/>
                      <w:color w:val="auto"/>
                      <w:sz w:val="18"/>
                      <w:szCs w:val="18"/>
                      <w:lang w:val="en-US" w:eastAsia="zh-CN"/>
                    </w:rPr>
                    <w:t>3</w:t>
                  </w:r>
                  <w:r>
                    <w:rPr>
                      <w:color w:val="auto"/>
                      <w:sz w:val="18"/>
                      <w:szCs w:val="18"/>
                    </w:rPr>
                    <w:t>类</w:t>
                  </w:r>
                </w:p>
              </w:tc>
              <w:tc>
                <w:tcPr>
                  <w:tcW w:w="1306" w:type="pct"/>
                  <w:noWrap w:val="0"/>
                  <w:vAlign w:val="center"/>
                </w:tcPr>
                <w:p>
                  <w:pPr>
                    <w:jc w:val="center"/>
                    <w:rPr>
                      <w:rFonts w:hint="default" w:eastAsia="宋体"/>
                      <w:color w:val="auto"/>
                      <w:kern w:val="2"/>
                      <w:sz w:val="18"/>
                      <w:szCs w:val="18"/>
                      <w:lang w:val="en-US" w:eastAsia="zh-CN" w:bidi="ar-SA"/>
                    </w:rPr>
                  </w:pPr>
                  <w:r>
                    <w:rPr>
                      <w:rFonts w:hint="eastAsia" w:eastAsia="宋体"/>
                      <w:color w:val="auto"/>
                      <w:sz w:val="18"/>
                      <w:szCs w:val="18"/>
                      <w:lang w:val="en-US" w:eastAsia="zh-CN"/>
                    </w:rPr>
                    <w:t>65</w:t>
                  </w:r>
                </w:p>
              </w:tc>
              <w:tc>
                <w:tcPr>
                  <w:tcW w:w="1192" w:type="pct"/>
                  <w:noWrap w:val="0"/>
                  <w:vAlign w:val="center"/>
                </w:tcPr>
                <w:p>
                  <w:pPr>
                    <w:jc w:val="center"/>
                    <w:rPr>
                      <w:rFonts w:hint="default" w:eastAsia="宋体"/>
                      <w:color w:val="auto"/>
                      <w:sz w:val="18"/>
                      <w:szCs w:val="18"/>
                      <w:lang w:val="en-US" w:eastAsia="zh-CN"/>
                    </w:rPr>
                  </w:pPr>
                  <w:r>
                    <w:rPr>
                      <w:rFonts w:hint="eastAsia"/>
                      <w:color w:val="auto"/>
                      <w:sz w:val="18"/>
                      <w:szCs w:val="18"/>
                      <w:lang w:val="en-US" w:eastAsia="zh-CN"/>
                    </w:rPr>
                    <w:t>55</w:t>
                  </w:r>
                </w:p>
              </w:tc>
              <w:tc>
                <w:tcPr>
                  <w:tcW w:w="1567" w:type="pct"/>
                  <w:noWrap w:val="0"/>
                  <w:vAlign w:val="center"/>
                </w:tcPr>
                <w:p>
                  <w:pPr>
                    <w:jc w:val="center"/>
                    <w:rPr>
                      <w:rFonts w:hint="eastAsia"/>
                      <w:color w:val="auto"/>
                      <w:kern w:val="2"/>
                      <w:sz w:val="18"/>
                      <w:szCs w:val="18"/>
                      <w:lang w:val="en-US" w:eastAsia="zh-CN" w:bidi="ar-SA"/>
                    </w:rPr>
                  </w:pPr>
                  <w:r>
                    <w:rPr>
                      <w:rFonts w:hint="eastAsia"/>
                      <w:color w:val="auto"/>
                      <w:sz w:val="18"/>
                      <w:szCs w:val="18"/>
                    </w:rPr>
                    <w:t>四周厂界</w:t>
                  </w:r>
                </w:p>
              </w:tc>
            </w:tr>
          </w:tbl>
          <w:p>
            <w:pPr>
              <w:adjustRightInd w:val="0"/>
              <w:snapToGrid w:val="0"/>
              <w:spacing w:line="500" w:lineRule="exact"/>
              <w:ind w:firstLine="420" w:firstLineChars="200"/>
              <w:rPr>
                <w:rStyle w:val="24"/>
                <w:rFonts w:hint="eastAsia" w:ascii="Arial" w:hAnsi="Arial" w:eastAsia="宋体" w:cs="Arial"/>
                <w:b/>
                <w:bCs/>
                <w:i w:val="0"/>
                <w:iCs w:val="0"/>
                <w:caps w:val="0"/>
                <w:color w:val="auto"/>
                <w:spacing w:val="0"/>
                <w:sz w:val="24"/>
                <w:szCs w:val="24"/>
                <w:shd w:val="clear" w:fill="FFFFFF"/>
                <w:lang w:eastAsia="zh-CN"/>
              </w:rPr>
            </w:pPr>
            <w:r>
              <w:rPr>
                <w:rFonts w:hint="eastAsia"/>
                <w:color w:val="auto"/>
                <w:kern w:val="0"/>
                <w:szCs w:val="21"/>
                <w:lang w:val="en-US" w:eastAsia="zh-CN"/>
              </w:rPr>
              <w:t>项目位于</w:t>
            </w:r>
            <w:r>
              <w:rPr>
                <w:rFonts w:hint="eastAsia"/>
                <w:color w:val="auto"/>
                <w:szCs w:val="21"/>
                <w:lang w:val="en-US" w:eastAsia="zh-CN"/>
              </w:rPr>
              <w:t>如皋市长江镇创业路8号属于工业集中区内，</w:t>
            </w:r>
            <w:r>
              <w:rPr>
                <w:rFonts w:hint="eastAsia"/>
                <w:color w:val="auto"/>
                <w:kern w:val="0"/>
                <w:szCs w:val="21"/>
                <w:lang w:val="en-US" w:eastAsia="zh-CN"/>
              </w:rPr>
              <w:t>则</w:t>
            </w:r>
            <w:r>
              <w:rPr>
                <w:rFonts w:hint="eastAsia"/>
                <w:color w:val="auto"/>
                <w:kern w:val="0"/>
                <w:szCs w:val="21"/>
              </w:rPr>
              <w:t>运营期项目</w:t>
            </w:r>
            <w:r>
              <w:rPr>
                <w:rFonts w:hint="eastAsia"/>
                <w:color w:val="auto"/>
                <w:kern w:val="0"/>
                <w:szCs w:val="21"/>
                <w:lang w:eastAsia="zh-CN"/>
              </w:rPr>
              <w:t>建筑物外</w:t>
            </w:r>
            <w:r>
              <w:rPr>
                <w:rFonts w:hint="eastAsia"/>
                <w:color w:val="auto"/>
                <w:kern w:val="0"/>
                <w:szCs w:val="21"/>
                <w:lang w:val="en-US" w:eastAsia="zh-CN"/>
              </w:rPr>
              <w:t>0.5m内震动敏感处</w:t>
            </w:r>
            <w:r>
              <w:rPr>
                <w:rFonts w:hint="eastAsia"/>
                <w:color w:val="auto"/>
                <w:kern w:val="0"/>
                <w:szCs w:val="21"/>
                <w:lang w:eastAsia="zh-CN"/>
              </w:rPr>
              <w:t>执</w:t>
            </w:r>
            <w:r>
              <w:rPr>
                <w:rFonts w:hint="eastAsia" w:ascii="Times New Roman" w:hAnsi="Times New Roman" w:eastAsia="宋体" w:cs="Times New Roman"/>
                <w:color w:val="auto"/>
                <w:szCs w:val="21"/>
                <w:lang w:val="en-US" w:eastAsia="zh-CN"/>
              </w:rPr>
              <w:t>行《城市区域环境振动标准》</w:t>
            </w:r>
            <w:r>
              <w:rPr>
                <w:rFonts w:hint="default" w:ascii="Times New Roman" w:hAnsi="Times New Roman" w:eastAsia="宋体" w:cs="Times New Roman"/>
                <w:color w:val="auto"/>
                <w:szCs w:val="21"/>
                <w:lang w:val="en-US" w:eastAsia="zh-CN"/>
              </w:rPr>
              <w:t>‌（GB 10070-88）</w:t>
            </w:r>
            <w:r>
              <w:rPr>
                <w:rFonts w:hint="eastAsia"/>
                <w:color w:val="auto"/>
                <w:kern w:val="0"/>
                <w:szCs w:val="21"/>
              </w:rPr>
              <w:t>标</w:t>
            </w:r>
            <w:r>
              <w:rPr>
                <w:rFonts w:hint="eastAsia" w:ascii="Times New Roman" w:hAnsi="Times New Roman" w:eastAsia="宋体" w:cs="Times New Roman"/>
                <w:color w:val="auto"/>
                <w:szCs w:val="21"/>
                <w:lang w:val="en-US" w:eastAsia="zh-CN"/>
              </w:rPr>
              <w:t>准，</w:t>
            </w:r>
            <w:r>
              <w:rPr>
                <w:rFonts w:hint="default" w:ascii="Times New Roman" w:hAnsi="Times New Roman" w:eastAsia="宋体" w:cs="Times New Roman"/>
                <w:color w:val="auto"/>
                <w:szCs w:val="21"/>
                <w:lang w:val="en-US" w:eastAsia="zh-CN"/>
              </w:rPr>
              <w:t>工业企业卫生防护距离</w:t>
            </w:r>
            <w:r>
              <w:rPr>
                <w:rFonts w:hint="eastAsia" w:ascii="Times New Roman" w:hAnsi="Times New Roman" w:eastAsia="宋体" w:cs="Times New Roman"/>
                <w:color w:val="auto"/>
                <w:szCs w:val="21"/>
                <w:lang w:val="en-US" w:eastAsia="zh-CN"/>
              </w:rPr>
              <w:t>参考以噪声污染为主的工业企业卫生防护距离标准（</w:t>
            </w:r>
            <w:r>
              <w:rPr>
                <w:rFonts w:hint="default" w:ascii="Times New Roman" w:hAnsi="Times New Roman" w:eastAsia="宋体" w:cs="Times New Roman"/>
                <w:color w:val="auto"/>
                <w:szCs w:val="21"/>
                <w:lang w:val="en-US" w:eastAsia="zh-CN"/>
              </w:rPr>
              <w:t>GB/T</w:t>
            </w:r>
            <w:r>
              <w:rPr>
                <w:rFonts w:hint="eastAsia" w:ascii="Times New Roman" w:hAnsi="Times New Roman" w:eastAsia="宋体" w:cs="Times New Roman"/>
                <w:color w:val="auto"/>
                <w:szCs w:val="21"/>
                <w:lang w:val="en-US" w:eastAsia="zh-CN"/>
              </w:rPr>
              <w:t xml:space="preserve"> </w:t>
            </w:r>
            <w:r>
              <w:rPr>
                <w:rFonts w:hint="default" w:ascii="Times New Roman" w:hAnsi="Times New Roman" w:eastAsia="宋体" w:cs="Times New Roman"/>
                <w:color w:val="auto"/>
                <w:szCs w:val="21"/>
                <w:lang w:val="en-US" w:eastAsia="zh-CN"/>
              </w:rPr>
              <w:t>18083-2000</w:t>
            </w:r>
            <w:r>
              <w:rPr>
                <w:rFonts w:hint="eastAsia" w:ascii="Times New Roman" w:hAnsi="Times New Roman" w:eastAsia="宋体" w:cs="Times New Roman"/>
                <w:color w:val="auto"/>
                <w:szCs w:val="21"/>
                <w:lang w:val="en-US" w:eastAsia="zh-CN"/>
              </w:rPr>
              <w:t>），具体</w:t>
            </w:r>
            <w:r>
              <w:rPr>
                <w:rFonts w:hint="eastAsia"/>
                <w:color w:val="auto"/>
                <w:kern w:val="0"/>
                <w:szCs w:val="21"/>
              </w:rPr>
              <w:t>标准限值见</w:t>
            </w:r>
            <w:r>
              <w:rPr>
                <w:rFonts w:hint="eastAsia"/>
                <w:color w:val="auto"/>
                <w:kern w:val="0"/>
                <w:szCs w:val="21"/>
                <w:lang w:eastAsia="zh-CN"/>
              </w:rPr>
              <w:t>下表</w:t>
            </w:r>
            <w:r>
              <w:rPr>
                <w:rFonts w:hint="eastAsia"/>
                <w:color w:val="auto"/>
                <w:kern w:val="0"/>
                <w:szCs w:val="21"/>
              </w:rPr>
              <w:t>。</w:t>
            </w:r>
          </w:p>
          <w:p>
            <w:pPr>
              <w:spacing w:line="500" w:lineRule="exact"/>
              <w:ind w:firstLine="422" w:firstLineChars="200"/>
              <w:jc w:val="center"/>
              <w:rPr>
                <w:b/>
                <w:color w:val="auto"/>
              </w:rPr>
            </w:pPr>
            <w:r>
              <w:rPr>
                <w:b/>
                <w:color w:val="auto"/>
              </w:rPr>
              <w:t>表</w:t>
            </w:r>
            <w:r>
              <w:rPr>
                <w:rFonts w:hint="eastAsia"/>
                <w:b/>
                <w:color w:val="auto"/>
              </w:rPr>
              <w:t>3-</w:t>
            </w:r>
            <w:r>
              <w:rPr>
                <w:rFonts w:hint="eastAsia"/>
                <w:b/>
                <w:color w:val="auto"/>
                <w:lang w:val="en-US" w:eastAsia="zh-CN"/>
              </w:rPr>
              <w:t>13</w:t>
            </w:r>
            <w:r>
              <w:rPr>
                <w:rFonts w:hint="eastAsia"/>
                <w:b/>
                <w:color w:val="auto"/>
                <w:lang w:eastAsia="zh-CN"/>
              </w:rPr>
              <w:t xml:space="preserve">  </w:t>
            </w:r>
            <w:r>
              <w:rPr>
                <w:b/>
                <w:color w:val="auto"/>
              </w:rPr>
              <w:t>运营期</w:t>
            </w:r>
            <w:r>
              <w:rPr>
                <w:rFonts w:hint="eastAsia" w:ascii="Times New Roman" w:hAnsi="Times New Roman" w:eastAsia="宋体" w:cs="Times New Roman"/>
                <w:b/>
                <w:color w:val="auto"/>
                <w:lang w:val="en-US" w:eastAsia="zh-CN"/>
              </w:rPr>
              <w:t>震动敏感处</w:t>
            </w:r>
            <w:r>
              <w:rPr>
                <w:rFonts w:ascii="Times New Roman" w:hAnsi="Times New Roman" w:eastAsia="宋体" w:cs="Times New Roman"/>
                <w:b/>
                <w:color w:val="auto"/>
              </w:rPr>
              <w:t>执</w:t>
            </w:r>
            <w:r>
              <w:rPr>
                <w:b/>
                <w:color w:val="auto"/>
              </w:rPr>
              <w:t>行标准限值</w:t>
            </w:r>
            <w:r>
              <w:rPr>
                <w:rFonts w:hint="eastAsia"/>
                <w:b/>
                <w:color w:val="auto"/>
                <w:lang w:eastAsia="zh-CN"/>
              </w:rPr>
              <w:t>（</w:t>
            </w:r>
            <w:r>
              <w:rPr>
                <w:b/>
                <w:bCs/>
                <w:color w:val="auto"/>
              </w:rPr>
              <w:t>单位：dB（A）</w:t>
            </w:r>
            <w:r>
              <w:rPr>
                <w:rFonts w:hint="eastAsia"/>
                <w:b/>
                <w:color w:val="auto"/>
                <w:lang w:eastAsia="zh-CN"/>
              </w:rPr>
              <w:t>）</w:t>
            </w:r>
          </w:p>
          <w:tbl>
            <w:tblPr>
              <w:tblStyle w:val="2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19"/>
              <w:gridCol w:w="2127"/>
              <w:gridCol w:w="1941"/>
              <w:gridCol w:w="255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33" w:type="pct"/>
                  <w:noWrap w:val="0"/>
                  <w:vAlign w:val="center"/>
                </w:tcPr>
                <w:p>
                  <w:pPr>
                    <w:jc w:val="center"/>
                    <w:rPr>
                      <w:b/>
                      <w:bCs/>
                      <w:color w:val="auto"/>
                      <w:sz w:val="18"/>
                      <w:szCs w:val="18"/>
                    </w:rPr>
                  </w:pPr>
                  <w:r>
                    <w:rPr>
                      <w:b/>
                      <w:bCs/>
                      <w:color w:val="auto"/>
                      <w:sz w:val="18"/>
                      <w:szCs w:val="18"/>
                    </w:rPr>
                    <w:t>类别</w:t>
                  </w:r>
                </w:p>
              </w:tc>
              <w:tc>
                <w:tcPr>
                  <w:tcW w:w="1306" w:type="pct"/>
                  <w:noWrap w:val="0"/>
                  <w:vAlign w:val="center"/>
                </w:tcPr>
                <w:p>
                  <w:pPr>
                    <w:jc w:val="center"/>
                    <w:rPr>
                      <w:b/>
                      <w:bCs/>
                      <w:color w:val="auto"/>
                      <w:sz w:val="18"/>
                      <w:szCs w:val="18"/>
                    </w:rPr>
                  </w:pPr>
                  <w:r>
                    <w:rPr>
                      <w:b/>
                      <w:bCs/>
                      <w:color w:val="auto"/>
                      <w:sz w:val="18"/>
                      <w:szCs w:val="18"/>
                    </w:rPr>
                    <w:t>昼间</w:t>
                  </w:r>
                </w:p>
              </w:tc>
              <w:tc>
                <w:tcPr>
                  <w:tcW w:w="1192" w:type="pct"/>
                  <w:noWrap w:val="0"/>
                  <w:vAlign w:val="center"/>
                </w:tcPr>
                <w:p>
                  <w:pPr>
                    <w:jc w:val="center"/>
                    <w:rPr>
                      <w:rFonts w:hint="eastAsia" w:eastAsia="宋体"/>
                      <w:b/>
                      <w:bCs/>
                      <w:color w:val="auto"/>
                      <w:sz w:val="18"/>
                      <w:szCs w:val="18"/>
                      <w:lang w:eastAsia="zh-CN"/>
                    </w:rPr>
                  </w:pPr>
                  <w:r>
                    <w:rPr>
                      <w:rFonts w:hint="eastAsia"/>
                      <w:b/>
                      <w:bCs/>
                      <w:color w:val="auto"/>
                      <w:sz w:val="18"/>
                      <w:szCs w:val="18"/>
                      <w:lang w:eastAsia="zh-CN"/>
                    </w:rPr>
                    <w:t>夜间</w:t>
                  </w:r>
                </w:p>
              </w:tc>
              <w:tc>
                <w:tcPr>
                  <w:tcW w:w="1567" w:type="pct"/>
                  <w:noWrap w:val="0"/>
                  <w:vAlign w:val="center"/>
                </w:tcPr>
                <w:p>
                  <w:pPr>
                    <w:jc w:val="center"/>
                    <w:rPr>
                      <w:b/>
                      <w:bCs/>
                      <w:color w:val="auto"/>
                      <w:sz w:val="18"/>
                      <w:szCs w:val="18"/>
                    </w:rPr>
                  </w:pPr>
                  <w:r>
                    <w:rPr>
                      <w:b/>
                      <w:bCs/>
                      <w:color w:val="auto"/>
                      <w:sz w:val="18"/>
                      <w:szCs w:val="18"/>
                    </w:rPr>
                    <w:t>执行区域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33" w:type="pct"/>
                  <w:noWrap w:val="0"/>
                  <w:vAlign w:val="center"/>
                </w:tcPr>
                <w:p>
                  <w:pPr>
                    <w:jc w:val="center"/>
                    <w:rPr>
                      <w:rFonts w:hint="eastAsia"/>
                      <w:color w:val="auto"/>
                      <w:kern w:val="2"/>
                      <w:sz w:val="18"/>
                      <w:szCs w:val="18"/>
                      <w:lang w:val="en-US" w:eastAsia="zh-CN" w:bidi="ar-SA"/>
                    </w:rPr>
                  </w:pPr>
                  <w:r>
                    <w:rPr>
                      <w:rFonts w:hint="eastAsia"/>
                      <w:color w:val="auto"/>
                      <w:szCs w:val="21"/>
                      <w:lang w:val="en-US" w:eastAsia="zh-CN"/>
                    </w:rPr>
                    <w:t>工业集中区</w:t>
                  </w:r>
                </w:p>
              </w:tc>
              <w:tc>
                <w:tcPr>
                  <w:tcW w:w="1306" w:type="pct"/>
                  <w:noWrap w:val="0"/>
                  <w:vAlign w:val="center"/>
                </w:tcPr>
                <w:p>
                  <w:pPr>
                    <w:jc w:val="center"/>
                    <w:rPr>
                      <w:rFonts w:hint="default" w:eastAsia="宋体"/>
                      <w:color w:val="auto"/>
                      <w:kern w:val="2"/>
                      <w:sz w:val="18"/>
                      <w:szCs w:val="18"/>
                      <w:lang w:val="en-US" w:eastAsia="zh-CN" w:bidi="ar-SA"/>
                    </w:rPr>
                  </w:pPr>
                  <w:r>
                    <w:rPr>
                      <w:rFonts w:hint="eastAsia" w:eastAsia="宋体"/>
                      <w:color w:val="auto"/>
                      <w:sz w:val="18"/>
                      <w:szCs w:val="18"/>
                      <w:lang w:val="en-US" w:eastAsia="zh-CN"/>
                    </w:rPr>
                    <w:t>75</w:t>
                  </w:r>
                </w:p>
              </w:tc>
              <w:tc>
                <w:tcPr>
                  <w:tcW w:w="1192" w:type="pct"/>
                  <w:noWrap w:val="0"/>
                  <w:vAlign w:val="center"/>
                </w:tcPr>
                <w:p>
                  <w:pPr>
                    <w:jc w:val="center"/>
                    <w:rPr>
                      <w:rFonts w:hint="default" w:eastAsia="宋体"/>
                      <w:color w:val="auto"/>
                      <w:sz w:val="18"/>
                      <w:szCs w:val="18"/>
                      <w:lang w:val="en-US" w:eastAsia="zh-CN"/>
                    </w:rPr>
                  </w:pPr>
                  <w:r>
                    <w:rPr>
                      <w:rFonts w:hint="eastAsia"/>
                      <w:color w:val="auto"/>
                      <w:sz w:val="18"/>
                      <w:szCs w:val="18"/>
                      <w:lang w:val="en-US" w:eastAsia="zh-CN"/>
                    </w:rPr>
                    <w:t>72</w:t>
                  </w:r>
                </w:p>
              </w:tc>
              <w:tc>
                <w:tcPr>
                  <w:tcW w:w="1567" w:type="pct"/>
                  <w:noWrap w:val="0"/>
                  <w:vAlign w:val="center"/>
                </w:tcPr>
                <w:p>
                  <w:pPr>
                    <w:jc w:val="center"/>
                    <w:rPr>
                      <w:rFonts w:hint="eastAsia"/>
                      <w:color w:val="auto"/>
                      <w:kern w:val="2"/>
                      <w:sz w:val="18"/>
                      <w:szCs w:val="18"/>
                      <w:lang w:val="en-US" w:eastAsia="zh-CN" w:bidi="ar-SA"/>
                    </w:rPr>
                  </w:pPr>
                  <w:r>
                    <w:rPr>
                      <w:rFonts w:hint="eastAsia"/>
                      <w:color w:val="auto"/>
                      <w:kern w:val="0"/>
                      <w:szCs w:val="21"/>
                      <w:lang w:val="en-US" w:eastAsia="zh-CN"/>
                    </w:rPr>
                    <w:t>震动敏感处</w:t>
                  </w:r>
                </w:p>
              </w:tc>
            </w:tr>
          </w:tbl>
          <w:p>
            <w:pPr>
              <w:keepNext w:val="0"/>
              <w:keepLines w:val="0"/>
              <w:pageBreakBefore w:val="0"/>
              <w:widowControl w:val="0"/>
              <w:kinsoku/>
              <w:wordWrap w:val="0"/>
              <w:overflowPunct/>
              <w:topLinePunct w:val="0"/>
              <w:autoSpaceDE/>
              <w:autoSpaceDN/>
              <w:bidi w:val="0"/>
              <w:adjustRightInd w:val="0"/>
              <w:snapToGrid w:val="0"/>
              <w:spacing w:line="500" w:lineRule="exact"/>
              <w:ind w:firstLine="422" w:firstLineChars="200"/>
              <w:jc w:val="center"/>
              <w:textAlignment w:val="auto"/>
              <w:rPr>
                <w:color w:val="auto"/>
                <w:kern w:val="0"/>
                <w:szCs w:val="21"/>
              </w:rPr>
            </w:pPr>
            <w:r>
              <w:rPr>
                <w:rFonts w:hint="default" w:ascii="Times New Roman" w:hAnsi="Times New Roman" w:eastAsia="宋体" w:cs="Times New Roman"/>
                <w:b/>
                <w:color w:val="auto"/>
                <w:lang w:val="en-US" w:eastAsia="zh-CN"/>
              </w:rPr>
              <w:fldChar w:fldCharType="begin"/>
            </w:r>
            <w:r>
              <w:rPr>
                <w:rFonts w:hint="default" w:ascii="Times New Roman" w:hAnsi="Times New Roman" w:eastAsia="宋体" w:cs="Times New Roman"/>
                <w:b/>
                <w:color w:val="auto"/>
                <w:lang w:val="en-US" w:eastAsia="zh-CN"/>
              </w:rPr>
              <w:instrText xml:space="preserve"> HYPERLINK "https://www.baidu.com/link?url=B5DY6aSLPeN6vfXGhGgdSJ2KJo-OZxuPCgQ7C7tOoBAMaNijsGb5x0pY79yN6kDGbfX4ITXbv8eQ7hjCf4IaeK&amp;wd=&amp;eqid=f28bb4250029198800000004680f0f52" \t "https://www.baidu.com/_blank" </w:instrText>
            </w:r>
            <w:r>
              <w:rPr>
                <w:rFonts w:hint="default" w:ascii="Times New Roman" w:hAnsi="Times New Roman" w:eastAsia="宋体" w:cs="Times New Roman"/>
                <w:b/>
                <w:color w:val="auto"/>
                <w:lang w:val="en-US" w:eastAsia="zh-CN"/>
              </w:rPr>
              <w:fldChar w:fldCharType="separate"/>
            </w:r>
            <w:r>
              <w:rPr>
                <w:rFonts w:hint="eastAsia" w:ascii="Times New Roman" w:hAnsi="Times New Roman" w:eastAsia="宋体" w:cs="Times New Roman"/>
                <w:b/>
                <w:color w:val="auto"/>
                <w:lang w:val="en-US" w:eastAsia="zh-CN"/>
              </w:rPr>
              <w:t>表3-1</w:t>
            </w:r>
            <w:r>
              <w:rPr>
                <w:rFonts w:hint="eastAsia" w:cs="Times New Roman"/>
                <w:b/>
                <w:color w:val="auto"/>
                <w:lang w:val="en-US" w:eastAsia="zh-CN"/>
              </w:rPr>
              <w:t>4</w:t>
            </w:r>
            <w:r>
              <w:rPr>
                <w:rFonts w:hint="eastAsia" w:ascii="Times New Roman" w:hAnsi="Times New Roman" w:eastAsia="宋体" w:cs="Times New Roman"/>
                <w:b/>
                <w:color w:val="auto"/>
                <w:lang w:val="en-US" w:eastAsia="zh-CN"/>
              </w:rPr>
              <w:t xml:space="preserve">  </w:t>
            </w:r>
            <w:r>
              <w:rPr>
                <w:rFonts w:hint="default" w:ascii="Times New Roman" w:hAnsi="Times New Roman" w:eastAsia="宋体" w:cs="Times New Roman"/>
                <w:b/>
                <w:color w:val="auto"/>
                <w:lang w:val="en-US" w:eastAsia="zh-CN"/>
              </w:rPr>
              <w:fldChar w:fldCharType="end"/>
            </w:r>
            <w:r>
              <w:rPr>
                <w:rFonts w:hint="eastAsia" w:ascii="Times New Roman" w:hAnsi="Times New Roman" w:eastAsia="宋体" w:cs="Times New Roman"/>
                <w:b/>
                <w:color w:val="auto"/>
                <w:lang w:val="en-US" w:eastAsia="zh-CN"/>
              </w:rPr>
              <w:t>以噪声污染为主的工业企业卫生防护距离标准值</w:t>
            </w:r>
          </w:p>
          <w:tbl>
            <w:tblPr>
              <w:tblStyle w:val="21"/>
              <w:tblW w:w="821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30"/>
              <w:gridCol w:w="3131"/>
              <w:gridCol w:w="28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357" w:type="pct"/>
                  <w:noWrap w:val="0"/>
                  <w:vAlign w:val="center"/>
                </w:tcPr>
                <w:p>
                  <w:pPr>
                    <w:jc w:val="center"/>
                    <w:rPr>
                      <w:b/>
                      <w:bCs/>
                      <w:color w:val="auto"/>
                      <w:sz w:val="18"/>
                      <w:szCs w:val="18"/>
                    </w:rPr>
                  </w:pPr>
                  <w:r>
                    <w:rPr>
                      <w:b/>
                      <w:bCs/>
                      <w:color w:val="auto"/>
                      <w:sz w:val="18"/>
                      <w:szCs w:val="18"/>
                    </w:rPr>
                    <w:t>类别</w:t>
                  </w:r>
                </w:p>
              </w:tc>
              <w:tc>
                <w:tcPr>
                  <w:tcW w:w="1904" w:type="pct"/>
                  <w:noWrap w:val="0"/>
                  <w:vAlign w:val="center"/>
                </w:tcPr>
                <w:p>
                  <w:pPr>
                    <w:jc w:val="center"/>
                    <w:rPr>
                      <w:rFonts w:hint="eastAsia" w:eastAsia="宋体"/>
                      <w:b/>
                      <w:bCs/>
                      <w:color w:val="auto"/>
                      <w:sz w:val="18"/>
                      <w:szCs w:val="18"/>
                      <w:lang w:eastAsia="zh-CN"/>
                    </w:rPr>
                  </w:pPr>
                  <w:r>
                    <w:rPr>
                      <w:rFonts w:hint="eastAsia"/>
                      <w:b/>
                      <w:bCs/>
                      <w:color w:val="auto"/>
                      <w:sz w:val="18"/>
                      <w:szCs w:val="18"/>
                      <w:lang w:eastAsia="zh-CN"/>
                    </w:rPr>
                    <w:t>类型</w:t>
                  </w:r>
                </w:p>
              </w:tc>
              <w:tc>
                <w:tcPr>
                  <w:tcW w:w="1738" w:type="pct"/>
                  <w:noWrap w:val="0"/>
                  <w:vAlign w:val="center"/>
                </w:tcPr>
                <w:p>
                  <w:pPr>
                    <w:jc w:val="center"/>
                    <w:rPr>
                      <w:rFonts w:hint="default" w:eastAsia="宋体"/>
                      <w:b/>
                      <w:bCs/>
                      <w:color w:val="auto"/>
                      <w:sz w:val="18"/>
                      <w:szCs w:val="18"/>
                      <w:lang w:val="en-US" w:eastAsia="zh-CN"/>
                    </w:rPr>
                  </w:pPr>
                  <w:r>
                    <w:rPr>
                      <w:rFonts w:hint="eastAsia" w:eastAsia="宋体"/>
                      <w:b/>
                      <w:bCs/>
                      <w:color w:val="auto"/>
                      <w:sz w:val="18"/>
                      <w:szCs w:val="18"/>
                      <w:lang w:eastAsia="zh-CN"/>
                    </w:rPr>
                    <w:t>卫生防护距离</w:t>
                  </w:r>
                  <w:r>
                    <w:rPr>
                      <w:rFonts w:hint="eastAsia" w:eastAsia="宋体"/>
                      <w:b/>
                      <w:bCs/>
                      <w:color w:val="auto"/>
                      <w:sz w:val="18"/>
                      <w:szCs w:val="18"/>
                      <w:lang w:val="en-US" w:eastAsia="zh-CN"/>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357" w:type="pct"/>
                  <w:noWrap w:val="0"/>
                  <w:vAlign w:val="center"/>
                </w:tcPr>
                <w:p>
                  <w:pPr>
                    <w:jc w:val="center"/>
                    <w:rPr>
                      <w:rFonts w:hint="eastAsia"/>
                      <w:color w:val="auto"/>
                      <w:kern w:val="2"/>
                      <w:sz w:val="18"/>
                      <w:szCs w:val="18"/>
                      <w:lang w:val="en-US" w:eastAsia="zh-CN" w:bidi="ar-SA"/>
                    </w:rPr>
                  </w:pPr>
                  <w:r>
                    <w:rPr>
                      <w:rFonts w:hint="eastAsia"/>
                      <w:color w:val="auto"/>
                      <w:szCs w:val="21"/>
                      <w:lang w:val="en-US" w:eastAsia="zh-CN"/>
                    </w:rPr>
                    <w:t>锻造厂</w:t>
                  </w:r>
                </w:p>
              </w:tc>
              <w:tc>
                <w:tcPr>
                  <w:tcW w:w="1904" w:type="pct"/>
                  <w:noWrap w:val="0"/>
                  <w:vAlign w:val="center"/>
                </w:tcPr>
                <w:p>
                  <w:pPr>
                    <w:jc w:val="center"/>
                    <w:rPr>
                      <w:rFonts w:hint="default" w:eastAsia="宋体"/>
                      <w:color w:val="auto"/>
                      <w:kern w:val="2"/>
                      <w:sz w:val="18"/>
                      <w:szCs w:val="18"/>
                      <w:lang w:val="en-US" w:eastAsia="zh-CN" w:bidi="ar-SA"/>
                    </w:rPr>
                  </w:pPr>
                  <w:r>
                    <w:rPr>
                      <w:rFonts w:hint="eastAsia" w:eastAsia="宋体"/>
                      <w:color w:val="auto"/>
                      <w:kern w:val="2"/>
                      <w:sz w:val="18"/>
                      <w:szCs w:val="18"/>
                      <w:lang w:val="en-US" w:eastAsia="zh-CN" w:bidi="ar-SA"/>
                    </w:rPr>
                    <w:t>中型</w:t>
                  </w:r>
                </w:p>
              </w:tc>
              <w:tc>
                <w:tcPr>
                  <w:tcW w:w="1738" w:type="pct"/>
                  <w:noWrap w:val="0"/>
                  <w:vAlign w:val="center"/>
                </w:tcPr>
                <w:p>
                  <w:pPr>
                    <w:jc w:val="center"/>
                    <w:rPr>
                      <w:rFonts w:hint="default" w:eastAsia="宋体"/>
                      <w:color w:val="auto"/>
                      <w:sz w:val="18"/>
                      <w:szCs w:val="18"/>
                      <w:lang w:val="en-US" w:eastAsia="zh-CN"/>
                    </w:rPr>
                  </w:pPr>
                  <w:r>
                    <w:rPr>
                      <w:rFonts w:hint="eastAsia" w:eastAsia="宋体"/>
                      <w:color w:val="auto"/>
                      <w:sz w:val="18"/>
                      <w:szCs w:val="18"/>
                      <w:lang w:val="en-US" w:eastAsia="zh-CN"/>
                    </w:rPr>
                    <w:t>200</w:t>
                  </w:r>
                </w:p>
              </w:tc>
            </w:tr>
          </w:tbl>
          <w:p>
            <w:pPr>
              <w:adjustRightInd w:val="0"/>
              <w:snapToGrid w:val="0"/>
              <w:spacing w:line="500" w:lineRule="exact"/>
              <w:ind w:firstLine="420" w:firstLineChars="200"/>
              <w:rPr>
                <w:kern w:val="0"/>
                <w:szCs w:val="21"/>
              </w:rPr>
            </w:pPr>
            <w:r>
              <w:rPr>
                <w:kern w:val="0"/>
                <w:szCs w:val="21"/>
              </w:rPr>
              <w:t>4、固废</w:t>
            </w:r>
          </w:p>
          <w:p>
            <w:pPr>
              <w:adjustRightInd w:val="0"/>
              <w:snapToGrid w:val="0"/>
              <w:spacing w:line="500" w:lineRule="exact"/>
              <w:ind w:firstLine="420" w:firstLineChars="200"/>
              <w:rPr>
                <w:bCs/>
                <w:szCs w:val="21"/>
              </w:rPr>
            </w:pPr>
            <w:r>
              <w:rPr>
                <w:rFonts w:hint="eastAsia"/>
                <w:color w:val="auto"/>
                <w:kern w:val="0"/>
                <w:szCs w:val="21"/>
              </w:rPr>
              <w:t>项目产生的固废主要为一般固体废物</w:t>
            </w:r>
            <w:r>
              <w:rPr>
                <w:rFonts w:hint="eastAsia"/>
                <w:color w:val="auto"/>
                <w:kern w:val="0"/>
                <w:szCs w:val="21"/>
                <w:lang w:val="en-US" w:eastAsia="zh-CN"/>
              </w:rPr>
              <w:t>和</w:t>
            </w:r>
            <w:r>
              <w:rPr>
                <w:rFonts w:hint="eastAsia"/>
                <w:color w:val="auto"/>
                <w:kern w:val="0"/>
                <w:szCs w:val="21"/>
              </w:rPr>
              <w:t>危险固废</w:t>
            </w:r>
            <w:r>
              <w:rPr>
                <w:rFonts w:hint="eastAsia"/>
                <w:color w:val="auto"/>
                <w:kern w:val="0"/>
                <w:szCs w:val="21"/>
                <w:lang w:eastAsia="zh-CN"/>
              </w:rPr>
              <w:t>。</w:t>
            </w:r>
            <w:r>
              <w:rPr>
                <w:rFonts w:hint="eastAsia"/>
                <w:color w:val="auto"/>
                <w:kern w:val="0"/>
                <w:szCs w:val="21"/>
              </w:rPr>
              <w:t>一般固体废物的暂存执行《一般工业固体废物贮存和填埋污染控制标准》（</w:t>
            </w:r>
            <w:r>
              <w:rPr>
                <w:color w:val="auto"/>
                <w:kern w:val="0"/>
                <w:szCs w:val="21"/>
              </w:rPr>
              <w:t>GB 18599-2020</w:t>
            </w:r>
            <w:r>
              <w:rPr>
                <w:rFonts w:hint="eastAsia"/>
                <w:color w:val="auto"/>
                <w:kern w:val="0"/>
                <w:szCs w:val="21"/>
              </w:rPr>
              <w:t>）；危险固废的暂存执行《危险废物贮存污染控制标准》（GB 18597-2023）、</w:t>
            </w:r>
            <w:r>
              <w:rPr>
                <w:rFonts w:hint="eastAsia"/>
                <w:bCs/>
                <w:color w:val="auto"/>
                <w:szCs w:val="21"/>
              </w:rPr>
              <w:t>《江苏省固体废物全过程环境监管工作意见》（苏环办〔2024〕16号）、</w:t>
            </w:r>
            <w:r>
              <w:rPr>
                <w:rFonts w:hint="eastAsia"/>
                <w:color w:val="auto"/>
                <w:kern w:val="0"/>
                <w:szCs w:val="21"/>
              </w:rPr>
              <w:t>《危险废物识别标志设置技术规范》（HJ 1276-2022）、</w:t>
            </w:r>
            <w:r>
              <w:rPr>
                <w:rFonts w:hint="eastAsia"/>
                <w:color w:val="auto"/>
                <w:kern w:val="0"/>
                <w:szCs w:val="21"/>
                <w:lang w:eastAsia="zh-CN"/>
              </w:rPr>
              <w:t>《危险废物转移管理办法》（生态环境部、公安部和交通运输部令23号）、《关于进一步加强危险废物规范化环境管理有关工作的通知》（环办固体〔2023〕17号）</w:t>
            </w:r>
            <w:r>
              <w:rPr>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vAlign w:val="center"/>
          </w:tcPr>
          <w:p>
            <w:pPr>
              <w:spacing w:line="500" w:lineRule="exact"/>
              <w:jc w:val="center"/>
              <w:rPr>
                <w:sz w:val="22"/>
                <w:szCs w:val="28"/>
              </w:rPr>
            </w:pPr>
          </w:p>
          <w:p>
            <w:pPr>
              <w:spacing w:line="500" w:lineRule="exact"/>
              <w:jc w:val="center"/>
              <w:rPr>
                <w:sz w:val="22"/>
                <w:szCs w:val="28"/>
              </w:rPr>
            </w:pPr>
          </w:p>
          <w:p>
            <w:pPr>
              <w:spacing w:line="500" w:lineRule="exact"/>
              <w:jc w:val="center"/>
              <w:rPr>
                <w:sz w:val="22"/>
                <w:szCs w:val="28"/>
              </w:rPr>
            </w:pPr>
          </w:p>
          <w:p>
            <w:pPr>
              <w:spacing w:line="500" w:lineRule="exact"/>
              <w:jc w:val="center"/>
              <w:rPr>
                <w:sz w:val="22"/>
                <w:szCs w:val="28"/>
              </w:rPr>
            </w:pPr>
          </w:p>
          <w:p>
            <w:pPr>
              <w:spacing w:line="500" w:lineRule="exact"/>
              <w:jc w:val="center"/>
              <w:rPr>
                <w:sz w:val="22"/>
                <w:szCs w:val="28"/>
              </w:rPr>
            </w:pPr>
          </w:p>
          <w:p>
            <w:pPr>
              <w:spacing w:line="500" w:lineRule="exact"/>
              <w:jc w:val="center"/>
              <w:rPr>
                <w:sz w:val="22"/>
                <w:szCs w:val="28"/>
              </w:rPr>
            </w:pPr>
          </w:p>
          <w:p>
            <w:pPr>
              <w:spacing w:line="500" w:lineRule="exact"/>
              <w:jc w:val="center"/>
              <w:rPr>
                <w:sz w:val="22"/>
                <w:szCs w:val="28"/>
              </w:rPr>
            </w:pPr>
          </w:p>
          <w:p>
            <w:pPr>
              <w:spacing w:line="500" w:lineRule="exact"/>
              <w:jc w:val="center"/>
              <w:rPr>
                <w:sz w:val="22"/>
                <w:szCs w:val="28"/>
              </w:rPr>
            </w:pPr>
          </w:p>
          <w:p>
            <w:pPr>
              <w:spacing w:line="500" w:lineRule="exact"/>
              <w:jc w:val="center"/>
              <w:rPr>
                <w:sz w:val="22"/>
                <w:szCs w:val="28"/>
              </w:rPr>
            </w:pPr>
          </w:p>
          <w:p>
            <w:pPr>
              <w:spacing w:line="500" w:lineRule="exact"/>
              <w:jc w:val="center"/>
              <w:rPr>
                <w:sz w:val="22"/>
                <w:szCs w:val="28"/>
              </w:rPr>
            </w:pPr>
          </w:p>
          <w:p>
            <w:pPr>
              <w:spacing w:line="500" w:lineRule="exact"/>
              <w:jc w:val="center"/>
              <w:rPr>
                <w:sz w:val="24"/>
                <w:szCs w:val="32"/>
              </w:rPr>
            </w:pPr>
            <w:r>
              <w:rPr>
                <w:sz w:val="24"/>
                <w:szCs w:val="24"/>
              </w:rPr>
              <w:t>总量控制指标</w:t>
            </w:r>
          </w:p>
        </w:tc>
        <w:tc>
          <w:tcPr>
            <w:tcW w:w="7718" w:type="dxa"/>
          </w:tcPr>
          <w:p>
            <w:pPr>
              <w:adjustRightInd w:val="0"/>
              <w:snapToGrid w:val="0"/>
              <w:spacing w:line="500" w:lineRule="exact"/>
              <w:ind w:firstLine="420" w:firstLineChars="200"/>
              <w:rPr>
                <w:bCs/>
                <w:szCs w:val="21"/>
              </w:rPr>
            </w:pPr>
            <w:r>
              <w:rPr>
                <w:rFonts w:hint="eastAsia"/>
                <w:bCs/>
                <w:szCs w:val="21"/>
              </w:rPr>
              <w:t>1、项目污染物排放情况</w:t>
            </w:r>
          </w:p>
          <w:p>
            <w:pPr>
              <w:adjustRightInd w:val="0"/>
              <w:snapToGrid w:val="0"/>
              <w:spacing w:line="500" w:lineRule="exact"/>
              <w:ind w:firstLine="420" w:firstLineChars="200"/>
              <w:rPr>
                <w:bCs/>
                <w:szCs w:val="21"/>
              </w:rPr>
            </w:pPr>
            <w:r>
              <w:rPr>
                <w:rFonts w:hint="eastAsia"/>
                <w:bCs/>
                <w:szCs w:val="21"/>
              </w:rPr>
              <w:t>项目污染物排放情况汇总表3-</w:t>
            </w:r>
            <w:r>
              <w:rPr>
                <w:rFonts w:hint="eastAsia"/>
                <w:bCs/>
                <w:szCs w:val="21"/>
                <w:lang w:val="en-US" w:eastAsia="zh-CN"/>
              </w:rPr>
              <w:t>15</w:t>
            </w:r>
            <w:r>
              <w:rPr>
                <w:rFonts w:hint="eastAsia"/>
                <w:bCs/>
                <w:szCs w:val="21"/>
              </w:rPr>
              <w:t>。</w:t>
            </w:r>
          </w:p>
          <w:p>
            <w:pPr>
              <w:spacing w:line="500" w:lineRule="exact"/>
              <w:jc w:val="center"/>
              <w:rPr>
                <w:rFonts w:hint="default" w:eastAsia="宋体"/>
                <w:bCs/>
                <w:color w:val="auto"/>
                <w:szCs w:val="21"/>
                <w:lang w:val="en-US" w:eastAsia="zh-CN"/>
              </w:rPr>
            </w:pPr>
            <w:r>
              <w:rPr>
                <w:b/>
                <w:color w:val="auto"/>
                <w:lang w:val="zh-CN"/>
              </w:rPr>
              <w:t>表</w:t>
            </w:r>
            <w:r>
              <w:rPr>
                <w:rFonts w:hint="eastAsia"/>
                <w:b/>
                <w:color w:val="auto"/>
              </w:rPr>
              <w:t>3-</w:t>
            </w:r>
            <w:r>
              <w:rPr>
                <w:rFonts w:hint="eastAsia"/>
                <w:b/>
                <w:color w:val="auto"/>
                <w:lang w:val="en-US" w:eastAsia="zh-CN"/>
              </w:rPr>
              <w:t>15</w:t>
            </w:r>
            <w:r>
              <w:rPr>
                <w:rFonts w:hint="eastAsia"/>
                <w:b/>
                <w:color w:val="auto"/>
              </w:rPr>
              <w:t xml:space="preserve"> </w:t>
            </w:r>
            <w:r>
              <w:rPr>
                <w:rFonts w:hint="eastAsia"/>
                <w:b/>
                <w:color w:val="auto"/>
                <w:lang w:val="zh-CN"/>
              </w:rPr>
              <w:t>改扩建后主厂区污染物“三本账”汇总表</w:t>
            </w:r>
            <w:r>
              <w:rPr>
                <w:rFonts w:hint="eastAsia"/>
                <w:b/>
                <w:color w:val="auto"/>
                <w:lang w:val="en-US" w:eastAsia="zh-CN"/>
              </w:rPr>
              <w:t xml:space="preserve">  单位：t/a</w:t>
            </w:r>
          </w:p>
          <w:tbl>
            <w:tblPr>
              <w:tblStyle w:val="21"/>
              <w:tblW w:w="496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236"/>
              <w:gridCol w:w="236"/>
              <w:gridCol w:w="542"/>
              <w:gridCol w:w="582"/>
              <w:gridCol w:w="686"/>
              <w:gridCol w:w="579"/>
              <w:gridCol w:w="540"/>
              <w:gridCol w:w="686"/>
              <w:gridCol w:w="801"/>
              <w:gridCol w:w="686"/>
              <w:gridCol w:w="801"/>
              <w:gridCol w:w="837"/>
              <w:gridCol w:w="8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782" w:hRule="atLeast"/>
                <w:jc w:val="center"/>
              </w:trPr>
              <w:tc>
                <w:tcPr>
                  <w:tcW w:w="170" w:type="pct"/>
                  <w:vMerge w:val="restart"/>
                  <w:noWrap w:val="0"/>
                  <w:vAlign w:val="center"/>
                </w:tcPr>
                <w:p>
                  <w:pPr>
                    <w:jc w:val="center"/>
                    <w:rPr>
                      <w:rFonts w:hAnsi="宋体"/>
                      <w:color w:val="auto"/>
                      <w:sz w:val="18"/>
                      <w:szCs w:val="18"/>
                    </w:rPr>
                  </w:pPr>
                  <w:r>
                    <w:rPr>
                      <w:rFonts w:hAnsi="宋体"/>
                      <w:color w:val="auto"/>
                      <w:sz w:val="18"/>
                      <w:szCs w:val="18"/>
                    </w:rPr>
                    <w:t>类别</w:t>
                  </w:r>
                </w:p>
              </w:tc>
              <w:tc>
                <w:tcPr>
                  <w:tcW w:w="613" w:type="pct"/>
                  <w:gridSpan w:val="2"/>
                  <w:vMerge w:val="restart"/>
                  <w:noWrap w:val="0"/>
                  <w:vAlign w:val="center"/>
                </w:tcPr>
                <w:p>
                  <w:pPr>
                    <w:jc w:val="center"/>
                    <w:rPr>
                      <w:rFonts w:hAnsi="宋体"/>
                      <w:color w:val="auto"/>
                      <w:sz w:val="18"/>
                      <w:szCs w:val="18"/>
                    </w:rPr>
                  </w:pPr>
                  <w:r>
                    <w:rPr>
                      <w:rFonts w:hAnsi="宋体"/>
                      <w:color w:val="auto"/>
                      <w:sz w:val="18"/>
                      <w:szCs w:val="18"/>
                    </w:rPr>
                    <w:t>污染物</w:t>
                  </w:r>
                </w:p>
                <w:p>
                  <w:pPr>
                    <w:jc w:val="center"/>
                    <w:rPr>
                      <w:rFonts w:hAnsi="宋体"/>
                      <w:color w:val="auto"/>
                      <w:sz w:val="18"/>
                      <w:szCs w:val="18"/>
                    </w:rPr>
                  </w:pPr>
                  <w:r>
                    <w:rPr>
                      <w:rFonts w:hAnsi="宋体"/>
                      <w:color w:val="auto"/>
                      <w:sz w:val="18"/>
                      <w:szCs w:val="18"/>
                    </w:rPr>
                    <w:t>名称</w:t>
                  </w:r>
                </w:p>
              </w:tc>
              <w:tc>
                <w:tcPr>
                  <w:tcW w:w="820" w:type="pct"/>
                  <w:gridSpan w:val="2"/>
                  <w:noWrap w:val="0"/>
                  <w:vAlign w:val="center"/>
                </w:tcPr>
                <w:p>
                  <w:pPr>
                    <w:jc w:val="center"/>
                    <w:rPr>
                      <w:rFonts w:hAnsi="宋体"/>
                      <w:color w:val="auto"/>
                      <w:sz w:val="18"/>
                      <w:szCs w:val="18"/>
                    </w:rPr>
                  </w:pPr>
                  <w:r>
                    <w:rPr>
                      <w:color w:val="auto"/>
                      <w:sz w:val="18"/>
                      <w:szCs w:val="18"/>
                    </w:rPr>
                    <w:t>现有项目</w:t>
                  </w:r>
                </w:p>
              </w:tc>
              <w:tc>
                <w:tcPr>
                  <w:tcW w:w="816" w:type="pct"/>
                  <w:gridSpan w:val="2"/>
                  <w:noWrap w:val="0"/>
                  <w:vAlign w:val="center"/>
                </w:tcPr>
                <w:p>
                  <w:pPr>
                    <w:jc w:val="center"/>
                    <w:rPr>
                      <w:rFonts w:hAnsi="宋体"/>
                      <w:color w:val="auto"/>
                      <w:sz w:val="18"/>
                      <w:szCs w:val="18"/>
                    </w:rPr>
                  </w:pPr>
                  <w:r>
                    <w:rPr>
                      <w:rFonts w:hAnsi="宋体"/>
                      <w:color w:val="auto"/>
                      <w:sz w:val="18"/>
                      <w:szCs w:val="18"/>
                    </w:rPr>
                    <w:t>以新带老削减量</w:t>
                  </w:r>
                </w:p>
              </w:tc>
              <w:tc>
                <w:tcPr>
                  <w:tcW w:w="823" w:type="pct"/>
                  <w:gridSpan w:val="2"/>
                  <w:noWrap w:val="0"/>
                  <w:vAlign w:val="center"/>
                </w:tcPr>
                <w:p>
                  <w:pPr>
                    <w:jc w:val="center"/>
                    <w:rPr>
                      <w:rFonts w:hint="eastAsia" w:hAnsi="宋体" w:eastAsia="宋体"/>
                      <w:color w:val="auto"/>
                      <w:sz w:val="18"/>
                      <w:szCs w:val="18"/>
                      <w:lang w:eastAsia="zh-CN"/>
                    </w:rPr>
                  </w:pPr>
                  <w:r>
                    <w:rPr>
                      <w:rFonts w:hint="eastAsia" w:hAnsi="宋体"/>
                      <w:color w:val="auto"/>
                      <w:sz w:val="18"/>
                      <w:szCs w:val="18"/>
                      <w:lang w:eastAsia="zh-CN"/>
                    </w:rPr>
                    <w:t>本次改扩建项目</w:t>
                  </w:r>
                </w:p>
              </w:tc>
              <w:tc>
                <w:tcPr>
                  <w:tcW w:w="856" w:type="pct"/>
                  <w:gridSpan w:val="2"/>
                  <w:noWrap w:val="0"/>
                  <w:vAlign w:val="center"/>
                </w:tcPr>
                <w:p>
                  <w:pPr>
                    <w:jc w:val="center"/>
                    <w:rPr>
                      <w:rFonts w:hint="eastAsia" w:hAnsi="宋体" w:eastAsia="宋体"/>
                      <w:color w:val="auto"/>
                      <w:sz w:val="18"/>
                      <w:szCs w:val="18"/>
                      <w:lang w:eastAsia="zh-CN"/>
                    </w:rPr>
                  </w:pPr>
                  <w:r>
                    <w:rPr>
                      <w:rFonts w:hint="eastAsia" w:hAnsi="宋体"/>
                      <w:color w:val="auto"/>
                      <w:sz w:val="18"/>
                      <w:szCs w:val="18"/>
                      <w:lang w:eastAsia="zh-CN"/>
                    </w:rPr>
                    <w:t>本次改扩建项目建成后全厂</w:t>
                  </w:r>
                </w:p>
              </w:tc>
              <w:tc>
                <w:tcPr>
                  <w:tcW w:w="899" w:type="pct"/>
                  <w:gridSpan w:val="2"/>
                  <w:shd w:val="clear" w:color="auto" w:fill="auto"/>
                  <w:noWrap w:val="0"/>
                  <w:vAlign w:val="center"/>
                </w:tcPr>
                <w:p>
                  <w:pPr>
                    <w:jc w:val="center"/>
                    <w:rPr>
                      <w:rFonts w:hint="eastAsia" w:ascii="Times New Roman" w:hAnsi="宋体" w:eastAsia="宋体" w:cstheme="minorBidi"/>
                      <w:color w:val="auto"/>
                      <w:kern w:val="2"/>
                      <w:sz w:val="18"/>
                      <w:szCs w:val="18"/>
                      <w:lang w:val="en-US" w:eastAsia="zh-CN" w:bidi="ar-SA"/>
                    </w:rPr>
                  </w:pPr>
                  <w:r>
                    <w:rPr>
                      <w:rFonts w:hAnsi="宋体"/>
                      <w:color w:val="auto"/>
                      <w:sz w:val="18"/>
                      <w:szCs w:val="18"/>
                    </w:rPr>
                    <w:t>增减量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782" w:hRule="atLeast"/>
                <w:jc w:val="center"/>
              </w:trPr>
              <w:tc>
                <w:tcPr>
                  <w:tcW w:w="170" w:type="pct"/>
                  <w:vMerge w:val="continue"/>
                  <w:noWrap w:val="0"/>
                  <w:vAlign w:val="center"/>
                </w:tcPr>
                <w:p>
                  <w:pPr>
                    <w:jc w:val="center"/>
                    <w:rPr>
                      <w:color w:val="auto"/>
                    </w:rPr>
                  </w:pPr>
                </w:p>
              </w:tc>
              <w:tc>
                <w:tcPr>
                  <w:tcW w:w="613" w:type="pct"/>
                  <w:gridSpan w:val="2"/>
                  <w:vMerge w:val="continue"/>
                  <w:noWrap w:val="0"/>
                  <w:vAlign w:val="center"/>
                </w:tcPr>
                <w:p>
                  <w:pPr>
                    <w:jc w:val="center"/>
                    <w:rPr>
                      <w:color w:val="auto"/>
                    </w:rPr>
                  </w:pPr>
                </w:p>
              </w:tc>
              <w:tc>
                <w:tcPr>
                  <w:tcW w:w="422" w:type="pct"/>
                  <w:noWrap w:val="0"/>
                  <w:vAlign w:val="center"/>
                </w:tcPr>
                <w:p>
                  <w:pPr>
                    <w:jc w:val="center"/>
                    <w:rPr>
                      <w:rFonts w:hint="eastAsia" w:eastAsia="宋体"/>
                      <w:color w:val="auto"/>
                      <w:sz w:val="18"/>
                      <w:szCs w:val="18"/>
                      <w:lang w:eastAsia="zh-CN"/>
                    </w:rPr>
                  </w:pPr>
                  <w:r>
                    <w:rPr>
                      <w:rFonts w:hint="eastAsia"/>
                      <w:color w:val="auto"/>
                      <w:sz w:val="18"/>
                      <w:szCs w:val="18"/>
                      <w:lang w:eastAsia="zh-CN"/>
                    </w:rPr>
                    <w:t>接管量</w:t>
                  </w:r>
                </w:p>
              </w:tc>
              <w:tc>
                <w:tcPr>
                  <w:tcW w:w="397" w:type="pct"/>
                  <w:noWrap w:val="0"/>
                  <w:vAlign w:val="center"/>
                </w:tcPr>
                <w:p>
                  <w:pPr>
                    <w:jc w:val="center"/>
                    <w:rPr>
                      <w:rFonts w:hint="eastAsia" w:eastAsia="宋体"/>
                      <w:color w:val="auto"/>
                      <w:sz w:val="18"/>
                      <w:szCs w:val="18"/>
                      <w:lang w:eastAsia="zh-CN"/>
                    </w:rPr>
                  </w:pPr>
                  <w:r>
                    <w:rPr>
                      <w:rFonts w:hint="eastAsia"/>
                      <w:color w:val="auto"/>
                      <w:sz w:val="18"/>
                      <w:szCs w:val="18"/>
                      <w:lang w:eastAsia="zh-CN"/>
                    </w:rPr>
                    <w:t>外排量</w:t>
                  </w:r>
                </w:p>
              </w:tc>
              <w:tc>
                <w:tcPr>
                  <w:tcW w:w="420" w:type="pct"/>
                  <w:noWrap w:val="0"/>
                  <w:vAlign w:val="center"/>
                </w:tcPr>
                <w:p>
                  <w:pPr>
                    <w:jc w:val="center"/>
                    <w:rPr>
                      <w:color w:val="auto"/>
                      <w:sz w:val="18"/>
                      <w:szCs w:val="18"/>
                    </w:rPr>
                  </w:pPr>
                  <w:r>
                    <w:rPr>
                      <w:rFonts w:hint="eastAsia"/>
                      <w:color w:val="auto"/>
                      <w:sz w:val="18"/>
                      <w:szCs w:val="18"/>
                      <w:lang w:eastAsia="zh-CN"/>
                    </w:rPr>
                    <w:t>接管量</w:t>
                  </w:r>
                </w:p>
              </w:tc>
              <w:tc>
                <w:tcPr>
                  <w:tcW w:w="395" w:type="pct"/>
                  <w:noWrap w:val="0"/>
                  <w:vAlign w:val="center"/>
                </w:tcPr>
                <w:p>
                  <w:pPr>
                    <w:jc w:val="center"/>
                    <w:rPr>
                      <w:color w:val="auto"/>
                      <w:sz w:val="18"/>
                      <w:szCs w:val="18"/>
                    </w:rPr>
                  </w:pPr>
                  <w:r>
                    <w:rPr>
                      <w:rFonts w:hint="eastAsia"/>
                      <w:color w:val="auto"/>
                      <w:sz w:val="18"/>
                      <w:szCs w:val="18"/>
                      <w:lang w:eastAsia="zh-CN"/>
                    </w:rPr>
                    <w:t>外排量</w:t>
                  </w:r>
                </w:p>
              </w:tc>
              <w:tc>
                <w:tcPr>
                  <w:tcW w:w="426" w:type="pct"/>
                  <w:noWrap w:val="0"/>
                  <w:vAlign w:val="center"/>
                </w:tcPr>
                <w:p>
                  <w:pPr>
                    <w:jc w:val="center"/>
                    <w:rPr>
                      <w:rFonts w:hint="eastAsia" w:eastAsia="宋体"/>
                      <w:color w:val="auto"/>
                      <w:sz w:val="18"/>
                      <w:szCs w:val="18"/>
                      <w:lang w:eastAsia="zh-CN"/>
                    </w:rPr>
                  </w:pPr>
                  <w:r>
                    <w:rPr>
                      <w:rFonts w:hint="eastAsia"/>
                      <w:color w:val="auto"/>
                      <w:sz w:val="18"/>
                      <w:szCs w:val="18"/>
                      <w:lang w:eastAsia="zh-CN"/>
                    </w:rPr>
                    <w:t>接管量</w:t>
                  </w:r>
                </w:p>
              </w:tc>
              <w:tc>
                <w:tcPr>
                  <w:tcW w:w="397" w:type="pct"/>
                  <w:noWrap w:val="0"/>
                  <w:vAlign w:val="center"/>
                </w:tcPr>
                <w:p>
                  <w:pPr>
                    <w:jc w:val="center"/>
                    <w:rPr>
                      <w:color w:val="auto"/>
                      <w:sz w:val="18"/>
                      <w:szCs w:val="18"/>
                    </w:rPr>
                  </w:pPr>
                  <w:r>
                    <w:rPr>
                      <w:rFonts w:hint="eastAsia"/>
                      <w:color w:val="auto"/>
                      <w:sz w:val="18"/>
                      <w:szCs w:val="18"/>
                      <w:lang w:eastAsia="zh-CN"/>
                    </w:rPr>
                    <w:t>外排量</w:t>
                  </w:r>
                </w:p>
              </w:tc>
              <w:tc>
                <w:tcPr>
                  <w:tcW w:w="459" w:type="pct"/>
                  <w:noWrap w:val="0"/>
                  <w:vAlign w:val="center"/>
                </w:tcPr>
                <w:p>
                  <w:pPr>
                    <w:jc w:val="center"/>
                    <w:rPr>
                      <w:color w:val="auto"/>
                      <w:sz w:val="18"/>
                      <w:szCs w:val="18"/>
                    </w:rPr>
                  </w:pPr>
                  <w:r>
                    <w:rPr>
                      <w:rFonts w:hint="eastAsia"/>
                      <w:color w:val="auto"/>
                      <w:sz w:val="18"/>
                      <w:szCs w:val="18"/>
                      <w:lang w:eastAsia="zh-CN"/>
                    </w:rPr>
                    <w:t>接管量</w:t>
                  </w:r>
                </w:p>
              </w:tc>
              <w:tc>
                <w:tcPr>
                  <w:tcW w:w="397" w:type="pct"/>
                  <w:noWrap w:val="0"/>
                  <w:vAlign w:val="center"/>
                </w:tcPr>
                <w:p>
                  <w:pPr>
                    <w:jc w:val="center"/>
                    <w:rPr>
                      <w:color w:val="auto"/>
                      <w:sz w:val="18"/>
                      <w:szCs w:val="18"/>
                    </w:rPr>
                  </w:pPr>
                  <w:r>
                    <w:rPr>
                      <w:rFonts w:hint="eastAsia"/>
                      <w:color w:val="auto"/>
                      <w:sz w:val="18"/>
                      <w:szCs w:val="18"/>
                      <w:lang w:eastAsia="zh-CN"/>
                    </w:rPr>
                    <w:t>外排量</w:t>
                  </w:r>
                </w:p>
              </w:tc>
              <w:tc>
                <w:tcPr>
                  <w:tcW w:w="414" w:type="pct"/>
                  <w:noWrap w:val="0"/>
                  <w:vAlign w:val="center"/>
                </w:tcPr>
                <w:p>
                  <w:pPr>
                    <w:jc w:val="center"/>
                    <w:rPr>
                      <w:rFonts w:hint="eastAsia" w:eastAsia="宋体"/>
                      <w:color w:val="auto"/>
                      <w:sz w:val="18"/>
                      <w:szCs w:val="18"/>
                      <w:lang w:eastAsia="zh-CN"/>
                    </w:rPr>
                  </w:pPr>
                  <w:r>
                    <w:rPr>
                      <w:rFonts w:hint="eastAsia"/>
                      <w:color w:val="auto"/>
                      <w:sz w:val="18"/>
                      <w:szCs w:val="18"/>
                      <w:lang w:eastAsia="zh-CN"/>
                    </w:rPr>
                    <w:t>接管量</w:t>
                  </w:r>
                </w:p>
              </w:tc>
              <w:tc>
                <w:tcPr>
                  <w:tcW w:w="485" w:type="pct"/>
                  <w:noWrap w:val="0"/>
                  <w:vAlign w:val="center"/>
                </w:tcPr>
                <w:p>
                  <w:pPr>
                    <w:jc w:val="center"/>
                    <w:rPr>
                      <w:color w:val="auto"/>
                      <w:sz w:val="18"/>
                      <w:szCs w:val="18"/>
                    </w:rPr>
                  </w:pPr>
                  <w:r>
                    <w:rPr>
                      <w:rFonts w:hint="eastAsia"/>
                      <w:color w:val="auto"/>
                      <w:sz w:val="18"/>
                      <w:szCs w:val="18"/>
                      <w:lang w:eastAsia="zh-CN"/>
                    </w:rPr>
                    <w:t>外排量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821" w:hRule="atLeast"/>
                <w:jc w:val="center"/>
              </w:trPr>
              <w:tc>
                <w:tcPr>
                  <w:tcW w:w="170" w:type="pct"/>
                  <w:vMerge w:val="restart"/>
                  <w:noWrap w:val="0"/>
                  <w:vAlign w:val="center"/>
                </w:tcPr>
                <w:p>
                  <w:pPr>
                    <w:jc w:val="center"/>
                    <w:rPr>
                      <w:rFonts w:hAnsi="宋体"/>
                      <w:color w:val="auto"/>
                      <w:sz w:val="18"/>
                      <w:szCs w:val="18"/>
                    </w:rPr>
                  </w:pPr>
                  <w:r>
                    <w:rPr>
                      <w:rFonts w:hAnsi="宋体"/>
                      <w:color w:val="auto"/>
                      <w:sz w:val="18"/>
                      <w:szCs w:val="18"/>
                    </w:rPr>
                    <w:t>废气</w:t>
                  </w:r>
                </w:p>
              </w:tc>
              <w:tc>
                <w:tcPr>
                  <w:tcW w:w="185" w:type="pct"/>
                  <w:vMerge w:val="restart"/>
                  <w:noWrap w:val="0"/>
                  <w:vAlign w:val="center"/>
                </w:tcPr>
                <w:p>
                  <w:pPr>
                    <w:jc w:val="center"/>
                    <w:rPr>
                      <w:rFonts w:hAnsi="宋体"/>
                      <w:color w:val="auto"/>
                      <w:sz w:val="18"/>
                      <w:szCs w:val="18"/>
                    </w:rPr>
                  </w:pPr>
                  <w:r>
                    <w:rPr>
                      <w:rFonts w:hAnsi="宋体"/>
                      <w:color w:val="auto"/>
                      <w:sz w:val="18"/>
                      <w:szCs w:val="18"/>
                    </w:rPr>
                    <w:t>有组织</w:t>
                  </w:r>
                </w:p>
              </w:tc>
              <w:tc>
                <w:tcPr>
                  <w:tcW w:w="427" w:type="pct"/>
                  <w:noWrap w:val="0"/>
                  <w:vAlign w:val="center"/>
                </w:tcPr>
                <w:p>
                  <w:pPr>
                    <w:tabs>
                      <w:tab w:val="left" w:pos="277"/>
                      <w:tab w:val="left" w:pos="600"/>
                      <w:tab w:val="left" w:pos="780"/>
                      <w:tab w:val="left" w:pos="2517"/>
                    </w:tabs>
                    <w:adjustRightInd w:val="0"/>
                    <w:snapToGrid w:val="0"/>
                    <w:jc w:val="center"/>
                    <w:rPr>
                      <w:rFonts w:hint="default" w:ascii="Times New Roman" w:hAnsi="宋体" w:eastAsia="宋体" w:cs="Times New Roman"/>
                      <w:color w:val="auto"/>
                      <w:kern w:val="0"/>
                      <w:sz w:val="18"/>
                      <w:szCs w:val="18"/>
                      <w:lang w:val="en-US" w:eastAsia="zh-CN" w:bidi="ar-SA"/>
                    </w:rPr>
                  </w:pPr>
                  <w:r>
                    <w:rPr>
                      <w:rFonts w:hint="default" w:ascii="Times New Roman" w:hAnsi="宋体" w:eastAsia="宋体" w:cs="Times New Roman"/>
                      <w:color w:val="auto"/>
                      <w:kern w:val="0"/>
                      <w:sz w:val="18"/>
                      <w:szCs w:val="18"/>
                      <w:lang w:eastAsia="zh-CN"/>
                    </w:rPr>
                    <w:t>颗粒物</w:t>
                  </w:r>
                </w:p>
              </w:tc>
              <w:tc>
                <w:tcPr>
                  <w:tcW w:w="422" w:type="pct"/>
                  <w:noWrap w:val="0"/>
                  <w:vAlign w:val="center"/>
                </w:tcPr>
                <w:p>
                  <w:pPr>
                    <w:keepNext w:val="0"/>
                    <w:keepLines w:val="0"/>
                    <w:widowControl/>
                    <w:suppressLineNumbers w:val="0"/>
                    <w:jc w:val="center"/>
                    <w:textAlignment w:val="center"/>
                    <w:rPr>
                      <w:rFonts w:hint="eastAsia" w:ascii="Times New Roman" w:hAnsi="宋体" w:eastAsia="宋体" w:cs="Times New Roman"/>
                      <w:color w:val="auto"/>
                      <w:kern w:val="0"/>
                      <w:sz w:val="18"/>
                      <w:szCs w:val="18"/>
                      <w:lang w:val="en-US" w:eastAsia="zh-CN" w:bidi="ar-SA"/>
                    </w:rPr>
                  </w:pPr>
                  <w:r>
                    <w:rPr>
                      <w:rFonts w:hint="eastAsia" w:ascii="Times New Roman" w:hAnsi="宋体" w:eastAsia="宋体" w:cs="Times New Roman"/>
                      <w:color w:val="auto"/>
                      <w:kern w:val="0"/>
                      <w:sz w:val="18"/>
                      <w:szCs w:val="18"/>
                      <w:lang w:val="en-US" w:eastAsia="zh-CN" w:bidi="ar-SA"/>
                    </w:rPr>
                    <w:t>/</w:t>
                  </w:r>
                </w:p>
              </w:tc>
              <w:tc>
                <w:tcPr>
                  <w:tcW w:w="397" w:type="pct"/>
                  <w:noWrap w:val="0"/>
                  <w:vAlign w:val="center"/>
                </w:tcPr>
                <w:p>
                  <w:pPr>
                    <w:adjustRightInd w:val="0"/>
                    <w:snapToGrid w:val="0"/>
                    <w:jc w:val="center"/>
                    <w:rPr>
                      <w:rFonts w:hint="eastAsia" w:ascii="Times New Roman" w:hAnsi="宋体" w:eastAsia="宋体" w:cs="Times New Roman"/>
                      <w:color w:val="auto"/>
                      <w:kern w:val="0"/>
                      <w:sz w:val="18"/>
                      <w:szCs w:val="18"/>
                      <w:lang w:val="en-US" w:eastAsia="zh-CN" w:bidi="ar-SA"/>
                    </w:rPr>
                  </w:pPr>
                  <w:r>
                    <w:rPr>
                      <w:rFonts w:hint="default" w:ascii="Times New Roman" w:hAnsi="Times New Roman" w:eastAsia="宋体" w:cs="Times New Roman"/>
                      <w:color w:val="auto"/>
                      <w:sz w:val="18"/>
                      <w:szCs w:val="18"/>
                      <w:lang w:val="en-US" w:eastAsia="zh-CN"/>
                    </w:rPr>
                    <w:t>9.5</w:t>
                  </w:r>
                </w:p>
              </w:tc>
              <w:tc>
                <w:tcPr>
                  <w:tcW w:w="420" w:type="pct"/>
                  <w:noWrap w:val="0"/>
                  <w:vAlign w:val="center"/>
                </w:tcPr>
                <w:p>
                  <w:pPr>
                    <w:keepNext w:val="0"/>
                    <w:keepLines w:val="0"/>
                    <w:widowControl/>
                    <w:suppressLineNumbers w:val="0"/>
                    <w:jc w:val="center"/>
                    <w:textAlignment w:val="center"/>
                    <w:rPr>
                      <w:rFonts w:hint="default" w:ascii="Times New Roman" w:hAnsi="宋体" w:eastAsia="宋体" w:cs="Times New Roman"/>
                      <w:color w:val="auto"/>
                      <w:kern w:val="0"/>
                      <w:sz w:val="18"/>
                      <w:szCs w:val="18"/>
                      <w:lang w:val="en-US" w:eastAsia="zh-CN" w:bidi="ar-SA"/>
                    </w:rPr>
                  </w:pPr>
                  <w:r>
                    <w:rPr>
                      <w:rFonts w:hint="eastAsia" w:ascii="Times New Roman" w:hAnsi="宋体" w:eastAsia="宋体" w:cs="Times New Roman"/>
                      <w:color w:val="auto"/>
                      <w:kern w:val="0"/>
                      <w:sz w:val="18"/>
                      <w:szCs w:val="18"/>
                      <w:lang w:val="en-US" w:eastAsia="zh-CN" w:bidi="ar-SA"/>
                    </w:rPr>
                    <w:t>/</w:t>
                  </w:r>
                </w:p>
              </w:tc>
              <w:tc>
                <w:tcPr>
                  <w:tcW w:w="395" w:type="pct"/>
                  <w:noWrap w:val="0"/>
                  <w:vAlign w:val="center"/>
                </w:tcPr>
                <w:p>
                  <w:pPr>
                    <w:adjustRightInd w:val="0"/>
                    <w:snapToGrid w:val="0"/>
                    <w:jc w:val="center"/>
                    <w:rPr>
                      <w:rFonts w:hint="default" w:ascii="Times New Roman" w:hAnsi="宋体" w:eastAsia="宋体" w:cs="Times New Roman"/>
                      <w:color w:val="auto"/>
                      <w:kern w:val="0"/>
                      <w:sz w:val="18"/>
                      <w:szCs w:val="18"/>
                      <w:lang w:val="en-US" w:eastAsia="zh-CN" w:bidi="ar-SA"/>
                    </w:rPr>
                  </w:pPr>
                  <w:r>
                    <w:rPr>
                      <w:rFonts w:hint="default" w:ascii="Times New Roman" w:hAnsi="Times New Roman" w:eastAsia="宋体" w:cs="Times New Roman"/>
                      <w:color w:val="auto"/>
                      <w:sz w:val="18"/>
                      <w:szCs w:val="18"/>
                      <w:lang w:val="en-US" w:eastAsia="zh-CN"/>
                    </w:rPr>
                    <w:t>9.5</w:t>
                  </w:r>
                </w:p>
              </w:tc>
              <w:tc>
                <w:tcPr>
                  <w:tcW w:w="426" w:type="pct"/>
                  <w:noWrap w:val="0"/>
                  <w:vAlign w:val="center"/>
                </w:tcPr>
                <w:p>
                  <w:pPr>
                    <w:keepNext w:val="0"/>
                    <w:keepLines w:val="0"/>
                    <w:widowControl/>
                    <w:suppressLineNumbers w:val="0"/>
                    <w:jc w:val="center"/>
                    <w:textAlignment w:val="center"/>
                    <w:rPr>
                      <w:rFonts w:hint="default" w:ascii="Times New Roman" w:hAnsi="宋体" w:eastAsia="宋体" w:cs="Times New Roman"/>
                      <w:color w:val="auto"/>
                      <w:kern w:val="0"/>
                      <w:sz w:val="18"/>
                      <w:szCs w:val="18"/>
                      <w:lang w:val="en-US" w:eastAsia="zh-CN" w:bidi="ar-SA"/>
                    </w:rPr>
                  </w:pPr>
                  <w:r>
                    <w:rPr>
                      <w:rFonts w:hint="eastAsia" w:ascii="Times New Roman" w:hAnsi="宋体" w:eastAsia="宋体" w:cs="Times New Roman"/>
                      <w:color w:val="auto"/>
                      <w:kern w:val="0"/>
                      <w:sz w:val="18"/>
                      <w:szCs w:val="18"/>
                      <w:lang w:val="en-US" w:eastAsia="zh-CN" w:bidi="ar-SA"/>
                    </w:rPr>
                    <w:t>/</w:t>
                  </w:r>
                </w:p>
              </w:tc>
              <w:tc>
                <w:tcPr>
                  <w:tcW w:w="397"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i w:val="0"/>
                      <w:iCs w:val="0"/>
                      <w:color w:val="auto"/>
                      <w:kern w:val="0"/>
                      <w:sz w:val="18"/>
                      <w:szCs w:val="18"/>
                      <w:u w:val="none"/>
                      <w:lang w:val="en-US" w:eastAsia="zh-CN" w:bidi="ar"/>
                    </w:rPr>
                    <w:t>12.9471</w:t>
                  </w:r>
                  <w:r>
                    <w:rPr>
                      <w:rFonts w:hint="default" w:ascii="Times New Roman" w:hAnsi="Times New Roman" w:eastAsia="宋体" w:cs="Times New Roman"/>
                      <w:i w:val="0"/>
                      <w:iCs w:val="0"/>
                      <w:color w:val="auto"/>
                      <w:kern w:val="0"/>
                      <w:sz w:val="18"/>
                      <w:szCs w:val="18"/>
                      <w:u w:val="none"/>
                      <w:lang w:val="en-US" w:eastAsia="zh-CN" w:bidi="ar"/>
                    </w:rPr>
                    <w:t xml:space="preserve"> </w:t>
                  </w:r>
                </w:p>
              </w:tc>
              <w:tc>
                <w:tcPr>
                  <w:tcW w:w="45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eastAsia" w:ascii="Times New Roman" w:hAnsi="宋体" w:eastAsia="宋体" w:cs="Times New Roman"/>
                      <w:color w:val="auto"/>
                      <w:kern w:val="0"/>
                      <w:sz w:val="18"/>
                      <w:szCs w:val="18"/>
                      <w:lang w:val="en-US" w:eastAsia="zh-CN" w:bidi="ar-SA"/>
                    </w:rPr>
                    <w:t>/</w:t>
                  </w:r>
                </w:p>
              </w:tc>
              <w:tc>
                <w:tcPr>
                  <w:tcW w:w="397" w:type="pct"/>
                  <w:noWrap w:val="0"/>
                  <w:vAlign w:val="center"/>
                </w:tcPr>
                <w:p>
                  <w:pPr>
                    <w:keepNext w:val="0"/>
                    <w:keepLines w:val="0"/>
                    <w:widowControl/>
                    <w:suppressLineNumbers w:val="0"/>
                    <w:jc w:val="center"/>
                    <w:textAlignment w:val="center"/>
                    <w:rPr>
                      <w:rFonts w:hint="default" w:ascii="Times New Roman" w:hAnsi="宋体" w:eastAsia="宋体" w:cs="Times New Roman"/>
                      <w:color w:val="auto"/>
                      <w:kern w:val="0"/>
                      <w:sz w:val="18"/>
                      <w:szCs w:val="18"/>
                      <w:lang w:val="en-US" w:eastAsia="zh-CN" w:bidi="ar-SA"/>
                    </w:rPr>
                  </w:pPr>
                  <w:r>
                    <w:rPr>
                      <w:rFonts w:hint="eastAsia" w:ascii="Times New Roman" w:hAnsi="Times New Roman" w:eastAsia="宋体" w:cs="Times New Roman"/>
                      <w:i w:val="0"/>
                      <w:iCs w:val="0"/>
                      <w:color w:val="auto"/>
                      <w:kern w:val="0"/>
                      <w:sz w:val="18"/>
                      <w:szCs w:val="18"/>
                      <w:u w:val="none"/>
                      <w:lang w:val="en-US" w:eastAsia="zh-CN" w:bidi="ar"/>
                    </w:rPr>
                    <w:t>12.9471</w:t>
                  </w:r>
                  <w:r>
                    <w:rPr>
                      <w:rFonts w:hint="default" w:ascii="Times New Roman" w:hAnsi="Times New Roman" w:eastAsia="宋体" w:cs="Times New Roman"/>
                      <w:i w:val="0"/>
                      <w:iCs w:val="0"/>
                      <w:color w:val="auto"/>
                      <w:kern w:val="0"/>
                      <w:sz w:val="18"/>
                      <w:szCs w:val="18"/>
                      <w:u w:val="none"/>
                      <w:lang w:val="en-US" w:eastAsia="zh-CN" w:bidi="ar"/>
                    </w:rPr>
                    <w:t xml:space="preserve"> </w:t>
                  </w:r>
                </w:p>
              </w:tc>
              <w:tc>
                <w:tcPr>
                  <w:tcW w:w="414" w:type="pct"/>
                  <w:noWrap w:val="0"/>
                  <w:vAlign w:val="center"/>
                </w:tcPr>
                <w:p>
                  <w:pPr>
                    <w:keepNext w:val="0"/>
                    <w:keepLines w:val="0"/>
                    <w:widowControl/>
                    <w:suppressLineNumbers w:val="0"/>
                    <w:jc w:val="center"/>
                    <w:textAlignment w:val="center"/>
                    <w:rPr>
                      <w:rFonts w:hint="default" w:ascii="Times New Roman" w:hAnsi="宋体" w:eastAsia="宋体" w:cs="Times New Roman"/>
                      <w:color w:val="auto"/>
                      <w:kern w:val="0"/>
                      <w:sz w:val="18"/>
                      <w:szCs w:val="18"/>
                      <w:lang w:val="en-US" w:eastAsia="zh-CN" w:bidi="ar-SA"/>
                    </w:rPr>
                  </w:pPr>
                  <w:r>
                    <w:rPr>
                      <w:rFonts w:hint="eastAsia" w:ascii="Times New Roman" w:hAnsi="宋体" w:eastAsia="宋体" w:cs="Times New Roman"/>
                      <w:color w:val="auto"/>
                      <w:kern w:val="0"/>
                      <w:sz w:val="18"/>
                      <w:szCs w:val="18"/>
                      <w:lang w:val="en-US" w:eastAsia="zh-CN" w:bidi="ar-SA"/>
                    </w:rPr>
                    <w:t>/</w:t>
                  </w:r>
                </w:p>
              </w:tc>
              <w:tc>
                <w:tcPr>
                  <w:tcW w:w="485" w:type="pct"/>
                  <w:noWrap w:val="0"/>
                  <w:vAlign w:val="center"/>
                </w:tcPr>
                <w:p>
                  <w:pPr>
                    <w:adjustRightInd w:val="0"/>
                    <w:snapToGrid w:val="0"/>
                    <w:jc w:val="center"/>
                    <w:rPr>
                      <w:rFonts w:hint="default" w:ascii="Times New Roman" w:hAnsi="宋体" w:eastAsia="宋体" w:cs="Times New Roman"/>
                      <w:color w:val="auto"/>
                      <w:kern w:val="0"/>
                      <w:sz w:val="18"/>
                      <w:szCs w:val="18"/>
                      <w:lang w:val="en-US" w:eastAsia="zh-CN" w:bidi="ar-SA"/>
                    </w:rPr>
                  </w:pPr>
                  <w:r>
                    <w:rPr>
                      <w:rFonts w:hint="eastAsia" w:ascii="Times New Roman" w:hAnsi="宋体" w:eastAsia="宋体" w:cs="Times New Roman"/>
                      <w:color w:val="auto"/>
                      <w:kern w:val="0"/>
                      <w:sz w:val="18"/>
                      <w:szCs w:val="18"/>
                      <w:lang w:val="en-US" w:eastAsia="zh-CN" w:bidi="ar-SA"/>
                    </w:rPr>
                    <w:t>+3.4471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571" w:hRule="atLeast"/>
                <w:jc w:val="center"/>
              </w:trPr>
              <w:tc>
                <w:tcPr>
                  <w:tcW w:w="170" w:type="pct"/>
                  <w:vMerge w:val="continue"/>
                  <w:noWrap w:val="0"/>
                  <w:vAlign w:val="center"/>
                </w:tcPr>
                <w:p>
                  <w:pPr>
                    <w:jc w:val="center"/>
                    <w:rPr>
                      <w:rFonts w:hAnsi="宋体"/>
                      <w:color w:val="auto"/>
                      <w:sz w:val="18"/>
                      <w:szCs w:val="18"/>
                    </w:rPr>
                  </w:pPr>
                </w:p>
              </w:tc>
              <w:tc>
                <w:tcPr>
                  <w:tcW w:w="185" w:type="pct"/>
                  <w:vMerge w:val="continue"/>
                  <w:noWrap w:val="0"/>
                  <w:vAlign w:val="center"/>
                </w:tcPr>
                <w:p>
                  <w:pPr>
                    <w:jc w:val="center"/>
                    <w:rPr>
                      <w:rFonts w:hAnsi="宋体"/>
                      <w:color w:val="auto"/>
                      <w:sz w:val="18"/>
                      <w:szCs w:val="18"/>
                    </w:rPr>
                  </w:pPr>
                </w:p>
              </w:tc>
              <w:tc>
                <w:tcPr>
                  <w:tcW w:w="427" w:type="pct"/>
                  <w:noWrap w:val="0"/>
                  <w:vAlign w:val="center"/>
                </w:tcPr>
                <w:p>
                  <w:pPr>
                    <w:pStyle w:val="49"/>
                    <w:ind w:firstLine="0" w:firstLineChars="0"/>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sz w:val="18"/>
                      <w:szCs w:val="18"/>
                    </w:rPr>
                    <w:t>SO</w:t>
                  </w:r>
                  <w:r>
                    <w:rPr>
                      <w:rFonts w:hint="eastAsia" w:ascii="Times New Roman" w:hAnsi="Times New Roman" w:cs="Times New Roman"/>
                      <w:color w:val="auto"/>
                      <w:sz w:val="18"/>
                      <w:szCs w:val="18"/>
                      <w:vertAlign w:val="subscript"/>
                    </w:rPr>
                    <w:t>2</w:t>
                  </w:r>
                </w:p>
              </w:tc>
              <w:tc>
                <w:tcPr>
                  <w:tcW w:w="422" w:type="pct"/>
                  <w:noWrap w:val="0"/>
                  <w:vAlign w:val="center"/>
                </w:tcPr>
                <w:p>
                  <w:pPr>
                    <w:keepNext w:val="0"/>
                    <w:keepLines w:val="0"/>
                    <w:widowControl/>
                    <w:suppressLineNumbers w:val="0"/>
                    <w:jc w:val="center"/>
                    <w:textAlignment w:val="center"/>
                    <w:rPr>
                      <w:rFonts w:hint="default" w:ascii="Times New Roman" w:hAnsi="宋体" w:eastAsia="宋体" w:cs="Times New Roman"/>
                      <w:color w:val="auto"/>
                      <w:kern w:val="0"/>
                      <w:sz w:val="18"/>
                      <w:szCs w:val="18"/>
                      <w:lang w:val="en-US" w:eastAsia="zh-CN" w:bidi="ar-SA"/>
                    </w:rPr>
                  </w:pPr>
                  <w:r>
                    <w:rPr>
                      <w:rFonts w:hint="eastAsia" w:ascii="Times New Roman" w:hAnsi="宋体" w:eastAsia="宋体" w:cs="Times New Roman"/>
                      <w:color w:val="auto"/>
                      <w:kern w:val="0"/>
                      <w:sz w:val="18"/>
                      <w:szCs w:val="18"/>
                      <w:lang w:val="en-US" w:eastAsia="zh-CN" w:bidi="ar-SA"/>
                    </w:rPr>
                    <w:t>/</w:t>
                  </w:r>
                </w:p>
              </w:tc>
              <w:tc>
                <w:tcPr>
                  <w:tcW w:w="397" w:type="pct"/>
                  <w:noWrap w:val="0"/>
                  <w:vAlign w:val="center"/>
                </w:tcPr>
                <w:p>
                  <w:pPr>
                    <w:adjustRightInd w:val="0"/>
                    <w:snapToGrid w:val="0"/>
                    <w:jc w:val="center"/>
                    <w:rPr>
                      <w:rFonts w:hint="eastAsia" w:ascii="Times New Roman" w:hAnsi="宋体" w:eastAsia="宋体" w:cs="Times New Roman"/>
                      <w:color w:val="auto"/>
                      <w:kern w:val="0"/>
                      <w:sz w:val="18"/>
                      <w:szCs w:val="18"/>
                      <w:lang w:val="en-US" w:eastAsia="zh-CN" w:bidi="ar-SA"/>
                    </w:rPr>
                  </w:pPr>
                  <w:r>
                    <w:rPr>
                      <w:rFonts w:hint="default" w:ascii="Times New Roman" w:hAnsi="Times New Roman" w:eastAsia="宋体" w:cs="Times New Roman"/>
                      <w:color w:val="auto"/>
                      <w:sz w:val="18"/>
                      <w:szCs w:val="18"/>
                      <w:lang w:val="en-US" w:eastAsia="zh-CN"/>
                    </w:rPr>
                    <w:t>1.51</w:t>
                  </w:r>
                </w:p>
              </w:tc>
              <w:tc>
                <w:tcPr>
                  <w:tcW w:w="420" w:type="pct"/>
                  <w:noWrap w:val="0"/>
                  <w:vAlign w:val="center"/>
                </w:tcPr>
                <w:p>
                  <w:pPr>
                    <w:keepNext w:val="0"/>
                    <w:keepLines w:val="0"/>
                    <w:widowControl/>
                    <w:suppressLineNumbers w:val="0"/>
                    <w:jc w:val="center"/>
                    <w:textAlignment w:val="center"/>
                    <w:rPr>
                      <w:rFonts w:hint="eastAsia" w:ascii="Times New Roman" w:hAnsi="宋体" w:eastAsia="宋体" w:cs="Times New Roman"/>
                      <w:color w:val="auto"/>
                      <w:kern w:val="0"/>
                      <w:sz w:val="18"/>
                      <w:szCs w:val="18"/>
                      <w:lang w:val="en-US" w:eastAsia="zh-CN" w:bidi="ar-SA"/>
                    </w:rPr>
                  </w:pPr>
                  <w:r>
                    <w:rPr>
                      <w:rFonts w:hint="eastAsia" w:ascii="Times New Roman" w:hAnsi="宋体" w:eastAsia="宋体" w:cs="Times New Roman"/>
                      <w:color w:val="auto"/>
                      <w:kern w:val="0"/>
                      <w:sz w:val="18"/>
                      <w:szCs w:val="18"/>
                      <w:lang w:val="en-US" w:eastAsia="zh-CN" w:bidi="ar-SA"/>
                    </w:rPr>
                    <w:t>/</w:t>
                  </w:r>
                </w:p>
              </w:tc>
              <w:tc>
                <w:tcPr>
                  <w:tcW w:w="395" w:type="pct"/>
                  <w:noWrap w:val="0"/>
                  <w:vAlign w:val="center"/>
                </w:tcPr>
                <w:p>
                  <w:pPr>
                    <w:adjustRightInd w:val="0"/>
                    <w:snapToGrid w:val="0"/>
                    <w:jc w:val="center"/>
                    <w:rPr>
                      <w:rFonts w:hint="eastAsia" w:ascii="Times New Roman" w:hAnsi="宋体" w:eastAsia="宋体" w:cs="Times New Roman"/>
                      <w:color w:val="auto"/>
                      <w:kern w:val="0"/>
                      <w:sz w:val="18"/>
                      <w:szCs w:val="18"/>
                      <w:lang w:val="en-US" w:eastAsia="zh-CN" w:bidi="ar-SA"/>
                    </w:rPr>
                  </w:pPr>
                  <w:r>
                    <w:rPr>
                      <w:rFonts w:hint="default" w:ascii="Times New Roman" w:hAnsi="Times New Roman" w:eastAsia="宋体" w:cs="Times New Roman"/>
                      <w:color w:val="auto"/>
                      <w:sz w:val="18"/>
                      <w:szCs w:val="18"/>
                      <w:lang w:val="en-US" w:eastAsia="zh-CN"/>
                    </w:rPr>
                    <w:t>1.51</w:t>
                  </w:r>
                </w:p>
              </w:tc>
              <w:tc>
                <w:tcPr>
                  <w:tcW w:w="426" w:type="pct"/>
                  <w:noWrap w:val="0"/>
                  <w:vAlign w:val="center"/>
                </w:tcPr>
                <w:p>
                  <w:pPr>
                    <w:keepNext w:val="0"/>
                    <w:keepLines w:val="0"/>
                    <w:widowControl/>
                    <w:suppressLineNumbers w:val="0"/>
                    <w:jc w:val="center"/>
                    <w:textAlignment w:val="center"/>
                    <w:rPr>
                      <w:rFonts w:hint="default" w:ascii="Times New Roman" w:hAnsi="宋体" w:eastAsia="宋体" w:cs="Times New Roman"/>
                      <w:color w:val="auto"/>
                      <w:kern w:val="0"/>
                      <w:sz w:val="18"/>
                      <w:szCs w:val="18"/>
                      <w:lang w:val="en-US" w:eastAsia="zh-CN" w:bidi="ar-SA"/>
                    </w:rPr>
                  </w:pPr>
                  <w:r>
                    <w:rPr>
                      <w:rFonts w:hint="eastAsia" w:ascii="Times New Roman" w:hAnsi="宋体" w:eastAsia="宋体" w:cs="Times New Roman"/>
                      <w:color w:val="auto"/>
                      <w:kern w:val="0"/>
                      <w:sz w:val="18"/>
                      <w:szCs w:val="18"/>
                      <w:lang w:val="en-US" w:eastAsia="zh-CN" w:bidi="ar-SA"/>
                    </w:rPr>
                    <w:t>/</w:t>
                  </w:r>
                </w:p>
              </w:tc>
              <w:tc>
                <w:tcPr>
                  <w:tcW w:w="397"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8.2200 </w:t>
                  </w:r>
                </w:p>
              </w:tc>
              <w:tc>
                <w:tcPr>
                  <w:tcW w:w="45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eastAsia" w:ascii="Times New Roman" w:hAnsi="宋体" w:eastAsia="宋体" w:cs="Times New Roman"/>
                      <w:color w:val="auto"/>
                      <w:kern w:val="0"/>
                      <w:sz w:val="18"/>
                      <w:szCs w:val="18"/>
                      <w:lang w:val="en-US" w:eastAsia="zh-CN" w:bidi="ar-SA"/>
                    </w:rPr>
                    <w:t>/</w:t>
                  </w:r>
                </w:p>
              </w:tc>
              <w:tc>
                <w:tcPr>
                  <w:tcW w:w="397" w:type="pct"/>
                  <w:noWrap w:val="0"/>
                  <w:vAlign w:val="center"/>
                </w:tcPr>
                <w:p>
                  <w:pPr>
                    <w:keepNext w:val="0"/>
                    <w:keepLines w:val="0"/>
                    <w:widowControl/>
                    <w:suppressLineNumbers w:val="0"/>
                    <w:jc w:val="center"/>
                    <w:textAlignment w:val="center"/>
                    <w:rPr>
                      <w:rFonts w:hint="eastAsia" w:ascii="Times New Roman" w:hAnsi="宋体" w:eastAsia="宋体" w:cs="Times New Roman"/>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8.2200 </w:t>
                  </w:r>
                </w:p>
              </w:tc>
              <w:tc>
                <w:tcPr>
                  <w:tcW w:w="414" w:type="pct"/>
                  <w:noWrap w:val="0"/>
                  <w:vAlign w:val="center"/>
                </w:tcPr>
                <w:p>
                  <w:pPr>
                    <w:keepNext w:val="0"/>
                    <w:keepLines w:val="0"/>
                    <w:widowControl/>
                    <w:suppressLineNumbers w:val="0"/>
                    <w:jc w:val="center"/>
                    <w:textAlignment w:val="center"/>
                    <w:rPr>
                      <w:rFonts w:hint="default" w:ascii="Times New Roman" w:hAnsi="宋体" w:eastAsia="宋体" w:cs="Times New Roman"/>
                      <w:color w:val="auto"/>
                      <w:kern w:val="0"/>
                      <w:sz w:val="18"/>
                      <w:szCs w:val="18"/>
                      <w:lang w:val="en-US" w:eastAsia="zh-CN" w:bidi="ar-SA"/>
                    </w:rPr>
                  </w:pPr>
                  <w:r>
                    <w:rPr>
                      <w:rFonts w:hint="eastAsia" w:ascii="Times New Roman" w:hAnsi="宋体" w:eastAsia="宋体" w:cs="Times New Roman"/>
                      <w:color w:val="auto"/>
                      <w:kern w:val="0"/>
                      <w:sz w:val="18"/>
                      <w:szCs w:val="18"/>
                      <w:lang w:val="en-US" w:eastAsia="zh-CN" w:bidi="ar-SA"/>
                    </w:rPr>
                    <w:t>/</w:t>
                  </w:r>
                </w:p>
              </w:tc>
              <w:tc>
                <w:tcPr>
                  <w:tcW w:w="485" w:type="pct"/>
                  <w:noWrap w:val="0"/>
                  <w:vAlign w:val="center"/>
                </w:tcPr>
                <w:p>
                  <w:pPr>
                    <w:adjustRightInd w:val="0"/>
                    <w:snapToGrid w:val="0"/>
                    <w:jc w:val="center"/>
                    <w:rPr>
                      <w:rFonts w:hint="default" w:ascii="Times New Roman" w:hAnsi="宋体" w:eastAsia="宋体" w:cs="Times New Roman"/>
                      <w:color w:val="auto"/>
                      <w:kern w:val="0"/>
                      <w:sz w:val="18"/>
                      <w:szCs w:val="18"/>
                      <w:lang w:val="en-US" w:eastAsia="zh-CN" w:bidi="ar-SA"/>
                    </w:rPr>
                  </w:pPr>
                  <w:r>
                    <w:rPr>
                      <w:rFonts w:hint="eastAsia" w:ascii="Times New Roman" w:hAnsi="宋体" w:eastAsia="宋体" w:cs="Times New Roman"/>
                      <w:color w:val="auto"/>
                      <w:kern w:val="0"/>
                      <w:sz w:val="18"/>
                      <w:szCs w:val="18"/>
                      <w:lang w:val="en-US" w:eastAsia="zh-CN" w:bidi="ar-SA"/>
                    </w:rPr>
                    <w:t>+6.71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571" w:hRule="atLeast"/>
                <w:jc w:val="center"/>
              </w:trPr>
              <w:tc>
                <w:tcPr>
                  <w:tcW w:w="170" w:type="pct"/>
                  <w:vMerge w:val="continue"/>
                  <w:noWrap w:val="0"/>
                  <w:vAlign w:val="center"/>
                </w:tcPr>
                <w:p>
                  <w:pPr>
                    <w:jc w:val="center"/>
                    <w:rPr>
                      <w:rFonts w:hAnsi="宋体"/>
                      <w:color w:val="auto"/>
                      <w:sz w:val="18"/>
                      <w:szCs w:val="18"/>
                    </w:rPr>
                  </w:pPr>
                </w:p>
              </w:tc>
              <w:tc>
                <w:tcPr>
                  <w:tcW w:w="185" w:type="pct"/>
                  <w:vMerge w:val="continue"/>
                  <w:noWrap w:val="0"/>
                  <w:vAlign w:val="center"/>
                </w:tcPr>
                <w:p>
                  <w:pPr>
                    <w:jc w:val="center"/>
                    <w:rPr>
                      <w:rFonts w:hAnsi="宋体"/>
                      <w:color w:val="auto"/>
                      <w:sz w:val="18"/>
                      <w:szCs w:val="18"/>
                    </w:rPr>
                  </w:pPr>
                </w:p>
              </w:tc>
              <w:tc>
                <w:tcPr>
                  <w:tcW w:w="427" w:type="pct"/>
                  <w:noWrap w:val="0"/>
                  <w:vAlign w:val="center"/>
                </w:tcPr>
                <w:p>
                  <w:pPr>
                    <w:pStyle w:val="49"/>
                    <w:ind w:firstLine="0" w:firstLineChars="0"/>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sz w:val="18"/>
                      <w:szCs w:val="18"/>
                    </w:rPr>
                    <w:t>NOx</w:t>
                  </w:r>
                </w:p>
              </w:tc>
              <w:tc>
                <w:tcPr>
                  <w:tcW w:w="422" w:type="pct"/>
                  <w:noWrap w:val="0"/>
                  <w:vAlign w:val="center"/>
                </w:tcPr>
                <w:p>
                  <w:pPr>
                    <w:keepNext w:val="0"/>
                    <w:keepLines w:val="0"/>
                    <w:widowControl/>
                    <w:suppressLineNumbers w:val="0"/>
                    <w:jc w:val="center"/>
                    <w:textAlignment w:val="center"/>
                    <w:rPr>
                      <w:rFonts w:hint="default" w:ascii="Times New Roman" w:hAnsi="宋体" w:eastAsia="宋体" w:cs="Times New Roman"/>
                      <w:color w:val="auto"/>
                      <w:kern w:val="0"/>
                      <w:sz w:val="18"/>
                      <w:szCs w:val="18"/>
                      <w:lang w:val="en-US" w:eastAsia="zh-CN" w:bidi="ar-SA"/>
                    </w:rPr>
                  </w:pPr>
                  <w:r>
                    <w:rPr>
                      <w:rFonts w:hint="eastAsia" w:ascii="Times New Roman" w:hAnsi="宋体" w:eastAsia="宋体" w:cs="Times New Roman"/>
                      <w:color w:val="auto"/>
                      <w:kern w:val="0"/>
                      <w:sz w:val="18"/>
                      <w:szCs w:val="18"/>
                      <w:lang w:val="en-US" w:eastAsia="zh-CN" w:bidi="ar-SA"/>
                    </w:rPr>
                    <w:t>/</w:t>
                  </w:r>
                </w:p>
              </w:tc>
              <w:tc>
                <w:tcPr>
                  <w:tcW w:w="397" w:type="pct"/>
                  <w:noWrap w:val="0"/>
                  <w:vAlign w:val="center"/>
                </w:tcPr>
                <w:p>
                  <w:pPr>
                    <w:adjustRightInd w:val="0"/>
                    <w:snapToGrid w:val="0"/>
                    <w:jc w:val="center"/>
                    <w:rPr>
                      <w:rFonts w:hint="eastAsia" w:ascii="Times New Roman" w:hAnsi="宋体" w:eastAsia="宋体" w:cs="Times New Roman"/>
                      <w:color w:val="auto"/>
                      <w:kern w:val="0"/>
                      <w:sz w:val="18"/>
                      <w:szCs w:val="18"/>
                      <w:lang w:val="en-US" w:eastAsia="zh-CN" w:bidi="ar-SA"/>
                    </w:rPr>
                  </w:pPr>
                  <w:r>
                    <w:rPr>
                      <w:rFonts w:hint="default" w:ascii="Times New Roman" w:hAnsi="Times New Roman" w:eastAsia="宋体" w:cs="Times New Roman"/>
                      <w:color w:val="auto"/>
                      <w:sz w:val="18"/>
                      <w:szCs w:val="18"/>
                      <w:lang w:val="en-US" w:eastAsia="zh-CN"/>
                    </w:rPr>
                    <w:t>74.1</w:t>
                  </w:r>
                </w:p>
              </w:tc>
              <w:tc>
                <w:tcPr>
                  <w:tcW w:w="420" w:type="pct"/>
                  <w:noWrap w:val="0"/>
                  <w:vAlign w:val="center"/>
                </w:tcPr>
                <w:p>
                  <w:pPr>
                    <w:keepNext w:val="0"/>
                    <w:keepLines w:val="0"/>
                    <w:widowControl/>
                    <w:suppressLineNumbers w:val="0"/>
                    <w:jc w:val="center"/>
                    <w:textAlignment w:val="center"/>
                    <w:rPr>
                      <w:rFonts w:hint="default" w:ascii="Times New Roman" w:hAnsi="宋体" w:eastAsia="宋体" w:cs="Times New Roman"/>
                      <w:color w:val="auto"/>
                      <w:kern w:val="0"/>
                      <w:sz w:val="18"/>
                      <w:szCs w:val="18"/>
                      <w:lang w:val="en-US" w:eastAsia="zh-CN" w:bidi="ar-SA"/>
                    </w:rPr>
                  </w:pPr>
                  <w:r>
                    <w:rPr>
                      <w:rFonts w:hint="eastAsia" w:ascii="Times New Roman" w:hAnsi="宋体" w:eastAsia="宋体" w:cs="Times New Roman"/>
                      <w:color w:val="auto"/>
                      <w:kern w:val="0"/>
                      <w:sz w:val="18"/>
                      <w:szCs w:val="18"/>
                      <w:lang w:val="en-US" w:eastAsia="zh-CN" w:bidi="ar-SA"/>
                    </w:rPr>
                    <w:t>/</w:t>
                  </w:r>
                </w:p>
              </w:tc>
              <w:tc>
                <w:tcPr>
                  <w:tcW w:w="395" w:type="pct"/>
                  <w:noWrap w:val="0"/>
                  <w:vAlign w:val="center"/>
                </w:tcPr>
                <w:p>
                  <w:pPr>
                    <w:adjustRightInd w:val="0"/>
                    <w:snapToGrid w:val="0"/>
                    <w:jc w:val="center"/>
                    <w:rPr>
                      <w:rFonts w:hint="eastAsia" w:ascii="Times New Roman" w:hAnsi="宋体" w:eastAsia="宋体" w:cs="Times New Roman"/>
                      <w:color w:val="auto"/>
                      <w:kern w:val="0"/>
                      <w:sz w:val="18"/>
                      <w:szCs w:val="18"/>
                      <w:lang w:val="en-US" w:eastAsia="zh-CN" w:bidi="ar-SA"/>
                    </w:rPr>
                  </w:pPr>
                  <w:r>
                    <w:rPr>
                      <w:rFonts w:hint="default" w:ascii="Times New Roman" w:hAnsi="Times New Roman" w:eastAsia="宋体" w:cs="Times New Roman"/>
                      <w:color w:val="auto"/>
                      <w:sz w:val="18"/>
                      <w:szCs w:val="18"/>
                      <w:lang w:val="en-US" w:eastAsia="zh-CN"/>
                    </w:rPr>
                    <w:t>74.1</w:t>
                  </w:r>
                </w:p>
              </w:tc>
              <w:tc>
                <w:tcPr>
                  <w:tcW w:w="426" w:type="pct"/>
                  <w:noWrap w:val="0"/>
                  <w:vAlign w:val="center"/>
                </w:tcPr>
                <w:p>
                  <w:pPr>
                    <w:keepNext w:val="0"/>
                    <w:keepLines w:val="0"/>
                    <w:widowControl/>
                    <w:suppressLineNumbers w:val="0"/>
                    <w:jc w:val="center"/>
                    <w:textAlignment w:val="center"/>
                    <w:rPr>
                      <w:rFonts w:hint="eastAsia" w:ascii="Times New Roman" w:hAnsi="宋体" w:eastAsia="宋体" w:cs="Times New Roman"/>
                      <w:color w:val="auto"/>
                      <w:kern w:val="0"/>
                      <w:sz w:val="18"/>
                      <w:szCs w:val="18"/>
                      <w:lang w:val="en-US" w:eastAsia="zh-CN" w:bidi="ar-SA"/>
                    </w:rPr>
                  </w:pPr>
                  <w:r>
                    <w:rPr>
                      <w:rFonts w:hint="eastAsia" w:ascii="Times New Roman" w:hAnsi="宋体" w:eastAsia="宋体" w:cs="Times New Roman"/>
                      <w:color w:val="auto"/>
                      <w:kern w:val="0"/>
                      <w:sz w:val="18"/>
                      <w:szCs w:val="18"/>
                      <w:lang w:val="en-US" w:eastAsia="zh-CN" w:bidi="ar-SA"/>
                    </w:rPr>
                    <w:t>/</w:t>
                  </w:r>
                </w:p>
              </w:tc>
              <w:tc>
                <w:tcPr>
                  <w:tcW w:w="397"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38.4286  </w:t>
                  </w:r>
                </w:p>
              </w:tc>
              <w:tc>
                <w:tcPr>
                  <w:tcW w:w="459"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18"/>
                      <w:szCs w:val="18"/>
                      <w:lang w:val="en-US" w:eastAsia="zh-CN"/>
                    </w:rPr>
                  </w:pPr>
                  <w:r>
                    <w:rPr>
                      <w:rFonts w:hint="eastAsia" w:ascii="Times New Roman" w:hAnsi="宋体" w:eastAsia="宋体" w:cs="Times New Roman"/>
                      <w:color w:val="auto"/>
                      <w:kern w:val="0"/>
                      <w:sz w:val="18"/>
                      <w:szCs w:val="18"/>
                      <w:lang w:val="en-US" w:eastAsia="zh-CN" w:bidi="ar-SA"/>
                    </w:rPr>
                    <w:t>/</w:t>
                  </w:r>
                </w:p>
              </w:tc>
              <w:tc>
                <w:tcPr>
                  <w:tcW w:w="397" w:type="pct"/>
                  <w:noWrap w:val="0"/>
                  <w:vAlign w:val="center"/>
                </w:tcPr>
                <w:p>
                  <w:pPr>
                    <w:keepNext w:val="0"/>
                    <w:keepLines w:val="0"/>
                    <w:widowControl/>
                    <w:suppressLineNumbers w:val="0"/>
                    <w:jc w:val="center"/>
                    <w:textAlignment w:val="center"/>
                    <w:rPr>
                      <w:rFonts w:hint="default" w:ascii="Times New Roman" w:hAnsi="宋体" w:eastAsia="宋体" w:cs="Times New Roman"/>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38.4286  </w:t>
                  </w:r>
                </w:p>
              </w:tc>
              <w:tc>
                <w:tcPr>
                  <w:tcW w:w="414" w:type="pct"/>
                  <w:noWrap w:val="0"/>
                  <w:vAlign w:val="center"/>
                </w:tcPr>
                <w:p>
                  <w:pPr>
                    <w:keepNext w:val="0"/>
                    <w:keepLines w:val="0"/>
                    <w:widowControl/>
                    <w:suppressLineNumbers w:val="0"/>
                    <w:jc w:val="center"/>
                    <w:textAlignment w:val="center"/>
                    <w:rPr>
                      <w:rFonts w:hint="default" w:ascii="Times New Roman" w:hAnsi="宋体" w:eastAsia="宋体" w:cs="Times New Roman"/>
                      <w:color w:val="auto"/>
                      <w:kern w:val="0"/>
                      <w:sz w:val="18"/>
                      <w:szCs w:val="18"/>
                      <w:lang w:val="en-US" w:eastAsia="zh-CN" w:bidi="ar-SA"/>
                    </w:rPr>
                  </w:pPr>
                  <w:r>
                    <w:rPr>
                      <w:rFonts w:hint="eastAsia" w:ascii="Times New Roman" w:hAnsi="宋体" w:eastAsia="宋体" w:cs="Times New Roman"/>
                      <w:color w:val="auto"/>
                      <w:kern w:val="0"/>
                      <w:sz w:val="18"/>
                      <w:szCs w:val="18"/>
                      <w:lang w:val="en-US" w:eastAsia="zh-CN" w:bidi="ar-SA"/>
                    </w:rPr>
                    <w:t>/</w:t>
                  </w:r>
                </w:p>
              </w:tc>
              <w:tc>
                <w:tcPr>
                  <w:tcW w:w="485" w:type="pct"/>
                  <w:noWrap w:val="0"/>
                  <w:vAlign w:val="center"/>
                </w:tcPr>
                <w:p>
                  <w:pPr>
                    <w:adjustRightInd w:val="0"/>
                    <w:snapToGrid w:val="0"/>
                    <w:jc w:val="center"/>
                    <w:rPr>
                      <w:rFonts w:hint="default" w:ascii="Times New Roman" w:hAnsi="宋体" w:eastAsia="宋体" w:cs="Times New Roman"/>
                      <w:color w:val="auto"/>
                      <w:kern w:val="0"/>
                      <w:sz w:val="18"/>
                      <w:szCs w:val="18"/>
                      <w:lang w:val="en-US" w:eastAsia="zh-CN" w:bidi="ar-SA"/>
                    </w:rPr>
                  </w:pPr>
                  <w:r>
                    <w:rPr>
                      <w:rFonts w:hint="eastAsia" w:ascii="Times New Roman" w:hAnsi="宋体" w:eastAsia="宋体" w:cs="Times New Roman"/>
                      <w:color w:val="auto"/>
                      <w:kern w:val="0"/>
                      <w:sz w:val="18"/>
                      <w:szCs w:val="18"/>
                      <w:lang w:val="en-US" w:eastAsia="zh-CN" w:bidi="ar-SA"/>
                    </w:rPr>
                    <w:t>-35.6714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571" w:hRule="atLeast"/>
                <w:jc w:val="center"/>
              </w:trPr>
              <w:tc>
                <w:tcPr>
                  <w:tcW w:w="170" w:type="pct"/>
                  <w:vMerge w:val="continue"/>
                  <w:noWrap w:val="0"/>
                  <w:vAlign w:val="center"/>
                </w:tcPr>
                <w:p>
                  <w:pPr>
                    <w:jc w:val="center"/>
                    <w:rPr>
                      <w:rFonts w:hAnsi="宋体"/>
                      <w:color w:val="auto"/>
                      <w:sz w:val="18"/>
                      <w:szCs w:val="18"/>
                    </w:rPr>
                  </w:pPr>
                </w:p>
              </w:tc>
              <w:tc>
                <w:tcPr>
                  <w:tcW w:w="185" w:type="pct"/>
                  <w:vMerge w:val="continue"/>
                  <w:noWrap w:val="0"/>
                  <w:vAlign w:val="center"/>
                </w:tcPr>
                <w:p>
                  <w:pPr>
                    <w:jc w:val="center"/>
                    <w:rPr>
                      <w:rFonts w:hAnsi="宋体"/>
                      <w:color w:val="auto"/>
                      <w:sz w:val="18"/>
                      <w:szCs w:val="18"/>
                    </w:rPr>
                  </w:pPr>
                </w:p>
              </w:tc>
              <w:tc>
                <w:tcPr>
                  <w:tcW w:w="427" w:type="pct"/>
                  <w:noWrap w:val="0"/>
                  <w:vAlign w:val="center"/>
                </w:tcPr>
                <w:p>
                  <w:pPr>
                    <w:pStyle w:val="49"/>
                    <w:ind w:firstLine="0" w:firstLineChars="0"/>
                    <w:rPr>
                      <w:rFonts w:hint="eastAsia" w:ascii="Times New Roman" w:hAnsi="Times New Roman" w:eastAsia="宋体" w:cs="Times New Roman"/>
                      <w:color w:val="auto"/>
                      <w:sz w:val="18"/>
                      <w:szCs w:val="18"/>
                      <w:lang w:eastAsia="zh-CN"/>
                    </w:rPr>
                  </w:pPr>
                  <w:r>
                    <w:rPr>
                      <w:rFonts w:hint="eastAsia" w:cs="Times New Roman"/>
                      <w:color w:val="auto"/>
                      <w:sz w:val="18"/>
                      <w:szCs w:val="18"/>
                      <w:lang w:eastAsia="zh-CN"/>
                    </w:rPr>
                    <w:t>油烟</w:t>
                  </w:r>
                </w:p>
              </w:tc>
              <w:tc>
                <w:tcPr>
                  <w:tcW w:w="422" w:type="pct"/>
                  <w:noWrap w:val="0"/>
                  <w:vAlign w:val="center"/>
                </w:tcPr>
                <w:p>
                  <w:pPr>
                    <w:keepNext w:val="0"/>
                    <w:keepLines w:val="0"/>
                    <w:widowControl/>
                    <w:suppressLineNumbers w:val="0"/>
                    <w:jc w:val="center"/>
                    <w:textAlignment w:val="center"/>
                    <w:rPr>
                      <w:rFonts w:hint="eastAsia" w:ascii="Times New Roman" w:hAnsi="宋体" w:eastAsia="宋体" w:cs="Times New Roman"/>
                      <w:color w:val="auto"/>
                      <w:kern w:val="0"/>
                      <w:sz w:val="18"/>
                      <w:szCs w:val="18"/>
                      <w:lang w:val="en-US" w:eastAsia="zh-CN" w:bidi="ar-SA"/>
                    </w:rPr>
                  </w:pPr>
                  <w:r>
                    <w:rPr>
                      <w:rFonts w:hint="eastAsia" w:ascii="Times New Roman" w:hAnsi="宋体" w:eastAsia="宋体" w:cs="Times New Roman"/>
                      <w:color w:val="auto"/>
                      <w:kern w:val="0"/>
                      <w:sz w:val="18"/>
                      <w:szCs w:val="18"/>
                      <w:lang w:val="en-US" w:eastAsia="zh-CN" w:bidi="ar-SA"/>
                    </w:rPr>
                    <w:t>/</w:t>
                  </w:r>
                </w:p>
              </w:tc>
              <w:tc>
                <w:tcPr>
                  <w:tcW w:w="397" w:type="pct"/>
                  <w:noWrap w:val="0"/>
                  <w:vAlign w:val="center"/>
                </w:tcPr>
                <w:p>
                  <w:pPr>
                    <w:adjustRightInd w:val="0"/>
                    <w:snapToGrid w:val="0"/>
                    <w:jc w:val="center"/>
                    <w:rPr>
                      <w:rFonts w:hint="default" w:ascii="Times New Roman" w:hAnsi="Times New Roman" w:eastAsia="宋体" w:cs="Times New Roman"/>
                      <w:color w:val="auto"/>
                      <w:sz w:val="18"/>
                      <w:szCs w:val="18"/>
                      <w:lang w:val="en-US" w:eastAsia="zh-CN"/>
                    </w:rPr>
                  </w:pPr>
                  <w:r>
                    <w:rPr>
                      <w:rFonts w:hint="eastAsia" w:ascii="Times New Roman" w:hAnsi="宋体" w:eastAsia="宋体" w:cs="Times New Roman"/>
                      <w:color w:val="auto"/>
                      <w:kern w:val="0"/>
                      <w:sz w:val="18"/>
                      <w:szCs w:val="18"/>
                      <w:lang w:val="en-US" w:eastAsia="zh-CN" w:bidi="ar-SA"/>
                    </w:rPr>
                    <w:t>/</w:t>
                  </w:r>
                </w:p>
              </w:tc>
              <w:tc>
                <w:tcPr>
                  <w:tcW w:w="420" w:type="pct"/>
                  <w:noWrap w:val="0"/>
                  <w:vAlign w:val="center"/>
                </w:tcPr>
                <w:p>
                  <w:pPr>
                    <w:keepNext w:val="0"/>
                    <w:keepLines w:val="0"/>
                    <w:widowControl/>
                    <w:suppressLineNumbers w:val="0"/>
                    <w:jc w:val="center"/>
                    <w:textAlignment w:val="center"/>
                    <w:rPr>
                      <w:rFonts w:hint="eastAsia" w:ascii="Times New Roman" w:hAnsi="宋体" w:eastAsia="宋体" w:cs="Times New Roman"/>
                      <w:color w:val="auto"/>
                      <w:kern w:val="0"/>
                      <w:sz w:val="18"/>
                      <w:szCs w:val="18"/>
                      <w:lang w:val="en-US" w:eastAsia="zh-CN" w:bidi="ar-SA"/>
                    </w:rPr>
                  </w:pPr>
                  <w:r>
                    <w:rPr>
                      <w:rFonts w:hint="eastAsia" w:ascii="Times New Roman" w:hAnsi="宋体" w:eastAsia="宋体" w:cs="Times New Roman"/>
                      <w:color w:val="auto"/>
                      <w:kern w:val="0"/>
                      <w:sz w:val="18"/>
                      <w:szCs w:val="18"/>
                      <w:lang w:val="en-US" w:eastAsia="zh-CN" w:bidi="ar-SA"/>
                    </w:rPr>
                    <w:t>/</w:t>
                  </w:r>
                </w:p>
              </w:tc>
              <w:tc>
                <w:tcPr>
                  <w:tcW w:w="395" w:type="pct"/>
                  <w:noWrap w:val="0"/>
                  <w:vAlign w:val="center"/>
                </w:tcPr>
                <w:p>
                  <w:pPr>
                    <w:adjustRightInd w:val="0"/>
                    <w:snapToGrid w:val="0"/>
                    <w:jc w:val="center"/>
                    <w:rPr>
                      <w:rFonts w:hint="default" w:ascii="Times New Roman" w:hAnsi="Times New Roman" w:eastAsia="宋体" w:cs="Times New Roman"/>
                      <w:color w:val="auto"/>
                      <w:sz w:val="18"/>
                      <w:szCs w:val="18"/>
                      <w:lang w:val="en-US" w:eastAsia="zh-CN"/>
                    </w:rPr>
                  </w:pPr>
                  <w:r>
                    <w:rPr>
                      <w:rFonts w:hint="eastAsia" w:ascii="Times New Roman" w:hAnsi="宋体" w:eastAsia="宋体" w:cs="Times New Roman"/>
                      <w:color w:val="auto"/>
                      <w:kern w:val="0"/>
                      <w:sz w:val="18"/>
                      <w:szCs w:val="18"/>
                      <w:lang w:val="en-US" w:eastAsia="zh-CN" w:bidi="ar-SA"/>
                    </w:rPr>
                    <w:t>/</w:t>
                  </w:r>
                </w:p>
              </w:tc>
              <w:tc>
                <w:tcPr>
                  <w:tcW w:w="426" w:type="pct"/>
                  <w:noWrap w:val="0"/>
                  <w:vAlign w:val="center"/>
                </w:tcPr>
                <w:p>
                  <w:pPr>
                    <w:keepNext w:val="0"/>
                    <w:keepLines w:val="0"/>
                    <w:widowControl/>
                    <w:suppressLineNumbers w:val="0"/>
                    <w:jc w:val="center"/>
                    <w:textAlignment w:val="center"/>
                    <w:rPr>
                      <w:rFonts w:hint="eastAsia" w:ascii="Times New Roman" w:hAnsi="宋体" w:eastAsia="宋体" w:cs="Times New Roman"/>
                      <w:color w:val="auto"/>
                      <w:kern w:val="0"/>
                      <w:sz w:val="18"/>
                      <w:szCs w:val="18"/>
                      <w:lang w:val="en-US" w:eastAsia="zh-CN" w:bidi="ar-SA"/>
                    </w:rPr>
                  </w:pPr>
                  <w:r>
                    <w:rPr>
                      <w:rFonts w:hint="eastAsia" w:ascii="Times New Roman" w:hAnsi="宋体" w:eastAsia="宋体" w:cs="Times New Roman"/>
                      <w:color w:val="auto"/>
                      <w:kern w:val="0"/>
                      <w:sz w:val="18"/>
                      <w:szCs w:val="18"/>
                      <w:lang w:val="en-US" w:eastAsia="zh-CN" w:bidi="ar-SA"/>
                    </w:rPr>
                    <w:t>/</w:t>
                  </w:r>
                </w:p>
              </w:tc>
              <w:tc>
                <w:tcPr>
                  <w:tcW w:w="397"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0.0045</w:t>
                  </w:r>
                </w:p>
              </w:tc>
              <w:tc>
                <w:tcPr>
                  <w:tcW w:w="459" w:type="pct"/>
                  <w:noWrap w:val="0"/>
                  <w:vAlign w:val="center"/>
                </w:tcPr>
                <w:p>
                  <w:pPr>
                    <w:keepNext w:val="0"/>
                    <w:keepLines w:val="0"/>
                    <w:widowControl/>
                    <w:suppressLineNumbers w:val="0"/>
                    <w:jc w:val="center"/>
                    <w:textAlignment w:val="center"/>
                    <w:rPr>
                      <w:rFonts w:hint="eastAsia" w:ascii="Times New Roman" w:hAnsi="宋体" w:eastAsia="宋体" w:cs="Times New Roman"/>
                      <w:color w:val="auto"/>
                      <w:kern w:val="0"/>
                      <w:sz w:val="18"/>
                      <w:szCs w:val="18"/>
                      <w:lang w:val="en-US" w:eastAsia="zh-CN" w:bidi="ar-SA"/>
                    </w:rPr>
                  </w:pPr>
                  <w:r>
                    <w:rPr>
                      <w:rFonts w:hint="eastAsia" w:ascii="Times New Roman" w:hAnsi="宋体" w:eastAsia="宋体" w:cs="Times New Roman"/>
                      <w:color w:val="auto"/>
                      <w:kern w:val="0"/>
                      <w:sz w:val="18"/>
                      <w:szCs w:val="18"/>
                      <w:lang w:val="en-US" w:eastAsia="zh-CN" w:bidi="ar-SA"/>
                    </w:rPr>
                    <w:t>/</w:t>
                  </w:r>
                </w:p>
              </w:tc>
              <w:tc>
                <w:tcPr>
                  <w:tcW w:w="397"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0.0045</w:t>
                  </w:r>
                </w:p>
              </w:tc>
              <w:tc>
                <w:tcPr>
                  <w:tcW w:w="414" w:type="pct"/>
                  <w:noWrap w:val="0"/>
                  <w:vAlign w:val="center"/>
                </w:tcPr>
                <w:p>
                  <w:pPr>
                    <w:keepNext w:val="0"/>
                    <w:keepLines w:val="0"/>
                    <w:widowControl/>
                    <w:suppressLineNumbers w:val="0"/>
                    <w:jc w:val="center"/>
                    <w:textAlignment w:val="center"/>
                    <w:rPr>
                      <w:rFonts w:hint="eastAsia" w:ascii="Times New Roman" w:hAnsi="宋体" w:eastAsia="宋体" w:cs="Times New Roman"/>
                      <w:color w:val="auto"/>
                      <w:kern w:val="0"/>
                      <w:sz w:val="18"/>
                      <w:szCs w:val="18"/>
                      <w:lang w:val="en-US" w:eastAsia="zh-CN" w:bidi="ar-SA"/>
                    </w:rPr>
                  </w:pPr>
                  <w:r>
                    <w:rPr>
                      <w:rFonts w:hint="eastAsia" w:ascii="Times New Roman" w:hAnsi="宋体" w:eastAsia="宋体" w:cs="Times New Roman"/>
                      <w:color w:val="auto"/>
                      <w:kern w:val="0"/>
                      <w:sz w:val="18"/>
                      <w:szCs w:val="18"/>
                      <w:lang w:val="en-US" w:eastAsia="zh-CN" w:bidi="ar-SA"/>
                    </w:rPr>
                    <w:t>/</w:t>
                  </w:r>
                </w:p>
              </w:tc>
              <w:tc>
                <w:tcPr>
                  <w:tcW w:w="485" w:type="pct"/>
                  <w:noWrap w:val="0"/>
                  <w:vAlign w:val="center"/>
                </w:tcPr>
                <w:p>
                  <w:pPr>
                    <w:adjustRightInd w:val="0"/>
                    <w:snapToGrid w:val="0"/>
                    <w:jc w:val="center"/>
                    <w:rPr>
                      <w:rFonts w:hint="default" w:ascii="Times New Roman" w:hAnsi="宋体" w:eastAsia="宋体" w:cs="Times New Roman"/>
                      <w:color w:val="auto"/>
                      <w:kern w:val="0"/>
                      <w:sz w:val="18"/>
                      <w:szCs w:val="18"/>
                      <w:lang w:val="en-US" w:eastAsia="zh-CN" w:bidi="ar-SA"/>
                    </w:rPr>
                  </w:pPr>
                  <w:r>
                    <w:rPr>
                      <w:rFonts w:hint="eastAsia" w:hAnsi="宋体" w:cs="Times New Roman"/>
                      <w:color w:val="auto"/>
                      <w:kern w:val="0"/>
                      <w:sz w:val="18"/>
                      <w:szCs w:val="18"/>
                      <w:lang w:val="en-US" w:eastAsia="zh-CN" w:bidi="ar-SA"/>
                    </w:rPr>
                    <w:t>+</w:t>
                  </w:r>
                  <w:r>
                    <w:rPr>
                      <w:rFonts w:hint="eastAsia" w:cs="Times New Roman"/>
                      <w:i w:val="0"/>
                      <w:iCs w:val="0"/>
                      <w:color w:val="auto"/>
                      <w:kern w:val="0"/>
                      <w:sz w:val="18"/>
                      <w:szCs w:val="18"/>
                      <w:u w:val="none"/>
                      <w:lang w:val="en-US" w:eastAsia="zh-CN" w:bidi="ar"/>
                    </w:rPr>
                    <w:t>0.0045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571" w:hRule="atLeast"/>
                <w:jc w:val="center"/>
              </w:trPr>
              <w:tc>
                <w:tcPr>
                  <w:tcW w:w="170" w:type="pct"/>
                  <w:vMerge w:val="continue"/>
                  <w:noWrap w:val="0"/>
                  <w:vAlign w:val="center"/>
                </w:tcPr>
                <w:p>
                  <w:pPr>
                    <w:jc w:val="center"/>
                    <w:rPr>
                      <w:rFonts w:hAnsi="宋体"/>
                      <w:color w:val="auto"/>
                      <w:sz w:val="18"/>
                      <w:szCs w:val="18"/>
                    </w:rPr>
                  </w:pPr>
                </w:p>
              </w:tc>
              <w:tc>
                <w:tcPr>
                  <w:tcW w:w="185" w:type="pct"/>
                  <w:vMerge w:val="restart"/>
                  <w:noWrap w:val="0"/>
                  <w:vAlign w:val="center"/>
                </w:tcPr>
                <w:p>
                  <w:pPr>
                    <w:jc w:val="center"/>
                    <w:rPr>
                      <w:rFonts w:hint="eastAsia" w:hAnsi="宋体" w:eastAsia="宋体"/>
                      <w:color w:val="auto"/>
                      <w:sz w:val="18"/>
                      <w:szCs w:val="18"/>
                      <w:lang w:eastAsia="zh-CN"/>
                    </w:rPr>
                  </w:pPr>
                  <w:r>
                    <w:rPr>
                      <w:rFonts w:hint="eastAsia" w:hAnsi="宋体"/>
                      <w:color w:val="auto"/>
                      <w:sz w:val="18"/>
                      <w:szCs w:val="18"/>
                      <w:lang w:eastAsia="zh-CN"/>
                    </w:rPr>
                    <w:t>无组织</w:t>
                  </w:r>
                </w:p>
              </w:tc>
              <w:tc>
                <w:tcPr>
                  <w:tcW w:w="427" w:type="pct"/>
                  <w:noWrap w:val="0"/>
                  <w:vAlign w:val="center"/>
                </w:tcPr>
                <w:p>
                  <w:pPr>
                    <w:pStyle w:val="49"/>
                    <w:ind w:firstLine="0" w:firstLineChars="0"/>
                    <w:rPr>
                      <w:rFonts w:hint="eastAsia" w:ascii="Times New Roman" w:hAnsi="Times New Roman" w:cs="Times New Roman"/>
                      <w:color w:val="auto"/>
                      <w:sz w:val="18"/>
                      <w:szCs w:val="18"/>
                    </w:rPr>
                  </w:pPr>
                  <w:r>
                    <w:rPr>
                      <w:rFonts w:hint="eastAsia" w:ascii="Times New Roman" w:hAnsi="Times New Roman" w:eastAsia="宋体" w:cs="Times New Roman"/>
                      <w:color w:val="auto"/>
                      <w:sz w:val="18"/>
                      <w:szCs w:val="18"/>
                      <w:lang w:val="en-US" w:eastAsia="zh-CN"/>
                    </w:rPr>
                    <w:t>非甲烷总烃</w:t>
                  </w:r>
                </w:p>
              </w:tc>
              <w:tc>
                <w:tcPr>
                  <w:tcW w:w="42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eastAsia" w:ascii="Times New Roman" w:hAnsi="宋体" w:eastAsia="宋体" w:cs="Times New Roman"/>
                      <w:color w:val="auto"/>
                      <w:kern w:val="0"/>
                      <w:sz w:val="18"/>
                      <w:szCs w:val="18"/>
                      <w:lang w:val="en-US" w:eastAsia="zh-CN" w:bidi="ar-SA"/>
                    </w:rPr>
                    <w:t>/</w:t>
                  </w:r>
                </w:p>
              </w:tc>
              <w:tc>
                <w:tcPr>
                  <w:tcW w:w="39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eastAsia" w:ascii="Times New Roman" w:hAnsi="宋体" w:eastAsia="宋体" w:cs="Times New Roman"/>
                      <w:color w:val="auto"/>
                      <w:kern w:val="0"/>
                      <w:sz w:val="18"/>
                      <w:szCs w:val="18"/>
                      <w:lang w:val="en-US" w:eastAsia="zh-CN" w:bidi="ar-SA"/>
                    </w:rPr>
                    <w:t>0</w:t>
                  </w:r>
                </w:p>
              </w:tc>
              <w:tc>
                <w:tcPr>
                  <w:tcW w:w="420"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18"/>
                      <w:szCs w:val="18"/>
                      <w:lang w:val="en-US" w:eastAsia="zh-CN"/>
                    </w:rPr>
                  </w:pPr>
                  <w:r>
                    <w:rPr>
                      <w:rFonts w:hint="eastAsia" w:ascii="Times New Roman" w:hAnsi="宋体" w:eastAsia="宋体" w:cs="Times New Roman"/>
                      <w:color w:val="auto"/>
                      <w:kern w:val="0"/>
                      <w:sz w:val="18"/>
                      <w:szCs w:val="18"/>
                      <w:lang w:val="en-US" w:eastAsia="zh-CN" w:bidi="ar-SA"/>
                    </w:rPr>
                    <w:t>/</w:t>
                  </w:r>
                </w:p>
              </w:tc>
              <w:tc>
                <w:tcPr>
                  <w:tcW w:w="39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eastAsia" w:ascii="Times New Roman" w:hAnsi="宋体" w:eastAsia="宋体" w:cs="Times New Roman"/>
                      <w:color w:val="auto"/>
                      <w:kern w:val="0"/>
                      <w:sz w:val="18"/>
                      <w:szCs w:val="18"/>
                      <w:lang w:val="en-US" w:eastAsia="zh-CN" w:bidi="ar-SA"/>
                    </w:rPr>
                    <w:t>0</w:t>
                  </w:r>
                </w:p>
              </w:tc>
              <w:tc>
                <w:tcPr>
                  <w:tcW w:w="426"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18"/>
                      <w:szCs w:val="18"/>
                      <w:lang w:val="en-US" w:eastAsia="zh-CN"/>
                    </w:rPr>
                  </w:pPr>
                  <w:r>
                    <w:rPr>
                      <w:rFonts w:hint="eastAsia" w:ascii="Times New Roman" w:hAnsi="宋体" w:eastAsia="宋体" w:cs="Times New Roman"/>
                      <w:color w:val="auto"/>
                      <w:kern w:val="0"/>
                      <w:sz w:val="18"/>
                      <w:szCs w:val="18"/>
                      <w:lang w:val="en-US" w:eastAsia="zh-CN" w:bidi="ar-SA"/>
                    </w:rPr>
                    <w:t>/</w:t>
                  </w:r>
                </w:p>
              </w:tc>
              <w:tc>
                <w:tcPr>
                  <w:tcW w:w="397" w:type="pct"/>
                  <w:noWrap w:val="0"/>
                  <w:vAlign w:val="center"/>
                </w:tcPr>
                <w:p>
                  <w:pPr>
                    <w:adjustRightInd w:val="0"/>
                    <w:snapToGrid w:val="0"/>
                    <w:jc w:val="center"/>
                    <w:rPr>
                      <w:rFonts w:hint="default" w:ascii="Times New Roman" w:hAnsi="Times New Roman" w:eastAsia="宋体" w:cs="Times New Roman"/>
                      <w:color w:val="auto"/>
                      <w:sz w:val="18"/>
                      <w:szCs w:val="18"/>
                      <w:lang w:val="en-US" w:eastAsia="zh-CN"/>
                    </w:rPr>
                  </w:pPr>
                  <w:r>
                    <w:rPr>
                      <w:rFonts w:hint="eastAsia" w:cs="Times New Roman"/>
                      <w:bCs/>
                      <w:color w:val="auto"/>
                      <w:sz w:val="18"/>
                      <w:szCs w:val="18"/>
                      <w:lang w:val="en-US" w:eastAsia="zh-CN"/>
                    </w:rPr>
                    <w:t>0.0011</w:t>
                  </w:r>
                </w:p>
              </w:tc>
              <w:tc>
                <w:tcPr>
                  <w:tcW w:w="459"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18"/>
                      <w:szCs w:val="18"/>
                      <w:lang w:val="en-US" w:eastAsia="zh-CN"/>
                    </w:rPr>
                  </w:pPr>
                  <w:r>
                    <w:rPr>
                      <w:rFonts w:hint="eastAsia" w:ascii="Times New Roman" w:hAnsi="宋体" w:eastAsia="宋体" w:cs="Times New Roman"/>
                      <w:color w:val="auto"/>
                      <w:kern w:val="0"/>
                      <w:sz w:val="18"/>
                      <w:szCs w:val="18"/>
                      <w:lang w:val="en-US" w:eastAsia="zh-CN" w:bidi="ar-SA"/>
                    </w:rPr>
                    <w:t>/</w:t>
                  </w:r>
                </w:p>
              </w:tc>
              <w:tc>
                <w:tcPr>
                  <w:tcW w:w="397" w:type="pct"/>
                  <w:noWrap w:val="0"/>
                  <w:vAlign w:val="center"/>
                </w:tcPr>
                <w:p>
                  <w:pPr>
                    <w:adjustRightInd w:val="0"/>
                    <w:snapToGrid w:val="0"/>
                    <w:jc w:val="center"/>
                    <w:rPr>
                      <w:rFonts w:hint="eastAsia" w:ascii="Times New Roman" w:hAnsi="Times New Roman" w:eastAsia="宋体" w:cs="Times New Roman"/>
                      <w:color w:val="auto"/>
                      <w:sz w:val="18"/>
                      <w:szCs w:val="18"/>
                      <w:lang w:val="en-US" w:eastAsia="zh-CN"/>
                    </w:rPr>
                  </w:pPr>
                  <w:r>
                    <w:rPr>
                      <w:rFonts w:hint="eastAsia" w:cs="Times New Roman"/>
                      <w:bCs/>
                      <w:color w:val="auto"/>
                      <w:sz w:val="18"/>
                      <w:szCs w:val="18"/>
                      <w:lang w:val="en-US" w:eastAsia="zh-CN"/>
                    </w:rPr>
                    <w:t>0.0011</w:t>
                  </w:r>
                </w:p>
              </w:tc>
              <w:tc>
                <w:tcPr>
                  <w:tcW w:w="414"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18"/>
                      <w:szCs w:val="18"/>
                      <w:lang w:val="en-US" w:eastAsia="zh-CN"/>
                    </w:rPr>
                  </w:pPr>
                  <w:r>
                    <w:rPr>
                      <w:rFonts w:hint="eastAsia" w:ascii="Times New Roman" w:hAnsi="宋体" w:eastAsia="宋体" w:cs="Times New Roman"/>
                      <w:color w:val="auto"/>
                      <w:kern w:val="0"/>
                      <w:sz w:val="18"/>
                      <w:szCs w:val="18"/>
                      <w:lang w:val="en-US" w:eastAsia="zh-CN" w:bidi="ar-SA"/>
                    </w:rPr>
                    <w:t>/</w:t>
                  </w:r>
                </w:p>
              </w:tc>
              <w:tc>
                <w:tcPr>
                  <w:tcW w:w="485" w:type="pct"/>
                  <w:noWrap w:val="0"/>
                  <w:vAlign w:val="center"/>
                </w:tcPr>
                <w:p>
                  <w:pPr>
                    <w:adjustRightInd w:val="0"/>
                    <w:snapToGrid w:val="0"/>
                    <w:jc w:val="center"/>
                    <w:rPr>
                      <w:rFonts w:hint="eastAsia" w:ascii="Times New Roman" w:hAnsi="Times New Roman" w:eastAsia="宋体" w:cs="Times New Roman"/>
                      <w:color w:val="auto"/>
                      <w:sz w:val="18"/>
                      <w:szCs w:val="18"/>
                      <w:lang w:val="en-US" w:eastAsia="zh-CN"/>
                    </w:rPr>
                  </w:pPr>
                  <w:r>
                    <w:rPr>
                      <w:rFonts w:hint="eastAsia" w:cs="Times New Roman"/>
                      <w:bCs/>
                      <w:color w:val="auto"/>
                      <w:sz w:val="18"/>
                      <w:szCs w:val="18"/>
                      <w:lang w:val="en-US" w:eastAsia="zh-CN"/>
                    </w:rPr>
                    <w:t>+0.0011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571" w:hRule="atLeast"/>
                <w:jc w:val="center"/>
              </w:trPr>
              <w:tc>
                <w:tcPr>
                  <w:tcW w:w="170" w:type="pct"/>
                  <w:vMerge w:val="continue"/>
                  <w:noWrap w:val="0"/>
                  <w:vAlign w:val="center"/>
                </w:tcPr>
                <w:p>
                  <w:pPr>
                    <w:jc w:val="center"/>
                    <w:rPr>
                      <w:rFonts w:hAnsi="宋体"/>
                      <w:color w:val="auto"/>
                      <w:sz w:val="18"/>
                      <w:szCs w:val="18"/>
                    </w:rPr>
                  </w:pPr>
                </w:p>
              </w:tc>
              <w:tc>
                <w:tcPr>
                  <w:tcW w:w="185" w:type="pct"/>
                  <w:vMerge w:val="continue"/>
                  <w:noWrap w:val="0"/>
                  <w:vAlign w:val="center"/>
                </w:tcPr>
                <w:p>
                  <w:pPr>
                    <w:jc w:val="center"/>
                    <w:rPr>
                      <w:rFonts w:hAnsi="宋体"/>
                      <w:color w:val="auto"/>
                      <w:sz w:val="18"/>
                      <w:szCs w:val="18"/>
                    </w:rPr>
                  </w:pPr>
                </w:p>
              </w:tc>
              <w:tc>
                <w:tcPr>
                  <w:tcW w:w="427" w:type="pct"/>
                  <w:noWrap w:val="0"/>
                  <w:vAlign w:val="center"/>
                </w:tcPr>
                <w:p>
                  <w:pPr>
                    <w:pStyle w:val="49"/>
                    <w:ind w:firstLine="0" w:firstLineChars="0"/>
                    <w:rPr>
                      <w:rFonts w:hint="eastAsia" w:ascii="Times New Roman" w:hAnsi="Times New Roman" w:eastAsia="宋体" w:cs="Times New Roman"/>
                      <w:color w:val="auto"/>
                      <w:sz w:val="18"/>
                      <w:szCs w:val="18"/>
                      <w:lang w:eastAsia="zh-CN"/>
                    </w:rPr>
                  </w:pPr>
                  <w:r>
                    <w:rPr>
                      <w:rFonts w:hint="eastAsia" w:cs="Times New Roman"/>
                      <w:color w:val="auto"/>
                      <w:sz w:val="18"/>
                      <w:szCs w:val="18"/>
                      <w:lang w:eastAsia="zh-CN"/>
                    </w:rPr>
                    <w:t>颗粒物</w:t>
                  </w:r>
                </w:p>
              </w:tc>
              <w:tc>
                <w:tcPr>
                  <w:tcW w:w="42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eastAsia" w:ascii="Times New Roman" w:hAnsi="宋体" w:eastAsia="宋体" w:cs="Times New Roman"/>
                      <w:color w:val="auto"/>
                      <w:kern w:val="0"/>
                      <w:sz w:val="18"/>
                      <w:szCs w:val="18"/>
                      <w:lang w:val="en-US" w:eastAsia="zh-CN" w:bidi="ar-SA"/>
                    </w:rPr>
                    <w:t>/</w:t>
                  </w:r>
                </w:p>
              </w:tc>
              <w:tc>
                <w:tcPr>
                  <w:tcW w:w="39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eastAsia" w:ascii="Times New Roman" w:hAnsi="宋体" w:eastAsia="宋体" w:cs="Times New Roman"/>
                      <w:color w:val="auto"/>
                      <w:kern w:val="0"/>
                      <w:sz w:val="18"/>
                      <w:szCs w:val="18"/>
                      <w:lang w:val="en-US" w:eastAsia="zh-CN" w:bidi="ar-SA"/>
                    </w:rPr>
                    <w:t>0</w:t>
                  </w:r>
                </w:p>
              </w:tc>
              <w:tc>
                <w:tcPr>
                  <w:tcW w:w="42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eastAsia" w:ascii="Times New Roman" w:hAnsi="宋体" w:eastAsia="宋体" w:cs="Times New Roman"/>
                      <w:color w:val="auto"/>
                      <w:kern w:val="0"/>
                      <w:sz w:val="18"/>
                      <w:szCs w:val="18"/>
                      <w:lang w:val="en-US" w:eastAsia="zh-CN" w:bidi="ar-SA"/>
                    </w:rPr>
                    <w:t>/</w:t>
                  </w:r>
                </w:p>
              </w:tc>
              <w:tc>
                <w:tcPr>
                  <w:tcW w:w="39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eastAsia" w:ascii="Times New Roman" w:hAnsi="宋体" w:eastAsia="宋体" w:cs="Times New Roman"/>
                      <w:color w:val="auto"/>
                      <w:kern w:val="0"/>
                      <w:sz w:val="18"/>
                      <w:szCs w:val="18"/>
                      <w:lang w:val="en-US" w:eastAsia="zh-CN" w:bidi="ar-SA"/>
                    </w:rPr>
                    <w:t>0</w:t>
                  </w:r>
                </w:p>
              </w:tc>
              <w:tc>
                <w:tcPr>
                  <w:tcW w:w="426"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18"/>
                      <w:szCs w:val="18"/>
                      <w:lang w:val="en-US" w:eastAsia="zh-CN"/>
                    </w:rPr>
                  </w:pPr>
                  <w:r>
                    <w:rPr>
                      <w:rFonts w:hint="eastAsia" w:ascii="Times New Roman" w:hAnsi="宋体" w:eastAsia="宋体" w:cs="Times New Roman"/>
                      <w:color w:val="auto"/>
                      <w:kern w:val="0"/>
                      <w:sz w:val="18"/>
                      <w:szCs w:val="18"/>
                      <w:lang w:val="en-US" w:eastAsia="zh-CN" w:bidi="ar-SA"/>
                    </w:rPr>
                    <w:t>/</w:t>
                  </w:r>
                </w:p>
              </w:tc>
              <w:tc>
                <w:tcPr>
                  <w:tcW w:w="397" w:type="pct"/>
                  <w:noWrap w:val="0"/>
                  <w:vAlign w:val="center"/>
                </w:tcPr>
                <w:p>
                  <w:pPr>
                    <w:adjustRightInd w:val="0"/>
                    <w:snapToGrid w:val="0"/>
                    <w:jc w:val="center"/>
                    <w:rPr>
                      <w:rFonts w:hint="default" w:ascii="Times New Roman" w:hAnsi="Times New Roman" w:eastAsia="宋体" w:cs="Times New Roman"/>
                      <w:color w:val="auto"/>
                      <w:sz w:val="18"/>
                      <w:szCs w:val="18"/>
                      <w:lang w:val="en-US" w:eastAsia="zh-CN"/>
                    </w:rPr>
                  </w:pPr>
                  <w:r>
                    <w:rPr>
                      <w:rFonts w:hint="eastAsia" w:cs="Times New Roman"/>
                      <w:bCs/>
                      <w:color w:val="auto"/>
                      <w:sz w:val="18"/>
                      <w:szCs w:val="18"/>
                      <w:lang w:val="en-US" w:eastAsia="zh-CN"/>
                    </w:rPr>
                    <w:t>3.1851</w:t>
                  </w:r>
                </w:p>
              </w:tc>
              <w:tc>
                <w:tcPr>
                  <w:tcW w:w="459"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18"/>
                      <w:szCs w:val="18"/>
                      <w:lang w:val="en-US" w:eastAsia="zh-CN"/>
                    </w:rPr>
                  </w:pPr>
                  <w:r>
                    <w:rPr>
                      <w:rFonts w:hint="eastAsia" w:ascii="Times New Roman" w:hAnsi="宋体" w:eastAsia="宋体" w:cs="Times New Roman"/>
                      <w:color w:val="auto"/>
                      <w:kern w:val="0"/>
                      <w:sz w:val="18"/>
                      <w:szCs w:val="18"/>
                      <w:lang w:val="en-US" w:eastAsia="zh-CN" w:bidi="ar-SA"/>
                    </w:rPr>
                    <w:t>/</w:t>
                  </w:r>
                </w:p>
              </w:tc>
              <w:tc>
                <w:tcPr>
                  <w:tcW w:w="397" w:type="pct"/>
                  <w:noWrap w:val="0"/>
                  <w:vAlign w:val="center"/>
                </w:tcPr>
                <w:p>
                  <w:pPr>
                    <w:adjustRightInd w:val="0"/>
                    <w:snapToGrid w:val="0"/>
                    <w:jc w:val="center"/>
                    <w:rPr>
                      <w:rFonts w:hint="eastAsia" w:ascii="Times New Roman" w:hAnsi="Times New Roman" w:eastAsia="宋体" w:cs="Times New Roman"/>
                      <w:color w:val="auto"/>
                      <w:sz w:val="18"/>
                      <w:szCs w:val="18"/>
                      <w:lang w:val="en-US" w:eastAsia="zh-CN"/>
                    </w:rPr>
                  </w:pPr>
                  <w:r>
                    <w:rPr>
                      <w:rFonts w:hint="eastAsia" w:cs="Times New Roman"/>
                      <w:bCs/>
                      <w:color w:val="auto"/>
                      <w:sz w:val="18"/>
                      <w:szCs w:val="18"/>
                      <w:lang w:val="en-US" w:eastAsia="zh-CN"/>
                    </w:rPr>
                    <w:t>3.1851</w:t>
                  </w:r>
                </w:p>
              </w:tc>
              <w:tc>
                <w:tcPr>
                  <w:tcW w:w="414" w:type="pc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18"/>
                      <w:szCs w:val="18"/>
                      <w:lang w:val="en-US" w:eastAsia="zh-CN"/>
                    </w:rPr>
                  </w:pPr>
                  <w:r>
                    <w:rPr>
                      <w:rFonts w:hint="eastAsia" w:ascii="Times New Roman" w:hAnsi="宋体" w:eastAsia="宋体" w:cs="Times New Roman"/>
                      <w:color w:val="auto"/>
                      <w:kern w:val="0"/>
                      <w:sz w:val="18"/>
                      <w:szCs w:val="18"/>
                      <w:lang w:val="en-US" w:eastAsia="zh-CN" w:bidi="ar-SA"/>
                    </w:rPr>
                    <w:t>/</w:t>
                  </w:r>
                </w:p>
              </w:tc>
              <w:tc>
                <w:tcPr>
                  <w:tcW w:w="485" w:type="pct"/>
                  <w:noWrap w:val="0"/>
                  <w:vAlign w:val="center"/>
                </w:tcPr>
                <w:p>
                  <w:pPr>
                    <w:adjustRightInd w:val="0"/>
                    <w:snapToGrid w:val="0"/>
                    <w:jc w:val="center"/>
                    <w:rPr>
                      <w:rFonts w:hint="eastAsia" w:ascii="Times New Roman" w:hAnsi="Times New Roman" w:eastAsia="宋体" w:cs="Times New Roman"/>
                      <w:color w:val="auto"/>
                      <w:sz w:val="18"/>
                      <w:szCs w:val="18"/>
                      <w:lang w:val="en-US" w:eastAsia="zh-CN"/>
                    </w:rPr>
                  </w:pPr>
                  <w:r>
                    <w:rPr>
                      <w:rFonts w:hint="eastAsia" w:cs="Times New Roman"/>
                      <w:bCs/>
                      <w:color w:val="auto"/>
                      <w:sz w:val="18"/>
                      <w:szCs w:val="18"/>
                      <w:lang w:val="en-US" w:eastAsia="zh-CN"/>
                    </w:rPr>
                    <w:t>+3.1851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628" w:hRule="atLeast"/>
                <w:jc w:val="center"/>
              </w:trPr>
              <w:tc>
                <w:tcPr>
                  <w:tcW w:w="170" w:type="pct"/>
                  <w:vMerge w:val="restart"/>
                  <w:noWrap w:val="0"/>
                  <w:vAlign w:val="center"/>
                </w:tcPr>
                <w:p>
                  <w:pPr>
                    <w:jc w:val="center"/>
                    <w:rPr>
                      <w:rFonts w:hAnsi="宋体"/>
                      <w:color w:val="auto"/>
                      <w:sz w:val="18"/>
                      <w:szCs w:val="18"/>
                    </w:rPr>
                  </w:pPr>
                  <w:r>
                    <w:rPr>
                      <w:rFonts w:hint="eastAsia" w:hAnsi="宋体"/>
                      <w:color w:val="auto"/>
                      <w:sz w:val="18"/>
                      <w:szCs w:val="18"/>
                    </w:rPr>
                    <w:t>废水</w:t>
                  </w:r>
                </w:p>
              </w:tc>
              <w:tc>
                <w:tcPr>
                  <w:tcW w:w="613" w:type="pct"/>
                  <w:gridSpan w:val="2"/>
                  <w:noWrap w:val="0"/>
                  <w:vAlign w:val="center"/>
                </w:tcPr>
                <w:p>
                  <w:pPr>
                    <w:jc w:val="center"/>
                    <w:rPr>
                      <w:rFonts w:hAnsi="宋体"/>
                      <w:color w:val="auto"/>
                      <w:sz w:val="18"/>
                      <w:szCs w:val="18"/>
                    </w:rPr>
                  </w:pPr>
                  <w:r>
                    <w:rPr>
                      <w:color w:val="auto"/>
                      <w:sz w:val="18"/>
                      <w:szCs w:val="18"/>
                    </w:rPr>
                    <w:t>污水量</w:t>
                  </w:r>
                </w:p>
              </w:tc>
              <w:tc>
                <w:tcPr>
                  <w:tcW w:w="422" w:type="pct"/>
                  <w:noWrap w:val="0"/>
                  <w:vAlign w:val="center"/>
                </w:tcPr>
                <w:p>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3684</w:t>
                  </w:r>
                </w:p>
              </w:tc>
              <w:tc>
                <w:tcPr>
                  <w:tcW w:w="397" w:type="pct"/>
                  <w:noWrap w:val="0"/>
                  <w:vAlign w:val="center"/>
                </w:tcPr>
                <w:p>
                  <w:pPr>
                    <w:jc w:val="center"/>
                    <w:rPr>
                      <w:rFonts w:ascii="Times New Roman" w:hAnsi="宋体" w:eastAsia="宋体" w:cs="Times New Roman"/>
                      <w:color w:val="auto"/>
                      <w:sz w:val="18"/>
                      <w:szCs w:val="18"/>
                    </w:rPr>
                  </w:pPr>
                  <w:r>
                    <w:rPr>
                      <w:rFonts w:hint="eastAsia" w:ascii="Times New Roman" w:hAnsi="Times New Roman" w:eastAsia="宋体" w:cs="Times New Roman"/>
                      <w:color w:val="auto"/>
                      <w:sz w:val="18"/>
                      <w:szCs w:val="18"/>
                      <w:lang w:val="en-US" w:eastAsia="zh-CN"/>
                    </w:rPr>
                    <w:t>3684</w:t>
                  </w:r>
                </w:p>
              </w:tc>
              <w:tc>
                <w:tcPr>
                  <w:tcW w:w="420" w:type="pct"/>
                  <w:noWrap w:val="0"/>
                  <w:vAlign w:val="center"/>
                </w:tcPr>
                <w:p>
                  <w:pPr>
                    <w:tabs>
                      <w:tab w:val="left" w:pos="277"/>
                      <w:tab w:val="left" w:pos="600"/>
                      <w:tab w:val="left" w:pos="780"/>
                      <w:tab w:val="left" w:pos="2517"/>
                    </w:tabs>
                    <w:adjustRightInd w:val="0"/>
                    <w:snapToGrid w:val="0"/>
                    <w:jc w:val="center"/>
                    <w:rPr>
                      <w:rFonts w:hint="default" w:ascii="Times New Roman" w:hAnsi="宋体" w:eastAsia="宋体" w:cs="Times New Roman"/>
                      <w:color w:val="auto"/>
                      <w:kern w:val="0"/>
                      <w:sz w:val="18"/>
                      <w:szCs w:val="18"/>
                      <w:lang w:val="en-US" w:eastAsia="zh-CN" w:bidi="ar-SA"/>
                    </w:rPr>
                  </w:pPr>
                  <w:r>
                    <w:rPr>
                      <w:rFonts w:hint="eastAsia" w:ascii="Times New Roman" w:hAnsi="宋体" w:eastAsia="宋体" w:cs="Times New Roman"/>
                      <w:color w:val="auto"/>
                      <w:kern w:val="0"/>
                      <w:sz w:val="18"/>
                      <w:szCs w:val="18"/>
                      <w:lang w:val="en-US" w:eastAsia="zh-CN" w:bidi="ar-SA"/>
                    </w:rPr>
                    <w:t>0</w:t>
                  </w:r>
                </w:p>
              </w:tc>
              <w:tc>
                <w:tcPr>
                  <w:tcW w:w="395" w:type="pct"/>
                  <w:noWrap w:val="0"/>
                  <w:vAlign w:val="center"/>
                </w:tcPr>
                <w:p>
                  <w:pPr>
                    <w:tabs>
                      <w:tab w:val="left" w:pos="277"/>
                      <w:tab w:val="left" w:pos="600"/>
                      <w:tab w:val="left" w:pos="780"/>
                      <w:tab w:val="left" w:pos="2517"/>
                    </w:tabs>
                    <w:adjustRightInd w:val="0"/>
                    <w:snapToGrid w:val="0"/>
                    <w:jc w:val="center"/>
                    <w:rPr>
                      <w:rFonts w:hint="default" w:ascii="Times New Roman" w:hAnsi="宋体" w:eastAsia="宋体" w:cs="Times New Roman"/>
                      <w:color w:val="auto"/>
                      <w:kern w:val="0"/>
                      <w:sz w:val="18"/>
                      <w:szCs w:val="18"/>
                      <w:lang w:val="en-US" w:eastAsia="zh-CN" w:bidi="ar-SA"/>
                    </w:rPr>
                  </w:pPr>
                  <w:r>
                    <w:rPr>
                      <w:rFonts w:hint="eastAsia" w:ascii="Times New Roman" w:hAnsi="宋体" w:eastAsia="宋体" w:cs="Times New Roman"/>
                      <w:color w:val="auto"/>
                      <w:kern w:val="0"/>
                      <w:sz w:val="18"/>
                      <w:szCs w:val="18"/>
                      <w:lang w:val="en-US" w:eastAsia="zh-CN" w:bidi="ar-SA"/>
                    </w:rPr>
                    <w:t>0</w:t>
                  </w:r>
                </w:p>
              </w:tc>
              <w:tc>
                <w:tcPr>
                  <w:tcW w:w="426" w:type="pct"/>
                  <w:noWrap w:val="0"/>
                  <w:vAlign w:val="center"/>
                </w:tcPr>
                <w:p>
                  <w:pPr>
                    <w:tabs>
                      <w:tab w:val="left" w:pos="277"/>
                      <w:tab w:val="left" w:pos="600"/>
                      <w:tab w:val="left" w:pos="780"/>
                      <w:tab w:val="left" w:pos="2517"/>
                    </w:tabs>
                    <w:adjustRightInd w:val="0"/>
                    <w:snapToGrid w:val="0"/>
                    <w:jc w:val="center"/>
                    <w:rPr>
                      <w:rFonts w:hint="eastAsia" w:ascii="Times New Roman" w:hAnsi="宋体" w:eastAsia="宋体" w:cs="Times New Roman"/>
                      <w:color w:val="auto"/>
                      <w:kern w:val="0"/>
                      <w:sz w:val="18"/>
                      <w:szCs w:val="18"/>
                      <w:lang w:val="en-US" w:eastAsia="zh-CN" w:bidi="ar-SA"/>
                    </w:rPr>
                  </w:pPr>
                  <w:r>
                    <w:rPr>
                      <w:rFonts w:hint="eastAsia" w:ascii="Times New Roman" w:hAnsi="Times New Roman" w:eastAsia="宋体" w:cs="Times New Roman"/>
                      <w:color w:val="auto"/>
                      <w:spacing w:val="-10"/>
                      <w:kern w:val="0"/>
                      <w:sz w:val="18"/>
                      <w:szCs w:val="18"/>
                      <w:lang w:val="en-US" w:eastAsia="zh-CN" w:bidi="ar-SA"/>
                    </w:rPr>
                    <w:t>3216</w:t>
                  </w:r>
                </w:p>
              </w:tc>
              <w:tc>
                <w:tcPr>
                  <w:tcW w:w="397" w:type="pct"/>
                  <w:shd w:val="clear" w:color="auto" w:fill="auto"/>
                  <w:noWrap w:val="0"/>
                  <w:vAlign w:val="center"/>
                </w:tcPr>
                <w:p>
                  <w:pPr>
                    <w:adjustRightInd w:val="0"/>
                    <w:snapToGrid w:val="0"/>
                    <w:jc w:val="center"/>
                    <w:rPr>
                      <w:rFonts w:hint="default" w:ascii="Times New Roman" w:hAnsi="宋体" w:eastAsia="宋体" w:cs="Times New Roman"/>
                      <w:color w:val="auto"/>
                      <w:kern w:val="0"/>
                      <w:sz w:val="18"/>
                      <w:szCs w:val="18"/>
                      <w:lang w:val="en-US" w:eastAsia="zh-CN" w:bidi="ar-SA"/>
                    </w:rPr>
                  </w:pPr>
                  <w:r>
                    <w:rPr>
                      <w:rFonts w:hint="eastAsia" w:ascii="Times New Roman" w:hAnsi="Times New Roman" w:eastAsia="宋体" w:cs="Times New Roman"/>
                      <w:color w:val="auto"/>
                      <w:spacing w:val="-10"/>
                      <w:kern w:val="0"/>
                      <w:sz w:val="18"/>
                      <w:szCs w:val="18"/>
                      <w:lang w:val="en-US" w:eastAsia="zh-CN" w:bidi="ar-SA"/>
                    </w:rPr>
                    <w:t>3216</w:t>
                  </w:r>
                </w:p>
              </w:tc>
              <w:tc>
                <w:tcPr>
                  <w:tcW w:w="459" w:type="pct"/>
                  <w:noWrap w:val="0"/>
                  <w:vAlign w:val="center"/>
                </w:tcPr>
                <w:p>
                  <w:pPr>
                    <w:adjustRightInd w:val="0"/>
                    <w:snapToGrid w:val="0"/>
                    <w:jc w:val="center"/>
                    <w:rPr>
                      <w:rFonts w:hint="default" w:hAnsi="宋体" w:eastAsia="宋体"/>
                      <w:color w:val="auto"/>
                      <w:sz w:val="18"/>
                      <w:szCs w:val="18"/>
                      <w:lang w:val="en-US" w:eastAsia="zh-CN"/>
                    </w:rPr>
                  </w:pPr>
                  <w:r>
                    <w:rPr>
                      <w:rFonts w:hint="eastAsia" w:ascii="Times New Roman" w:hAnsi="宋体" w:eastAsia="宋体" w:cs="Times New Roman"/>
                      <w:color w:val="auto"/>
                      <w:kern w:val="0"/>
                      <w:sz w:val="18"/>
                      <w:szCs w:val="18"/>
                      <w:lang w:val="en-US" w:eastAsia="zh-CN"/>
                    </w:rPr>
                    <w:t>6900</w:t>
                  </w:r>
                </w:p>
              </w:tc>
              <w:tc>
                <w:tcPr>
                  <w:tcW w:w="397" w:type="pct"/>
                  <w:noWrap w:val="0"/>
                  <w:vAlign w:val="center"/>
                </w:tcPr>
                <w:p>
                  <w:pPr>
                    <w:keepNext w:val="0"/>
                    <w:keepLines w:val="0"/>
                    <w:widowControl/>
                    <w:suppressLineNumbers w:val="0"/>
                    <w:jc w:val="center"/>
                    <w:textAlignment w:val="center"/>
                    <w:rPr>
                      <w:rFonts w:hint="default" w:ascii="Times New Roman" w:hAnsi="宋体" w:eastAsia="宋体" w:cs="Times New Roman"/>
                      <w:color w:val="auto"/>
                      <w:kern w:val="0"/>
                      <w:sz w:val="18"/>
                      <w:szCs w:val="18"/>
                      <w:lang w:val="en-US" w:eastAsia="zh-CN" w:bidi="ar-SA"/>
                    </w:rPr>
                  </w:pPr>
                  <w:r>
                    <w:rPr>
                      <w:rFonts w:hint="eastAsia" w:ascii="Times New Roman" w:hAnsi="宋体" w:eastAsia="宋体" w:cs="Times New Roman"/>
                      <w:color w:val="auto"/>
                      <w:kern w:val="0"/>
                      <w:sz w:val="18"/>
                      <w:szCs w:val="18"/>
                      <w:lang w:val="en-US" w:eastAsia="zh-CN"/>
                    </w:rPr>
                    <w:t>6900</w:t>
                  </w:r>
                </w:p>
              </w:tc>
              <w:tc>
                <w:tcPr>
                  <w:tcW w:w="414" w:type="pct"/>
                  <w:shd w:val="clear" w:color="auto" w:fill="auto"/>
                  <w:noWrap w:val="0"/>
                  <w:vAlign w:val="center"/>
                </w:tcPr>
                <w:p>
                  <w:pPr>
                    <w:jc w:val="center"/>
                    <w:rPr>
                      <w:rFonts w:hint="default" w:ascii="Times New Roman" w:hAnsi="宋体" w:eastAsia="宋体" w:cstheme="minorBidi"/>
                      <w:color w:val="auto"/>
                      <w:kern w:val="2"/>
                      <w:sz w:val="18"/>
                      <w:szCs w:val="18"/>
                      <w:lang w:val="en-US" w:eastAsia="zh-CN" w:bidi="ar-SA"/>
                    </w:rPr>
                  </w:pPr>
                  <w:r>
                    <w:rPr>
                      <w:rFonts w:hint="eastAsia"/>
                      <w:color w:val="auto"/>
                      <w:sz w:val="18"/>
                      <w:szCs w:val="18"/>
                      <w:lang w:val="en-US" w:eastAsia="zh-CN"/>
                    </w:rPr>
                    <w:t>+</w:t>
                  </w:r>
                  <w:r>
                    <w:rPr>
                      <w:rFonts w:hint="eastAsia" w:ascii="Times New Roman" w:hAnsi="Times New Roman" w:eastAsia="宋体" w:cs="Times New Roman"/>
                      <w:color w:val="auto"/>
                      <w:spacing w:val="-10"/>
                      <w:kern w:val="0"/>
                      <w:sz w:val="18"/>
                      <w:szCs w:val="18"/>
                      <w:lang w:val="en-US" w:eastAsia="zh-CN" w:bidi="ar-SA"/>
                    </w:rPr>
                    <w:t>3216</w:t>
                  </w:r>
                </w:p>
              </w:tc>
              <w:tc>
                <w:tcPr>
                  <w:tcW w:w="485" w:type="pct"/>
                  <w:noWrap w:val="0"/>
                  <w:vAlign w:val="center"/>
                </w:tcPr>
                <w:p>
                  <w:pPr>
                    <w:keepNext w:val="0"/>
                    <w:keepLines w:val="0"/>
                    <w:widowControl/>
                    <w:suppressLineNumbers w:val="0"/>
                    <w:jc w:val="center"/>
                    <w:textAlignment w:val="center"/>
                    <w:rPr>
                      <w:rFonts w:hint="default" w:ascii="Times New Roman" w:hAnsi="宋体" w:eastAsia="宋体" w:cs="Times New Roman"/>
                      <w:color w:val="auto"/>
                      <w:kern w:val="0"/>
                      <w:sz w:val="18"/>
                      <w:szCs w:val="18"/>
                      <w:lang w:val="en-US" w:eastAsia="zh-CN"/>
                    </w:rPr>
                  </w:pPr>
                  <w:r>
                    <w:rPr>
                      <w:rFonts w:hint="eastAsia" w:ascii="Times New Roman" w:hAnsi="宋体" w:eastAsia="宋体" w:cs="Times New Roman"/>
                      <w:color w:val="auto"/>
                      <w:kern w:val="0"/>
                      <w:sz w:val="18"/>
                      <w:szCs w:val="18"/>
                      <w:lang w:val="en-US" w:eastAsia="zh-CN"/>
                    </w:rPr>
                    <w:t>+3216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461" w:hRule="atLeast"/>
                <w:jc w:val="center"/>
              </w:trPr>
              <w:tc>
                <w:tcPr>
                  <w:tcW w:w="170" w:type="pct"/>
                  <w:vMerge w:val="continue"/>
                  <w:noWrap w:val="0"/>
                  <w:vAlign w:val="center"/>
                </w:tcPr>
                <w:p>
                  <w:pPr>
                    <w:jc w:val="center"/>
                    <w:rPr>
                      <w:rFonts w:hAnsi="宋体"/>
                      <w:color w:val="auto"/>
                      <w:sz w:val="18"/>
                      <w:szCs w:val="18"/>
                    </w:rPr>
                  </w:pPr>
                </w:p>
              </w:tc>
              <w:tc>
                <w:tcPr>
                  <w:tcW w:w="613" w:type="pct"/>
                  <w:gridSpan w:val="2"/>
                  <w:noWrap w:val="0"/>
                  <w:vAlign w:val="center"/>
                </w:tcPr>
                <w:p>
                  <w:pPr>
                    <w:jc w:val="center"/>
                    <w:rPr>
                      <w:rFonts w:hAnsi="宋体"/>
                      <w:color w:val="auto"/>
                      <w:sz w:val="18"/>
                      <w:szCs w:val="18"/>
                    </w:rPr>
                  </w:pPr>
                  <w:r>
                    <w:rPr>
                      <w:color w:val="auto"/>
                      <w:kern w:val="0"/>
                      <w:sz w:val="18"/>
                      <w:szCs w:val="18"/>
                    </w:rPr>
                    <w:t>COD</w:t>
                  </w:r>
                </w:p>
              </w:tc>
              <w:tc>
                <w:tcPr>
                  <w:tcW w:w="422" w:type="pct"/>
                  <w:shd w:val="clear" w:color="auto" w:fill="auto"/>
                  <w:noWrap w:val="0"/>
                  <w:vAlign w:val="center"/>
                </w:tcPr>
                <w:p>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0.368</w:t>
                  </w:r>
                </w:p>
              </w:tc>
              <w:tc>
                <w:tcPr>
                  <w:tcW w:w="397" w:type="pct"/>
                  <w:shd w:val="clear" w:color="auto" w:fill="auto"/>
                  <w:noWrap w:val="0"/>
                  <w:vAlign w:val="center"/>
                </w:tcPr>
                <w:p>
                  <w:pPr>
                    <w:adjustRightInd w:val="0"/>
                    <w:snapToGrid w:val="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0.1842</w:t>
                  </w:r>
                </w:p>
              </w:tc>
              <w:tc>
                <w:tcPr>
                  <w:tcW w:w="420" w:type="pct"/>
                  <w:noWrap w:val="0"/>
                  <w:vAlign w:val="center"/>
                </w:tcPr>
                <w:p>
                  <w:pPr>
                    <w:tabs>
                      <w:tab w:val="left" w:pos="277"/>
                      <w:tab w:val="left" w:pos="600"/>
                      <w:tab w:val="left" w:pos="780"/>
                      <w:tab w:val="left" w:pos="2517"/>
                    </w:tabs>
                    <w:adjustRightInd w:val="0"/>
                    <w:snapToGrid w:val="0"/>
                    <w:jc w:val="center"/>
                    <w:rPr>
                      <w:rFonts w:hint="default" w:ascii="Times New Roman" w:hAnsi="Times New Roman" w:eastAsia="宋体" w:cs="Times New Roman"/>
                      <w:color w:val="auto"/>
                      <w:sz w:val="18"/>
                      <w:szCs w:val="18"/>
                      <w:lang w:val="en-US" w:eastAsia="zh-CN"/>
                    </w:rPr>
                  </w:pPr>
                  <w:r>
                    <w:rPr>
                      <w:rFonts w:hint="eastAsia" w:ascii="Times New Roman" w:hAnsi="宋体" w:eastAsia="宋体" w:cs="Times New Roman"/>
                      <w:color w:val="auto"/>
                      <w:kern w:val="0"/>
                      <w:sz w:val="18"/>
                      <w:szCs w:val="18"/>
                      <w:lang w:val="en-US" w:eastAsia="zh-CN" w:bidi="ar-SA"/>
                    </w:rPr>
                    <w:t>0</w:t>
                  </w:r>
                </w:p>
              </w:tc>
              <w:tc>
                <w:tcPr>
                  <w:tcW w:w="395" w:type="pct"/>
                  <w:noWrap w:val="0"/>
                  <w:vAlign w:val="center"/>
                </w:tcPr>
                <w:p>
                  <w:pPr>
                    <w:tabs>
                      <w:tab w:val="left" w:pos="277"/>
                      <w:tab w:val="left" w:pos="600"/>
                      <w:tab w:val="left" w:pos="780"/>
                      <w:tab w:val="left" w:pos="2517"/>
                    </w:tabs>
                    <w:adjustRightInd w:val="0"/>
                    <w:snapToGrid w:val="0"/>
                    <w:jc w:val="center"/>
                    <w:rPr>
                      <w:rFonts w:hint="default" w:ascii="Times New Roman" w:hAnsi="Times New Roman" w:eastAsia="宋体" w:cs="Times New Roman"/>
                      <w:color w:val="auto"/>
                      <w:sz w:val="18"/>
                      <w:szCs w:val="18"/>
                      <w:lang w:val="en-US" w:eastAsia="zh-CN"/>
                    </w:rPr>
                  </w:pPr>
                  <w:r>
                    <w:rPr>
                      <w:rFonts w:hint="eastAsia" w:ascii="Times New Roman" w:hAnsi="宋体" w:eastAsia="宋体" w:cs="Times New Roman"/>
                      <w:color w:val="auto"/>
                      <w:kern w:val="0"/>
                      <w:sz w:val="18"/>
                      <w:szCs w:val="18"/>
                      <w:lang w:val="en-US" w:eastAsia="zh-CN" w:bidi="ar-SA"/>
                    </w:rPr>
                    <w:t>0</w:t>
                  </w:r>
                </w:p>
              </w:tc>
              <w:tc>
                <w:tcPr>
                  <w:tcW w:w="426" w:type="pct"/>
                  <w:noWrap w:val="0"/>
                  <w:vAlign w:val="center"/>
                </w:tcPr>
                <w:p>
                  <w:pPr>
                    <w:adjustRightInd w:val="0"/>
                    <w:snapToGrid w:val="0"/>
                    <w:jc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0.9024</w:t>
                  </w:r>
                </w:p>
              </w:tc>
              <w:tc>
                <w:tcPr>
                  <w:tcW w:w="397" w:type="pct"/>
                  <w:shd w:val="clear" w:color="auto" w:fill="auto"/>
                  <w:noWrap w:val="0"/>
                  <w:vAlign w:val="center"/>
                </w:tcPr>
                <w:p>
                  <w:pPr>
                    <w:keepNext w:val="0"/>
                    <w:keepLines w:val="0"/>
                    <w:widowControl/>
                    <w:suppressLineNumbers w:val="0"/>
                    <w:jc w:val="center"/>
                    <w:textAlignment w:val="center"/>
                    <w:rPr>
                      <w:rFonts w:hint="default" w:ascii="Times New Roman" w:hAnsi="宋体" w:eastAsia="宋体" w:cs="Times New Roman"/>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0.1608 </w:t>
                  </w:r>
                </w:p>
              </w:tc>
              <w:tc>
                <w:tcPr>
                  <w:tcW w:w="459" w:type="pct"/>
                  <w:noWrap w:val="0"/>
                  <w:vAlign w:val="center"/>
                </w:tcPr>
                <w:p>
                  <w:pPr>
                    <w:tabs>
                      <w:tab w:val="left" w:pos="277"/>
                      <w:tab w:val="left" w:pos="600"/>
                      <w:tab w:val="left" w:pos="780"/>
                      <w:tab w:val="left" w:pos="2517"/>
                    </w:tabs>
                    <w:adjustRightInd w:val="0"/>
                    <w:snapToGrid w:val="0"/>
                    <w:jc w:val="center"/>
                    <w:rPr>
                      <w:rFonts w:hint="default" w:ascii="Times New Roman" w:hAnsi="宋体" w:eastAsia="宋体" w:cs="Times New Roman"/>
                      <w:color w:val="auto"/>
                      <w:kern w:val="0"/>
                      <w:sz w:val="18"/>
                      <w:szCs w:val="18"/>
                      <w:lang w:val="en-US" w:eastAsia="zh-CN" w:bidi="ar-SA"/>
                    </w:rPr>
                  </w:pPr>
                  <w:r>
                    <w:rPr>
                      <w:rFonts w:hint="eastAsia" w:hAnsi="宋体" w:cs="Times New Roman"/>
                      <w:color w:val="auto"/>
                      <w:kern w:val="0"/>
                      <w:sz w:val="18"/>
                      <w:szCs w:val="18"/>
                      <w:lang w:val="en-US" w:eastAsia="zh-CN"/>
                    </w:rPr>
                    <w:t>1.2704</w:t>
                  </w:r>
                </w:p>
              </w:tc>
              <w:tc>
                <w:tcPr>
                  <w:tcW w:w="397" w:type="pct"/>
                  <w:noWrap w:val="0"/>
                  <w:vAlign w:val="center"/>
                </w:tcPr>
                <w:p>
                  <w:pPr>
                    <w:keepNext w:val="0"/>
                    <w:keepLines w:val="0"/>
                    <w:widowControl/>
                    <w:suppressLineNumbers w:val="0"/>
                    <w:jc w:val="center"/>
                    <w:textAlignment w:val="center"/>
                    <w:rPr>
                      <w:rFonts w:hint="default" w:ascii="Times New Roman" w:hAnsi="宋体" w:eastAsia="宋体" w:cs="Times New Roman"/>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0.3450 </w:t>
                  </w:r>
                </w:p>
              </w:tc>
              <w:tc>
                <w:tcPr>
                  <w:tcW w:w="414" w:type="pct"/>
                  <w:shd w:val="clear" w:color="auto" w:fill="auto"/>
                  <w:noWrap w:val="0"/>
                  <w:vAlign w:val="center"/>
                </w:tcPr>
                <w:p>
                  <w:pPr>
                    <w:adjustRightInd w:val="0"/>
                    <w:snapToGrid w:val="0"/>
                    <w:jc w:val="center"/>
                    <w:rPr>
                      <w:rFonts w:hint="default" w:ascii="Times New Roman" w:hAnsi="宋体" w:eastAsia="宋体" w:cs="Times New Roman"/>
                      <w:color w:val="auto"/>
                      <w:kern w:val="0"/>
                      <w:sz w:val="18"/>
                      <w:szCs w:val="18"/>
                      <w:lang w:val="en-US" w:eastAsia="zh-CN" w:bidi="ar-SA"/>
                    </w:rPr>
                  </w:pPr>
                  <w:r>
                    <w:rPr>
                      <w:rFonts w:hint="eastAsia" w:ascii="Times New Roman" w:hAnsi="Times New Roman" w:eastAsia="宋体" w:cs="Times New Roman"/>
                      <w:color w:val="auto"/>
                      <w:sz w:val="18"/>
                      <w:szCs w:val="18"/>
                      <w:lang w:val="en-US" w:eastAsia="zh-CN"/>
                    </w:rPr>
                    <w:t>+</w:t>
                  </w:r>
                  <w:r>
                    <w:rPr>
                      <w:rFonts w:hint="default" w:ascii="Times New Roman" w:hAnsi="Times New Roman" w:eastAsia="宋体" w:cs="Times New Roman"/>
                      <w:color w:val="auto"/>
                      <w:sz w:val="18"/>
                      <w:szCs w:val="18"/>
                      <w:lang w:val="en-US" w:eastAsia="zh-CN"/>
                    </w:rPr>
                    <w:t>0.9024</w:t>
                  </w:r>
                </w:p>
              </w:tc>
              <w:tc>
                <w:tcPr>
                  <w:tcW w:w="485" w:type="pct"/>
                  <w:noWrap w:val="0"/>
                  <w:vAlign w:val="center"/>
                </w:tcPr>
                <w:p>
                  <w:pPr>
                    <w:keepNext w:val="0"/>
                    <w:keepLines w:val="0"/>
                    <w:widowControl/>
                    <w:suppressLineNumbers w:val="0"/>
                    <w:jc w:val="center"/>
                    <w:textAlignment w:val="center"/>
                    <w:rPr>
                      <w:rFonts w:hint="eastAsia" w:ascii="Times New Roman" w:hAnsi="宋体" w:eastAsia="宋体" w:cs="Times New Roman"/>
                      <w:color w:val="auto"/>
                      <w:kern w:val="0"/>
                      <w:sz w:val="18"/>
                      <w:szCs w:val="18"/>
                      <w:lang w:val="en-US" w:eastAsia="zh-CN"/>
                    </w:rPr>
                  </w:pPr>
                  <w:r>
                    <w:rPr>
                      <w:rFonts w:hint="eastAsia" w:hAnsi="宋体" w:cs="Times New Roman"/>
                      <w:color w:val="auto"/>
                      <w:kern w:val="0"/>
                      <w:sz w:val="18"/>
                      <w:szCs w:val="18"/>
                      <w:lang w:val="en-US" w:eastAsia="zh-CN"/>
                    </w:rPr>
                    <w:t>+</w:t>
                  </w:r>
                  <w:r>
                    <w:rPr>
                      <w:rFonts w:hint="eastAsia" w:ascii="Times New Roman" w:hAnsi="宋体" w:eastAsia="宋体" w:cs="Times New Roman"/>
                      <w:color w:val="auto"/>
                      <w:kern w:val="0"/>
                      <w:sz w:val="18"/>
                      <w:szCs w:val="18"/>
                      <w:lang w:val="en-US" w:eastAsia="zh-CN"/>
                    </w:rPr>
                    <w:t>0.1608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461" w:hRule="atLeast"/>
                <w:jc w:val="center"/>
              </w:trPr>
              <w:tc>
                <w:tcPr>
                  <w:tcW w:w="170" w:type="pct"/>
                  <w:vMerge w:val="continue"/>
                  <w:noWrap w:val="0"/>
                  <w:vAlign w:val="center"/>
                </w:tcPr>
                <w:p>
                  <w:pPr>
                    <w:jc w:val="center"/>
                    <w:rPr>
                      <w:rFonts w:hAnsi="宋体"/>
                      <w:color w:val="auto"/>
                      <w:sz w:val="18"/>
                      <w:szCs w:val="18"/>
                    </w:rPr>
                  </w:pPr>
                </w:p>
              </w:tc>
              <w:tc>
                <w:tcPr>
                  <w:tcW w:w="613" w:type="pct"/>
                  <w:gridSpan w:val="2"/>
                  <w:noWrap w:val="0"/>
                  <w:vAlign w:val="center"/>
                </w:tcPr>
                <w:p>
                  <w:pPr>
                    <w:jc w:val="center"/>
                    <w:rPr>
                      <w:rFonts w:hAnsi="宋体"/>
                      <w:color w:val="auto"/>
                      <w:sz w:val="18"/>
                      <w:szCs w:val="18"/>
                    </w:rPr>
                  </w:pPr>
                  <w:r>
                    <w:rPr>
                      <w:color w:val="auto"/>
                      <w:kern w:val="0"/>
                      <w:sz w:val="18"/>
                      <w:szCs w:val="18"/>
                    </w:rPr>
                    <w:t>SS</w:t>
                  </w:r>
                </w:p>
              </w:tc>
              <w:tc>
                <w:tcPr>
                  <w:tcW w:w="422" w:type="pct"/>
                  <w:shd w:val="clear" w:color="auto" w:fill="auto"/>
                  <w:noWrap w:val="0"/>
                  <w:vAlign w:val="center"/>
                </w:tcPr>
                <w:p>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0</w:t>
                  </w:r>
                </w:p>
              </w:tc>
              <w:tc>
                <w:tcPr>
                  <w:tcW w:w="397" w:type="pct"/>
                  <w:shd w:val="clear" w:color="auto" w:fill="auto"/>
                  <w:noWrap w:val="0"/>
                  <w:vAlign w:val="center"/>
                </w:tcPr>
                <w:p>
                  <w:pPr>
                    <w:adjustRightInd w:val="0"/>
                    <w:snapToGrid w:val="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0.0368</w:t>
                  </w:r>
                </w:p>
              </w:tc>
              <w:tc>
                <w:tcPr>
                  <w:tcW w:w="420" w:type="pct"/>
                  <w:noWrap w:val="0"/>
                  <w:vAlign w:val="center"/>
                </w:tcPr>
                <w:p>
                  <w:pPr>
                    <w:tabs>
                      <w:tab w:val="left" w:pos="277"/>
                      <w:tab w:val="left" w:pos="600"/>
                      <w:tab w:val="left" w:pos="780"/>
                      <w:tab w:val="left" w:pos="2517"/>
                    </w:tabs>
                    <w:adjustRightInd w:val="0"/>
                    <w:snapToGrid w:val="0"/>
                    <w:jc w:val="center"/>
                    <w:rPr>
                      <w:rFonts w:hint="default" w:ascii="Times New Roman" w:hAnsi="Times New Roman" w:eastAsia="宋体" w:cs="Times New Roman"/>
                      <w:color w:val="auto"/>
                      <w:sz w:val="18"/>
                      <w:szCs w:val="18"/>
                      <w:lang w:val="en-US" w:eastAsia="zh-CN"/>
                    </w:rPr>
                  </w:pPr>
                  <w:r>
                    <w:rPr>
                      <w:rFonts w:hint="eastAsia" w:ascii="Times New Roman" w:hAnsi="宋体" w:eastAsia="宋体" w:cs="Times New Roman"/>
                      <w:color w:val="auto"/>
                      <w:kern w:val="0"/>
                      <w:sz w:val="18"/>
                      <w:szCs w:val="18"/>
                      <w:lang w:val="en-US" w:eastAsia="zh-CN" w:bidi="ar-SA"/>
                    </w:rPr>
                    <w:t>0</w:t>
                  </w:r>
                </w:p>
              </w:tc>
              <w:tc>
                <w:tcPr>
                  <w:tcW w:w="395" w:type="pct"/>
                  <w:noWrap w:val="0"/>
                  <w:vAlign w:val="center"/>
                </w:tcPr>
                <w:p>
                  <w:pPr>
                    <w:tabs>
                      <w:tab w:val="left" w:pos="277"/>
                      <w:tab w:val="left" w:pos="600"/>
                      <w:tab w:val="left" w:pos="780"/>
                      <w:tab w:val="left" w:pos="2517"/>
                    </w:tabs>
                    <w:adjustRightInd w:val="0"/>
                    <w:snapToGrid w:val="0"/>
                    <w:jc w:val="center"/>
                    <w:rPr>
                      <w:rFonts w:hint="default" w:ascii="Times New Roman" w:hAnsi="Times New Roman" w:eastAsia="宋体" w:cs="Times New Roman"/>
                      <w:color w:val="auto"/>
                      <w:sz w:val="18"/>
                      <w:szCs w:val="18"/>
                      <w:lang w:val="en-US" w:eastAsia="zh-CN"/>
                    </w:rPr>
                  </w:pPr>
                  <w:r>
                    <w:rPr>
                      <w:rFonts w:hint="eastAsia" w:ascii="Times New Roman" w:hAnsi="宋体" w:eastAsia="宋体" w:cs="Times New Roman"/>
                      <w:color w:val="auto"/>
                      <w:kern w:val="0"/>
                      <w:sz w:val="18"/>
                      <w:szCs w:val="18"/>
                      <w:lang w:val="en-US" w:eastAsia="zh-CN" w:bidi="ar-SA"/>
                    </w:rPr>
                    <w:t>0</w:t>
                  </w:r>
                </w:p>
              </w:tc>
              <w:tc>
                <w:tcPr>
                  <w:tcW w:w="426" w:type="pct"/>
                  <w:noWrap w:val="0"/>
                  <w:vAlign w:val="center"/>
                </w:tcPr>
                <w:p>
                  <w:pPr>
                    <w:adjustRightInd w:val="0"/>
                    <w:snapToGrid w:val="0"/>
                    <w:jc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0.5976</w:t>
                  </w:r>
                </w:p>
              </w:tc>
              <w:tc>
                <w:tcPr>
                  <w:tcW w:w="397" w:type="pct"/>
                  <w:shd w:val="clear" w:color="auto" w:fill="auto"/>
                  <w:noWrap w:val="0"/>
                  <w:vAlign w:val="center"/>
                </w:tcPr>
                <w:p>
                  <w:pPr>
                    <w:keepNext w:val="0"/>
                    <w:keepLines w:val="0"/>
                    <w:widowControl/>
                    <w:suppressLineNumbers w:val="0"/>
                    <w:jc w:val="center"/>
                    <w:textAlignment w:val="center"/>
                    <w:rPr>
                      <w:rFonts w:hint="default" w:ascii="Times New Roman" w:hAnsi="宋体" w:eastAsia="宋体" w:cs="Times New Roman"/>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0.0322 </w:t>
                  </w:r>
                </w:p>
              </w:tc>
              <w:tc>
                <w:tcPr>
                  <w:tcW w:w="459" w:type="pct"/>
                  <w:noWrap w:val="0"/>
                  <w:vAlign w:val="center"/>
                </w:tcPr>
                <w:p>
                  <w:pPr>
                    <w:keepNext w:val="0"/>
                    <w:keepLines w:val="0"/>
                    <w:widowControl/>
                    <w:suppressLineNumbers w:val="0"/>
                    <w:jc w:val="center"/>
                    <w:textAlignment w:val="center"/>
                    <w:rPr>
                      <w:rFonts w:hint="eastAsia" w:ascii="Times New Roman" w:hAnsi="宋体" w:eastAsia="宋体" w:cs="Times New Roman"/>
                      <w:color w:val="auto"/>
                      <w:kern w:val="0"/>
                      <w:sz w:val="18"/>
                      <w:szCs w:val="18"/>
                      <w:lang w:val="en-US" w:eastAsia="zh-CN" w:bidi="ar-SA"/>
                    </w:rPr>
                  </w:pPr>
                  <w:r>
                    <w:rPr>
                      <w:rFonts w:hint="default" w:ascii="Times New Roman" w:hAnsi="Times New Roman" w:eastAsia="宋体" w:cs="Times New Roman"/>
                      <w:color w:val="auto"/>
                      <w:sz w:val="18"/>
                      <w:szCs w:val="18"/>
                      <w:lang w:val="en-US" w:eastAsia="zh-CN"/>
                    </w:rPr>
                    <w:t>0.5976</w:t>
                  </w:r>
                  <w:r>
                    <w:rPr>
                      <w:rFonts w:hint="default" w:ascii="Times New Roman" w:hAnsi="Times New Roman" w:eastAsia="宋体" w:cs="Times New Roman"/>
                      <w:i w:val="0"/>
                      <w:iCs w:val="0"/>
                      <w:color w:val="auto"/>
                      <w:kern w:val="0"/>
                      <w:sz w:val="18"/>
                      <w:szCs w:val="18"/>
                      <w:u w:val="none"/>
                      <w:lang w:val="en-US" w:eastAsia="zh-CN" w:bidi="ar"/>
                    </w:rPr>
                    <w:t xml:space="preserve"> </w:t>
                  </w:r>
                </w:p>
              </w:tc>
              <w:tc>
                <w:tcPr>
                  <w:tcW w:w="397" w:type="pct"/>
                  <w:noWrap w:val="0"/>
                  <w:vAlign w:val="center"/>
                </w:tcPr>
                <w:p>
                  <w:pPr>
                    <w:keepNext w:val="0"/>
                    <w:keepLines w:val="0"/>
                    <w:widowControl/>
                    <w:suppressLineNumbers w:val="0"/>
                    <w:jc w:val="center"/>
                    <w:textAlignment w:val="center"/>
                    <w:rPr>
                      <w:rFonts w:hint="default" w:ascii="Times New Roman" w:hAnsi="宋体" w:eastAsia="宋体" w:cs="Times New Roman"/>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0.0690 </w:t>
                  </w:r>
                </w:p>
              </w:tc>
              <w:tc>
                <w:tcPr>
                  <w:tcW w:w="414" w:type="pct"/>
                  <w:shd w:val="clear" w:color="auto" w:fill="auto"/>
                  <w:noWrap w:val="0"/>
                  <w:vAlign w:val="center"/>
                </w:tcPr>
                <w:p>
                  <w:pPr>
                    <w:adjustRightInd w:val="0"/>
                    <w:snapToGrid w:val="0"/>
                    <w:jc w:val="center"/>
                    <w:rPr>
                      <w:rFonts w:hint="eastAsia" w:ascii="Times New Roman" w:hAnsi="宋体" w:eastAsia="宋体" w:cs="Times New Roman"/>
                      <w:color w:val="auto"/>
                      <w:kern w:val="0"/>
                      <w:sz w:val="18"/>
                      <w:szCs w:val="18"/>
                      <w:lang w:val="en-US" w:eastAsia="zh-CN" w:bidi="ar-SA"/>
                    </w:rPr>
                  </w:pPr>
                  <w:r>
                    <w:rPr>
                      <w:rFonts w:hint="eastAsia" w:ascii="Times New Roman" w:hAnsi="Times New Roman" w:eastAsia="宋体" w:cs="Times New Roman"/>
                      <w:color w:val="auto"/>
                      <w:sz w:val="18"/>
                      <w:szCs w:val="18"/>
                      <w:lang w:val="en-US" w:eastAsia="zh-CN"/>
                    </w:rPr>
                    <w:t>+</w:t>
                  </w:r>
                  <w:r>
                    <w:rPr>
                      <w:rFonts w:hint="default" w:ascii="Times New Roman" w:hAnsi="Times New Roman" w:eastAsia="宋体" w:cs="Times New Roman"/>
                      <w:color w:val="auto"/>
                      <w:sz w:val="18"/>
                      <w:szCs w:val="18"/>
                      <w:lang w:val="en-US" w:eastAsia="zh-CN"/>
                    </w:rPr>
                    <w:t>0.5976</w:t>
                  </w:r>
                </w:p>
              </w:tc>
              <w:tc>
                <w:tcPr>
                  <w:tcW w:w="485" w:type="pct"/>
                  <w:noWrap w:val="0"/>
                  <w:vAlign w:val="center"/>
                </w:tcPr>
                <w:p>
                  <w:pPr>
                    <w:keepNext w:val="0"/>
                    <w:keepLines w:val="0"/>
                    <w:widowControl/>
                    <w:suppressLineNumbers w:val="0"/>
                    <w:jc w:val="center"/>
                    <w:textAlignment w:val="center"/>
                    <w:rPr>
                      <w:rFonts w:hint="eastAsia" w:ascii="Times New Roman" w:hAnsi="宋体" w:eastAsia="宋体" w:cs="Times New Roman"/>
                      <w:color w:val="auto"/>
                      <w:kern w:val="0"/>
                      <w:sz w:val="18"/>
                      <w:szCs w:val="18"/>
                      <w:lang w:val="en-US" w:eastAsia="zh-CN"/>
                    </w:rPr>
                  </w:pPr>
                  <w:r>
                    <w:rPr>
                      <w:rFonts w:hint="eastAsia" w:hAnsi="宋体" w:cs="Times New Roman"/>
                      <w:color w:val="auto"/>
                      <w:kern w:val="0"/>
                      <w:sz w:val="18"/>
                      <w:szCs w:val="18"/>
                      <w:lang w:val="en-US" w:eastAsia="zh-CN"/>
                    </w:rPr>
                    <w:t>+</w:t>
                  </w:r>
                  <w:r>
                    <w:rPr>
                      <w:rFonts w:hint="eastAsia" w:ascii="Times New Roman" w:hAnsi="宋体" w:eastAsia="宋体" w:cs="Times New Roman"/>
                      <w:color w:val="auto"/>
                      <w:kern w:val="0"/>
                      <w:sz w:val="18"/>
                      <w:szCs w:val="18"/>
                      <w:lang w:val="en-US" w:eastAsia="zh-CN"/>
                    </w:rPr>
                    <w:t>0.0322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461" w:hRule="atLeast"/>
                <w:jc w:val="center"/>
              </w:trPr>
              <w:tc>
                <w:tcPr>
                  <w:tcW w:w="170" w:type="pct"/>
                  <w:vMerge w:val="continue"/>
                  <w:noWrap w:val="0"/>
                  <w:vAlign w:val="center"/>
                </w:tcPr>
                <w:p>
                  <w:pPr>
                    <w:jc w:val="center"/>
                    <w:rPr>
                      <w:rFonts w:hAnsi="宋体"/>
                      <w:color w:val="auto"/>
                      <w:sz w:val="18"/>
                      <w:szCs w:val="18"/>
                    </w:rPr>
                  </w:pPr>
                </w:p>
              </w:tc>
              <w:tc>
                <w:tcPr>
                  <w:tcW w:w="613" w:type="pct"/>
                  <w:gridSpan w:val="2"/>
                  <w:noWrap w:val="0"/>
                  <w:vAlign w:val="center"/>
                </w:tcPr>
                <w:p>
                  <w:pPr>
                    <w:jc w:val="center"/>
                    <w:rPr>
                      <w:rFonts w:hAnsi="宋体"/>
                      <w:color w:val="auto"/>
                      <w:sz w:val="18"/>
                      <w:szCs w:val="18"/>
                    </w:rPr>
                  </w:pPr>
                  <w:r>
                    <w:rPr>
                      <w:color w:val="auto"/>
                      <w:kern w:val="0"/>
                      <w:sz w:val="18"/>
                      <w:szCs w:val="18"/>
                    </w:rPr>
                    <w:t>NH</w:t>
                  </w:r>
                  <w:r>
                    <w:rPr>
                      <w:color w:val="auto"/>
                      <w:kern w:val="0"/>
                      <w:sz w:val="18"/>
                      <w:szCs w:val="18"/>
                      <w:vertAlign w:val="subscript"/>
                    </w:rPr>
                    <w:t>3</w:t>
                  </w:r>
                  <w:r>
                    <w:rPr>
                      <w:color w:val="auto"/>
                      <w:kern w:val="0"/>
                      <w:sz w:val="18"/>
                      <w:szCs w:val="18"/>
                    </w:rPr>
                    <w:t>-N</w:t>
                  </w:r>
                </w:p>
              </w:tc>
              <w:tc>
                <w:tcPr>
                  <w:tcW w:w="422" w:type="pct"/>
                  <w:noWrap w:val="0"/>
                  <w:vAlign w:val="center"/>
                </w:tcPr>
                <w:p>
                  <w:pPr>
                    <w:snapToGrid w:val="0"/>
                    <w:jc w:val="center"/>
                    <w:rPr>
                      <w:rFonts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0.055</w:t>
                  </w:r>
                </w:p>
              </w:tc>
              <w:tc>
                <w:tcPr>
                  <w:tcW w:w="397" w:type="pct"/>
                  <w:shd w:val="clear" w:color="auto" w:fill="auto"/>
                  <w:noWrap w:val="0"/>
                  <w:vAlign w:val="center"/>
                </w:tcPr>
                <w:p>
                  <w:pPr>
                    <w:adjustRightInd w:val="0"/>
                    <w:snapToGrid w:val="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0.0184</w:t>
                  </w:r>
                </w:p>
              </w:tc>
              <w:tc>
                <w:tcPr>
                  <w:tcW w:w="420" w:type="pct"/>
                  <w:noWrap w:val="0"/>
                  <w:vAlign w:val="center"/>
                </w:tcPr>
                <w:p>
                  <w:pPr>
                    <w:tabs>
                      <w:tab w:val="left" w:pos="277"/>
                      <w:tab w:val="left" w:pos="600"/>
                      <w:tab w:val="left" w:pos="780"/>
                      <w:tab w:val="left" w:pos="2517"/>
                    </w:tabs>
                    <w:adjustRightInd w:val="0"/>
                    <w:snapToGrid w:val="0"/>
                    <w:jc w:val="center"/>
                    <w:rPr>
                      <w:rFonts w:hint="default" w:ascii="Times New Roman" w:hAnsi="Times New Roman" w:eastAsia="宋体" w:cs="Times New Roman"/>
                      <w:color w:val="auto"/>
                      <w:sz w:val="18"/>
                      <w:szCs w:val="18"/>
                      <w:lang w:val="en-US" w:eastAsia="zh-CN"/>
                    </w:rPr>
                  </w:pPr>
                  <w:r>
                    <w:rPr>
                      <w:rFonts w:hint="eastAsia" w:ascii="Times New Roman" w:hAnsi="宋体" w:eastAsia="宋体" w:cs="Times New Roman"/>
                      <w:color w:val="auto"/>
                      <w:kern w:val="0"/>
                      <w:sz w:val="18"/>
                      <w:szCs w:val="18"/>
                      <w:lang w:val="en-US" w:eastAsia="zh-CN" w:bidi="ar-SA"/>
                    </w:rPr>
                    <w:t>0</w:t>
                  </w:r>
                </w:p>
              </w:tc>
              <w:tc>
                <w:tcPr>
                  <w:tcW w:w="395" w:type="pct"/>
                  <w:noWrap w:val="0"/>
                  <w:vAlign w:val="center"/>
                </w:tcPr>
                <w:p>
                  <w:pPr>
                    <w:tabs>
                      <w:tab w:val="left" w:pos="277"/>
                      <w:tab w:val="left" w:pos="600"/>
                      <w:tab w:val="left" w:pos="780"/>
                      <w:tab w:val="left" w:pos="2517"/>
                    </w:tabs>
                    <w:adjustRightInd w:val="0"/>
                    <w:snapToGrid w:val="0"/>
                    <w:jc w:val="center"/>
                    <w:rPr>
                      <w:rFonts w:hint="default" w:ascii="Times New Roman" w:hAnsi="Times New Roman" w:eastAsia="宋体" w:cs="Times New Roman"/>
                      <w:color w:val="auto"/>
                      <w:sz w:val="18"/>
                      <w:szCs w:val="18"/>
                      <w:lang w:val="en-US" w:eastAsia="zh-CN"/>
                    </w:rPr>
                  </w:pPr>
                  <w:r>
                    <w:rPr>
                      <w:rFonts w:hint="eastAsia" w:ascii="Times New Roman" w:hAnsi="宋体" w:eastAsia="宋体" w:cs="Times New Roman"/>
                      <w:color w:val="auto"/>
                      <w:kern w:val="0"/>
                      <w:sz w:val="18"/>
                      <w:szCs w:val="18"/>
                      <w:lang w:val="en-US" w:eastAsia="zh-CN" w:bidi="ar-SA"/>
                    </w:rPr>
                    <w:t>0</w:t>
                  </w:r>
                </w:p>
              </w:tc>
              <w:tc>
                <w:tcPr>
                  <w:tcW w:w="426" w:type="pct"/>
                  <w:noWrap w:val="0"/>
                  <w:vAlign w:val="center"/>
                </w:tcPr>
                <w:p>
                  <w:pPr>
                    <w:adjustRightInd w:val="0"/>
                    <w:snapToGrid w:val="0"/>
                    <w:jc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0.0893</w:t>
                  </w:r>
                </w:p>
              </w:tc>
              <w:tc>
                <w:tcPr>
                  <w:tcW w:w="397" w:type="pct"/>
                  <w:shd w:val="clear" w:color="auto" w:fill="auto"/>
                  <w:noWrap w:val="0"/>
                  <w:vAlign w:val="center"/>
                </w:tcPr>
                <w:p>
                  <w:pPr>
                    <w:keepNext w:val="0"/>
                    <w:keepLines w:val="0"/>
                    <w:widowControl/>
                    <w:suppressLineNumbers w:val="0"/>
                    <w:jc w:val="center"/>
                    <w:textAlignment w:val="center"/>
                    <w:rPr>
                      <w:rFonts w:hint="default" w:ascii="Times New Roman" w:hAnsi="宋体" w:eastAsia="宋体" w:cs="Times New Roman"/>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0.0161 </w:t>
                  </w:r>
                </w:p>
              </w:tc>
              <w:tc>
                <w:tcPr>
                  <w:tcW w:w="459" w:type="pct"/>
                  <w:noWrap w:val="0"/>
                  <w:vAlign w:val="center"/>
                </w:tcPr>
                <w:p>
                  <w:pPr>
                    <w:keepNext w:val="0"/>
                    <w:keepLines w:val="0"/>
                    <w:widowControl/>
                    <w:suppressLineNumbers w:val="0"/>
                    <w:jc w:val="center"/>
                    <w:textAlignment w:val="center"/>
                    <w:rPr>
                      <w:rFonts w:hint="eastAsia" w:ascii="Times New Roman" w:hAnsi="宋体" w:eastAsia="宋体" w:cs="Times New Roman"/>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w:t>
                  </w:r>
                  <w:r>
                    <w:rPr>
                      <w:rFonts w:hint="eastAsia" w:cs="Times New Roman"/>
                      <w:i w:val="0"/>
                      <w:iCs w:val="0"/>
                      <w:color w:val="auto"/>
                      <w:kern w:val="0"/>
                      <w:sz w:val="18"/>
                      <w:szCs w:val="18"/>
                      <w:u w:val="none"/>
                      <w:lang w:val="en-US" w:eastAsia="zh-CN" w:bidi="ar"/>
                    </w:rPr>
                    <w:t>1443</w:t>
                  </w:r>
                  <w:r>
                    <w:rPr>
                      <w:rFonts w:hint="default" w:ascii="Times New Roman" w:hAnsi="Times New Roman" w:eastAsia="宋体" w:cs="Times New Roman"/>
                      <w:i w:val="0"/>
                      <w:iCs w:val="0"/>
                      <w:color w:val="auto"/>
                      <w:kern w:val="0"/>
                      <w:sz w:val="18"/>
                      <w:szCs w:val="18"/>
                      <w:u w:val="none"/>
                      <w:lang w:val="en-US" w:eastAsia="zh-CN" w:bidi="ar"/>
                    </w:rPr>
                    <w:t xml:space="preserve"> </w:t>
                  </w:r>
                </w:p>
              </w:tc>
              <w:tc>
                <w:tcPr>
                  <w:tcW w:w="397" w:type="pct"/>
                  <w:noWrap w:val="0"/>
                  <w:vAlign w:val="center"/>
                </w:tcPr>
                <w:p>
                  <w:pPr>
                    <w:keepNext w:val="0"/>
                    <w:keepLines w:val="0"/>
                    <w:widowControl/>
                    <w:suppressLineNumbers w:val="0"/>
                    <w:jc w:val="center"/>
                    <w:textAlignment w:val="center"/>
                    <w:rPr>
                      <w:rFonts w:hint="default" w:ascii="Times New Roman" w:hAnsi="宋体" w:eastAsia="宋体" w:cs="Times New Roman"/>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0.0345 </w:t>
                  </w:r>
                </w:p>
              </w:tc>
              <w:tc>
                <w:tcPr>
                  <w:tcW w:w="414" w:type="pct"/>
                  <w:shd w:val="clear" w:color="auto" w:fill="auto"/>
                  <w:noWrap w:val="0"/>
                  <w:vAlign w:val="center"/>
                </w:tcPr>
                <w:p>
                  <w:pPr>
                    <w:adjustRightInd w:val="0"/>
                    <w:snapToGrid w:val="0"/>
                    <w:jc w:val="center"/>
                    <w:rPr>
                      <w:rFonts w:hint="eastAsia" w:ascii="Times New Roman" w:hAnsi="宋体" w:eastAsia="宋体" w:cs="Times New Roman"/>
                      <w:color w:val="auto"/>
                      <w:kern w:val="0"/>
                      <w:sz w:val="18"/>
                      <w:szCs w:val="18"/>
                      <w:lang w:val="en-US" w:eastAsia="zh-CN" w:bidi="ar-SA"/>
                    </w:rPr>
                  </w:pPr>
                  <w:r>
                    <w:rPr>
                      <w:rFonts w:hint="eastAsia" w:ascii="Times New Roman" w:hAnsi="Times New Roman" w:eastAsia="宋体" w:cs="Times New Roman"/>
                      <w:color w:val="auto"/>
                      <w:sz w:val="18"/>
                      <w:szCs w:val="18"/>
                      <w:lang w:val="en-US" w:eastAsia="zh-CN"/>
                    </w:rPr>
                    <w:t>+</w:t>
                  </w:r>
                  <w:r>
                    <w:rPr>
                      <w:rFonts w:hint="default" w:ascii="Times New Roman" w:hAnsi="Times New Roman" w:eastAsia="宋体" w:cs="Times New Roman"/>
                      <w:color w:val="auto"/>
                      <w:sz w:val="18"/>
                      <w:szCs w:val="18"/>
                      <w:lang w:val="en-US" w:eastAsia="zh-CN"/>
                    </w:rPr>
                    <w:t>0.0893</w:t>
                  </w:r>
                </w:p>
              </w:tc>
              <w:tc>
                <w:tcPr>
                  <w:tcW w:w="485" w:type="pct"/>
                  <w:noWrap w:val="0"/>
                  <w:vAlign w:val="center"/>
                </w:tcPr>
                <w:p>
                  <w:pPr>
                    <w:keepNext w:val="0"/>
                    <w:keepLines w:val="0"/>
                    <w:widowControl/>
                    <w:suppressLineNumbers w:val="0"/>
                    <w:jc w:val="center"/>
                    <w:textAlignment w:val="center"/>
                    <w:rPr>
                      <w:rFonts w:hint="eastAsia" w:ascii="Times New Roman" w:hAnsi="宋体" w:eastAsia="宋体" w:cs="Times New Roman"/>
                      <w:color w:val="auto"/>
                      <w:kern w:val="0"/>
                      <w:sz w:val="18"/>
                      <w:szCs w:val="18"/>
                      <w:lang w:val="en-US" w:eastAsia="zh-CN"/>
                    </w:rPr>
                  </w:pPr>
                  <w:r>
                    <w:rPr>
                      <w:rFonts w:hint="eastAsia" w:hAnsi="宋体" w:cs="Times New Roman"/>
                      <w:color w:val="auto"/>
                      <w:kern w:val="0"/>
                      <w:sz w:val="18"/>
                      <w:szCs w:val="18"/>
                      <w:lang w:val="en-US" w:eastAsia="zh-CN"/>
                    </w:rPr>
                    <w:t>+</w:t>
                  </w:r>
                  <w:r>
                    <w:rPr>
                      <w:rFonts w:hint="eastAsia" w:ascii="Times New Roman" w:hAnsi="宋体" w:eastAsia="宋体" w:cs="Times New Roman"/>
                      <w:color w:val="auto"/>
                      <w:kern w:val="0"/>
                      <w:sz w:val="18"/>
                      <w:szCs w:val="18"/>
                      <w:lang w:val="en-US" w:eastAsia="zh-CN"/>
                    </w:rPr>
                    <w:t>0.0161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514" w:hRule="atLeast"/>
                <w:jc w:val="center"/>
              </w:trPr>
              <w:tc>
                <w:tcPr>
                  <w:tcW w:w="170" w:type="pct"/>
                  <w:vMerge w:val="continue"/>
                  <w:noWrap w:val="0"/>
                  <w:vAlign w:val="center"/>
                </w:tcPr>
                <w:p>
                  <w:pPr>
                    <w:jc w:val="center"/>
                    <w:rPr>
                      <w:rFonts w:hAnsi="宋体"/>
                      <w:color w:val="auto"/>
                      <w:sz w:val="18"/>
                      <w:szCs w:val="18"/>
                    </w:rPr>
                  </w:pPr>
                </w:p>
              </w:tc>
              <w:tc>
                <w:tcPr>
                  <w:tcW w:w="613" w:type="pct"/>
                  <w:gridSpan w:val="2"/>
                  <w:noWrap w:val="0"/>
                  <w:vAlign w:val="center"/>
                </w:tcPr>
                <w:p>
                  <w:pPr>
                    <w:jc w:val="center"/>
                    <w:rPr>
                      <w:rFonts w:hAnsi="宋体"/>
                      <w:color w:val="auto"/>
                      <w:sz w:val="18"/>
                      <w:szCs w:val="18"/>
                    </w:rPr>
                  </w:pPr>
                  <w:r>
                    <w:rPr>
                      <w:color w:val="auto"/>
                      <w:kern w:val="0"/>
                      <w:sz w:val="18"/>
                      <w:szCs w:val="18"/>
                    </w:rPr>
                    <w:t>TP</w:t>
                  </w:r>
                </w:p>
              </w:tc>
              <w:tc>
                <w:tcPr>
                  <w:tcW w:w="422" w:type="pct"/>
                  <w:noWrap w:val="0"/>
                  <w:vAlign w:val="center"/>
                </w:tcPr>
                <w:p>
                  <w:pPr>
                    <w:snapToGrid w:val="0"/>
                    <w:jc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0</w:t>
                  </w:r>
                </w:p>
              </w:tc>
              <w:tc>
                <w:tcPr>
                  <w:tcW w:w="397" w:type="pct"/>
                  <w:shd w:val="clear" w:color="auto" w:fill="auto"/>
                  <w:noWrap w:val="0"/>
                  <w:vAlign w:val="center"/>
                </w:tcPr>
                <w:p>
                  <w:pPr>
                    <w:adjustRightInd w:val="0"/>
                    <w:snapToGrid w:val="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0.0018</w:t>
                  </w:r>
                </w:p>
              </w:tc>
              <w:tc>
                <w:tcPr>
                  <w:tcW w:w="420" w:type="pct"/>
                  <w:noWrap w:val="0"/>
                  <w:vAlign w:val="center"/>
                </w:tcPr>
                <w:p>
                  <w:pPr>
                    <w:tabs>
                      <w:tab w:val="left" w:pos="277"/>
                      <w:tab w:val="left" w:pos="600"/>
                      <w:tab w:val="left" w:pos="780"/>
                      <w:tab w:val="left" w:pos="2517"/>
                    </w:tabs>
                    <w:adjustRightInd w:val="0"/>
                    <w:snapToGrid w:val="0"/>
                    <w:jc w:val="center"/>
                    <w:rPr>
                      <w:rFonts w:hint="eastAsia" w:ascii="Times New Roman" w:hAnsi="Times New Roman" w:eastAsia="宋体" w:cs="Times New Roman"/>
                      <w:color w:val="auto"/>
                      <w:sz w:val="18"/>
                      <w:szCs w:val="18"/>
                      <w:lang w:val="en-US" w:eastAsia="zh-CN"/>
                    </w:rPr>
                  </w:pPr>
                  <w:r>
                    <w:rPr>
                      <w:rFonts w:hint="eastAsia" w:ascii="Times New Roman" w:hAnsi="宋体" w:eastAsia="宋体" w:cs="Times New Roman"/>
                      <w:color w:val="auto"/>
                      <w:kern w:val="0"/>
                      <w:sz w:val="18"/>
                      <w:szCs w:val="18"/>
                      <w:lang w:val="en-US" w:eastAsia="zh-CN" w:bidi="ar-SA"/>
                    </w:rPr>
                    <w:t>0</w:t>
                  </w:r>
                </w:p>
              </w:tc>
              <w:tc>
                <w:tcPr>
                  <w:tcW w:w="395" w:type="pct"/>
                  <w:noWrap w:val="0"/>
                  <w:vAlign w:val="center"/>
                </w:tcPr>
                <w:p>
                  <w:pPr>
                    <w:tabs>
                      <w:tab w:val="left" w:pos="277"/>
                      <w:tab w:val="left" w:pos="600"/>
                      <w:tab w:val="left" w:pos="780"/>
                      <w:tab w:val="left" w:pos="2517"/>
                    </w:tabs>
                    <w:adjustRightInd w:val="0"/>
                    <w:snapToGrid w:val="0"/>
                    <w:jc w:val="center"/>
                    <w:rPr>
                      <w:rFonts w:hint="eastAsia" w:ascii="Times New Roman" w:hAnsi="Times New Roman" w:eastAsia="宋体" w:cs="Times New Roman"/>
                      <w:color w:val="auto"/>
                      <w:sz w:val="18"/>
                      <w:szCs w:val="18"/>
                      <w:lang w:val="en-US" w:eastAsia="zh-CN"/>
                    </w:rPr>
                  </w:pPr>
                  <w:r>
                    <w:rPr>
                      <w:rFonts w:hint="eastAsia" w:ascii="Times New Roman" w:hAnsi="宋体" w:eastAsia="宋体" w:cs="Times New Roman"/>
                      <w:color w:val="auto"/>
                      <w:kern w:val="0"/>
                      <w:sz w:val="18"/>
                      <w:szCs w:val="18"/>
                      <w:lang w:val="en-US" w:eastAsia="zh-CN" w:bidi="ar-SA"/>
                    </w:rPr>
                    <w:t>0</w:t>
                  </w:r>
                </w:p>
              </w:tc>
              <w:tc>
                <w:tcPr>
                  <w:tcW w:w="426" w:type="pct"/>
                  <w:noWrap w:val="0"/>
                  <w:vAlign w:val="center"/>
                </w:tcPr>
                <w:p>
                  <w:pPr>
                    <w:adjustRightInd w:val="0"/>
                    <w:snapToGrid w:val="0"/>
                    <w:jc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0.0119</w:t>
                  </w:r>
                </w:p>
              </w:tc>
              <w:tc>
                <w:tcPr>
                  <w:tcW w:w="397" w:type="pct"/>
                  <w:shd w:val="clear" w:color="auto" w:fill="auto"/>
                  <w:noWrap w:val="0"/>
                  <w:vAlign w:val="center"/>
                </w:tcPr>
                <w:p>
                  <w:pPr>
                    <w:keepNext w:val="0"/>
                    <w:keepLines w:val="0"/>
                    <w:widowControl/>
                    <w:suppressLineNumbers w:val="0"/>
                    <w:jc w:val="center"/>
                    <w:textAlignment w:val="center"/>
                    <w:rPr>
                      <w:rFonts w:hint="default" w:ascii="Times New Roman" w:hAnsi="宋体" w:eastAsia="宋体" w:cs="Times New Roman"/>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0.0016 </w:t>
                  </w:r>
                </w:p>
              </w:tc>
              <w:tc>
                <w:tcPr>
                  <w:tcW w:w="459" w:type="pct"/>
                  <w:noWrap w:val="0"/>
                  <w:vAlign w:val="center"/>
                </w:tcPr>
                <w:p>
                  <w:pPr>
                    <w:keepNext w:val="0"/>
                    <w:keepLines w:val="0"/>
                    <w:widowControl/>
                    <w:suppressLineNumbers w:val="0"/>
                    <w:jc w:val="center"/>
                    <w:textAlignment w:val="center"/>
                    <w:rPr>
                      <w:rFonts w:hint="eastAsia" w:ascii="Times New Roman" w:hAnsi="宋体" w:eastAsia="宋体" w:cs="Times New Roman"/>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0.0</w:t>
                  </w:r>
                  <w:r>
                    <w:rPr>
                      <w:rFonts w:hint="eastAsia" w:cs="Times New Roman"/>
                      <w:i w:val="0"/>
                      <w:iCs w:val="0"/>
                      <w:color w:val="auto"/>
                      <w:kern w:val="0"/>
                      <w:sz w:val="18"/>
                      <w:szCs w:val="18"/>
                      <w:u w:val="none"/>
                      <w:lang w:val="en-US" w:eastAsia="zh-CN" w:bidi="ar"/>
                    </w:rPr>
                    <w:t>119</w:t>
                  </w:r>
                  <w:r>
                    <w:rPr>
                      <w:rFonts w:hint="default" w:ascii="Times New Roman" w:hAnsi="Times New Roman" w:eastAsia="宋体" w:cs="Times New Roman"/>
                      <w:i w:val="0"/>
                      <w:iCs w:val="0"/>
                      <w:color w:val="auto"/>
                      <w:kern w:val="0"/>
                      <w:sz w:val="18"/>
                      <w:szCs w:val="18"/>
                      <w:u w:val="none"/>
                      <w:lang w:val="en-US" w:eastAsia="zh-CN" w:bidi="ar"/>
                    </w:rPr>
                    <w:t xml:space="preserve"> </w:t>
                  </w:r>
                </w:p>
              </w:tc>
              <w:tc>
                <w:tcPr>
                  <w:tcW w:w="397" w:type="pct"/>
                  <w:noWrap w:val="0"/>
                  <w:vAlign w:val="center"/>
                </w:tcPr>
                <w:p>
                  <w:pPr>
                    <w:keepNext w:val="0"/>
                    <w:keepLines w:val="0"/>
                    <w:widowControl/>
                    <w:suppressLineNumbers w:val="0"/>
                    <w:jc w:val="center"/>
                    <w:textAlignment w:val="center"/>
                    <w:rPr>
                      <w:rFonts w:hint="default" w:ascii="Times New Roman" w:hAnsi="宋体" w:eastAsia="宋体" w:cs="Times New Roman"/>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0.0035 </w:t>
                  </w:r>
                </w:p>
              </w:tc>
              <w:tc>
                <w:tcPr>
                  <w:tcW w:w="414" w:type="pct"/>
                  <w:shd w:val="clear" w:color="auto" w:fill="auto"/>
                  <w:noWrap w:val="0"/>
                  <w:vAlign w:val="center"/>
                </w:tcPr>
                <w:p>
                  <w:pPr>
                    <w:adjustRightInd w:val="0"/>
                    <w:snapToGrid w:val="0"/>
                    <w:jc w:val="center"/>
                    <w:rPr>
                      <w:rFonts w:hint="eastAsia" w:ascii="Times New Roman" w:hAnsi="宋体" w:eastAsia="宋体" w:cs="Times New Roman"/>
                      <w:color w:val="auto"/>
                      <w:kern w:val="0"/>
                      <w:sz w:val="18"/>
                      <w:szCs w:val="18"/>
                      <w:lang w:val="en-US" w:eastAsia="zh-CN" w:bidi="ar-SA"/>
                    </w:rPr>
                  </w:pPr>
                  <w:r>
                    <w:rPr>
                      <w:rFonts w:hint="eastAsia" w:ascii="Times New Roman" w:hAnsi="Times New Roman" w:eastAsia="宋体" w:cs="Times New Roman"/>
                      <w:color w:val="auto"/>
                      <w:sz w:val="18"/>
                      <w:szCs w:val="18"/>
                      <w:lang w:val="en-US" w:eastAsia="zh-CN"/>
                    </w:rPr>
                    <w:t>+</w:t>
                  </w:r>
                  <w:r>
                    <w:rPr>
                      <w:rFonts w:hint="default" w:ascii="Times New Roman" w:hAnsi="Times New Roman" w:eastAsia="宋体" w:cs="Times New Roman"/>
                      <w:color w:val="auto"/>
                      <w:sz w:val="18"/>
                      <w:szCs w:val="18"/>
                      <w:lang w:val="en-US" w:eastAsia="zh-CN"/>
                    </w:rPr>
                    <w:t>0.0119</w:t>
                  </w:r>
                </w:p>
              </w:tc>
              <w:tc>
                <w:tcPr>
                  <w:tcW w:w="485" w:type="pct"/>
                  <w:noWrap w:val="0"/>
                  <w:vAlign w:val="center"/>
                </w:tcPr>
                <w:p>
                  <w:pPr>
                    <w:keepNext w:val="0"/>
                    <w:keepLines w:val="0"/>
                    <w:widowControl/>
                    <w:suppressLineNumbers w:val="0"/>
                    <w:jc w:val="center"/>
                    <w:textAlignment w:val="center"/>
                    <w:rPr>
                      <w:rFonts w:hint="default" w:ascii="Times New Roman" w:hAnsi="宋体" w:eastAsia="宋体" w:cs="Times New Roman"/>
                      <w:color w:val="auto"/>
                      <w:kern w:val="0"/>
                      <w:sz w:val="18"/>
                      <w:szCs w:val="18"/>
                      <w:lang w:val="en-US" w:eastAsia="zh-CN"/>
                    </w:rPr>
                  </w:pPr>
                  <w:r>
                    <w:rPr>
                      <w:rFonts w:hint="eastAsia" w:hAnsi="宋体" w:cs="Times New Roman"/>
                      <w:color w:val="auto"/>
                      <w:kern w:val="0"/>
                      <w:sz w:val="18"/>
                      <w:szCs w:val="18"/>
                      <w:lang w:val="en-US" w:eastAsia="zh-CN"/>
                    </w:rPr>
                    <w:t>+</w:t>
                  </w:r>
                  <w:r>
                    <w:rPr>
                      <w:rFonts w:hint="eastAsia" w:ascii="Times New Roman" w:hAnsi="宋体" w:eastAsia="宋体" w:cs="Times New Roman"/>
                      <w:color w:val="auto"/>
                      <w:kern w:val="0"/>
                      <w:sz w:val="18"/>
                      <w:szCs w:val="18"/>
                      <w:lang w:val="en-US" w:eastAsia="zh-CN"/>
                    </w:rPr>
                    <w:t>0.001</w:t>
                  </w:r>
                  <w:r>
                    <w:rPr>
                      <w:rFonts w:hint="eastAsia" w:hAnsi="宋体" w:cs="Times New Roman"/>
                      <w:color w:val="auto"/>
                      <w:kern w:val="0"/>
                      <w:sz w:val="18"/>
                      <w:szCs w:val="18"/>
                      <w:lang w:val="en-US" w:eastAsia="zh-CN"/>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514" w:hRule="atLeast"/>
                <w:jc w:val="center"/>
              </w:trPr>
              <w:tc>
                <w:tcPr>
                  <w:tcW w:w="170" w:type="pct"/>
                  <w:vMerge w:val="continue"/>
                  <w:noWrap w:val="0"/>
                  <w:vAlign w:val="center"/>
                </w:tcPr>
                <w:p>
                  <w:pPr>
                    <w:jc w:val="center"/>
                    <w:rPr>
                      <w:rFonts w:hAnsi="宋体"/>
                      <w:color w:val="auto"/>
                      <w:sz w:val="18"/>
                      <w:szCs w:val="18"/>
                    </w:rPr>
                  </w:pPr>
                </w:p>
              </w:tc>
              <w:tc>
                <w:tcPr>
                  <w:tcW w:w="613" w:type="pct"/>
                  <w:gridSpan w:val="2"/>
                  <w:noWrap w:val="0"/>
                  <w:vAlign w:val="center"/>
                </w:tcPr>
                <w:p>
                  <w:pPr>
                    <w:jc w:val="center"/>
                    <w:rPr>
                      <w:rFonts w:hAnsi="宋体"/>
                      <w:color w:val="auto"/>
                      <w:sz w:val="18"/>
                      <w:szCs w:val="18"/>
                    </w:rPr>
                  </w:pPr>
                  <w:r>
                    <w:rPr>
                      <w:color w:val="auto"/>
                      <w:kern w:val="0"/>
                      <w:sz w:val="18"/>
                      <w:szCs w:val="18"/>
                    </w:rPr>
                    <w:t>TN</w:t>
                  </w:r>
                </w:p>
              </w:tc>
              <w:tc>
                <w:tcPr>
                  <w:tcW w:w="422" w:type="pct"/>
                  <w:noWrap w:val="0"/>
                  <w:vAlign w:val="center"/>
                </w:tcPr>
                <w:p>
                  <w:pPr>
                    <w:adjustRightInd w:val="0"/>
                    <w:snapToGrid w:val="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w:t>
                  </w:r>
                </w:p>
              </w:tc>
              <w:tc>
                <w:tcPr>
                  <w:tcW w:w="397" w:type="pct"/>
                  <w:shd w:val="clear" w:color="auto" w:fill="auto"/>
                  <w:noWrap w:val="0"/>
                  <w:vAlign w:val="center"/>
                </w:tcPr>
                <w:p>
                  <w:pPr>
                    <w:adjustRightInd w:val="0"/>
                    <w:snapToGrid w:val="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0.0553</w:t>
                  </w:r>
                </w:p>
              </w:tc>
              <w:tc>
                <w:tcPr>
                  <w:tcW w:w="420" w:type="pct"/>
                  <w:noWrap w:val="0"/>
                  <w:vAlign w:val="center"/>
                </w:tcPr>
                <w:p>
                  <w:pPr>
                    <w:tabs>
                      <w:tab w:val="left" w:pos="277"/>
                      <w:tab w:val="left" w:pos="600"/>
                      <w:tab w:val="left" w:pos="780"/>
                      <w:tab w:val="left" w:pos="2517"/>
                    </w:tabs>
                    <w:adjustRightInd w:val="0"/>
                    <w:snapToGrid w:val="0"/>
                    <w:jc w:val="center"/>
                    <w:rPr>
                      <w:rFonts w:hint="eastAsia" w:ascii="Times New Roman" w:hAnsi="Times New Roman" w:eastAsia="宋体" w:cs="Times New Roman"/>
                      <w:color w:val="auto"/>
                      <w:sz w:val="18"/>
                      <w:szCs w:val="18"/>
                      <w:lang w:val="en-US" w:eastAsia="zh-CN"/>
                    </w:rPr>
                  </w:pPr>
                  <w:r>
                    <w:rPr>
                      <w:rFonts w:hint="eastAsia" w:ascii="Times New Roman" w:hAnsi="宋体" w:eastAsia="宋体" w:cs="Times New Roman"/>
                      <w:color w:val="auto"/>
                      <w:kern w:val="0"/>
                      <w:sz w:val="18"/>
                      <w:szCs w:val="18"/>
                      <w:lang w:val="en-US" w:eastAsia="zh-CN" w:bidi="ar-SA"/>
                    </w:rPr>
                    <w:t>0</w:t>
                  </w:r>
                </w:p>
              </w:tc>
              <w:tc>
                <w:tcPr>
                  <w:tcW w:w="395" w:type="pct"/>
                  <w:noWrap w:val="0"/>
                  <w:vAlign w:val="center"/>
                </w:tcPr>
                <w:p>
                  <w:pPr>
                    <w:tabs>
                      <w:tab w:val="left" w:pos="277"/>
                      <w:tab w:val="left" w:pos="600"/>
                      <w:tab w:val="left" w:pos="780"/>
                      <w:tab w:val="left" w:pos="2517"/>
                    </w:tabs>
                    <w:adjustRightInd w:val="0"/>
                    <w:snapToGrid w:val="0"/>
                    <w:jc w:val="center"/>
                    <w:rPr>
                      <w:rFonts w:hint="default" w:ascii="Times New Roman" w:hAnsi="Times New Roman" w:eastAsia="宋体" w:cs="Times New Roman"/>
                      <w:color w:val="auto"/>
                      <w:sz w:val="18"/>
                      <w:szCs w:val="18"/>
                      <w:lang w:val="en-US" w:eastAsia="zh-CN"/>
                    </w:rPr>
                  </w:pPr>
                  <w:r>
                    <w:rPr>
                      <w:rFonts w:hint="eastAsia" w:ascii="Times New Roman" w:hAnsi="宋体" w:eastAsia="宋体" w:cs="Times New Roman"/>
                      <w:color w:val="auto"/>
                      <w:kern w:val="0"/>
                      <w:sz w:val="18"/>
                      <w:szCs w:val="18"/>
                      <w:lang w:val="en-US" w:eastAsia="zh-CN" w:bidi="ar-SA"/>
                    </w:rPr>
                    <w:t>0</w:t>
                  </w:r>
                </w:p>
              </w:tc>
              <w:tc>
                <w:tcPr>
                  <w:tcW w:w="426" w:type="pct"/>
                  <w:noWrap w:val="0"/>
                  <w:vAlign w:val="center"/>
                </w:tcPr>
                <w:p>
                  <w:pPr>
                    <w:adjustRightInd w:val="0"/>
                    <w:snapToGrid w:val="0"/>
                    <w:jc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0.1339</w:t>
                  </w:r>
                </w:p>
              </w:tc>
              <w:tc>
                <w:tcPr>
                  <w:tcW w:w="397" w:type="pct"/>
                  <w:shd w:val="clear" w:color="auto" w:fill="auto"/>
                  <w:noWrap w:val="0"/>
                  <w:vAlign w:val="center"/>
                </w:tcPr>
                <w:p>
                  <w:pPr>
                    <w:keepNext w:val="0"/>
                    <w:keepLines w:val="0"/>
                    <w:widowControl/>
                    <w:suppressLineNumbers w:val="0"/>
                    <w:jc w:val="center"/>
                    <w:textAlignment w:val="center"/>
                    <w:rPr>
                      <w:rFonts w:hint="default" w:ascii="Times New Roman" w:hAnsi="宋体" w:eastAsia="宋体" w:cs="Times New Roman"/>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0.0482 </w:t>
                  </w:r>
                </w:p>
              </w:tc>
              <w:tc>
                <w:tcPr>
                  <w:tcW w:w="459" w:type="pct"/>
                  <w:noWrap w:val="0"/>
                  <w:vAlign w:val="center"/>
                </w:tcPr>
                <w:p>
                  <w:pPr>
                    <w:keepNext w:val="0"/>
                    <w:keepLines w:val="0"/>
                    <w:widowControl/>
                    <w:suppressLineNumbers w:val="0"/>
                    <w:jc w:val="center"/>
                    <w:textAlignment w:val="center"/>
                    <w:rPr>
                      <w:rFonts w:hint="eastAsia" w:ascii="Times New Roman" w:hAnsi="宋体" w:eastAsia="宋体" w:cs="Times New Roman"/>
                      <w:color w:val="auto"/>
                      <w:kern w:val="0"/>
                      <w:sz w:val="18"/>
                      <w:szCs w:val="18"/>
                      <w:lang w:val="en-US" w:eastAsia="zh-CN" w:bidi="ar-SA"/>
                    </w:rPr>
                  </w:pPr>
                  <w:r>
                    <w:rPr>
                      <w:rFonts w:hint="default" w:ascii="Times New Roman" w:hAnsi="Times New Roman" w:eastAsia="宋体" w:cs="Times New Roman"/>
                      <w:color w:val="auto"/>
                      <w:sz w:val="18"/>
                      <w:szCs w:val="18"/>
                      <w:lang w:val="en-US" w:eastAsia="zh-CN"/>
                    </w:rPr>
                    <w:t>0.1339</w:t>
                  </w:r>
                  <w:r>
                    <w:rPr>
                      <w:rFonts w:hint="default" w:ascii="Times New Roman" w:hAnsi="Times New Roman" w:eastAsia="宋体" w:cs="Times New Roman"/>
                      <w:i w:val="0"/>
                      <w:iCs w:val="0"/>
                      <w:color w:val="auto"/>
                      <w:kern w:val="0"/>
                      <w:sz w:val="18"/>
                      <w:szCs w:val="18"/>
                      <w:u w:val="none"/>
                      <w:lang w:val="en-US" w:eastAsia="zh-CN" w:bidi="ar"/>
                    </w:rPr>
                    <w:t xml:space="preserve"> </w:t>
                  </w:r>
                </w:p>
              </w:tc>
              <w:tc>
                <w:tcPr>
                  <w:tcW w:w="397" w:type="pct"/>
                  <w:noWrap w:val="0"/>
                  <w:vAlign w:val="center"/>
                </w:tcPr>
                <w:p>
                  <w:pPr>
                    <w:keepNext w:val="0"/>
                    <w:keepLines w:val="0"/>
                    <w:widowControl/>
                    <w:suppressLineNumbers w:val="0"/>
                    <w:jc w:val="center"/>
                    <w:textAlignment w:val="center"/>
                    <w:rPr>
                      <w:rFonts w:hint="default" w:ascii="Times New Roman" w:hAnsi="宋体" w:eastAsia="宋体" w:cs="Times New Roman"/>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0.1035 </w:t>
                  </w:r>
                </w:p>
              </w:tc>
              <w:tc>
                <w:tcPr>
                  <w:tcW w:w="414" w:type="pct"/>
                  <w:shd w:val="clear" w:color="auto" w:fill="auto"/>
                  <w:noWrap w:val="0"/>
                  <w:vAlign w:val="center"/>
                </w:tcPr>
                <w:p>
                  <w:pPr>
                    <w:adjustRightInd w:val="0"/>
                    <w:snapToGrid w:val="0"/>
                    <w:jc w:val="center"/>
                    <w:rPr>
                      <w:rFonts w:hint="eastAsia" w:ascii="Times New Roman" w:hAnsi="宋体" w:eastAsia="宋体" w:cs="Times New Roman"/>
                      <w:color w:val="auto"/>
                      <w:kern w:val="0"/>
                      <w:sz w:val="18"/>
                      <w:szCs w:val="18"/>
                      <w:lang w:val="en-US" w:eastAsia="zh-CN" w:bidi="ar-SA"/>
                    </w:rPr>
                  </w:pPr>
                  <w:r>
                    <w:rPr>
                      <w:rFonts w:hint="eastAsia" w:ascii="Times New Roman" w:hAnsi="Times New Roman" w:eastAsia="宋体" w:cs="Times New Roman"/>
                      <w:color w:val="auto"/>
                      <w:sz w:val="18"/>
                      <w:szCs w:val="18"/>
                      <w:lang w:val="en-US" w:eastAsia="zh-CN"/>
                    </w:rPr>
                    <w:t>+</w:t>
                  </w:r>
                  <w:r>
                    <w:rPr>
                      <w:rFonts w:hint="default" w:ascii="Times New Roman" w:hAnsi="Times New Roman" w:eastAsia="宋体" w:cs="Times New Roman"/>
                      <w:color w:val="auto"/>
                      <w:sz w:val="18"/>
                      <w:szCs w:val="18"/>
                      <w:lang w:val="en-US" w:eastAsia="zh-CN"/>
                    </w:rPr>
                    <w:t>0.1339</w:t>
                  </w:r>
                </w:p>
              </w:tc>
              <w:tc>
                <w:tcPr>
                  <w:tcW w:w="485" w:type="pct"/>
                  <w:noWrap w:val="0"/>
                  <w:vAlign w:val="center"/>
                </w:tcPr>
                <w:p>
                  <w:pPr>
                    <w:keepNext w:val="0"/>
                    <w:keepLines w:val="0"/>
                    <w:widowControl/>
                    <w:suppressLineNumbers w:val="0"/>
                    <w:jc w:val="center"/>
                    <w:textAlignment w:val="center"/>
                    <w:rPr>
                      <w:rFonts w:hint="eastAsia" w:ascii="Times New Roman" w:hAnsi="宋体" w:eastAsia="宋体" w:cs="Times New Roman"/>
                      <w:color w:val="auto"/>
                      <w:kern w:val="0"/>
                      <w:sz w:val="18"/>
                      <w:szCs w:val="18"/>
                      <w:lang w:val="en-US" w:eastAsia="zh-CN"/>
                    </w:rPr>
                  </w:pPr>
                  <w:r>
                    <w:rPr>
                      <w:rFonts w:hint="eastAsia" w:hAnsi="宋体" w:cs="Times New Roman"/>
                      <w:color w:val="auto"/>
                      <w:kern w:val="0"/>
                      <w:sz w:val="18"/>
                      <w:szCs w:val="18"/>
                      <w:lang w:val="en-US" w:eastAsia="zh-CN"/>
                    </w:rPr>
                    <w:t>+</w:t>
                  </w:r>
                  <w:r>
                    <w:rPr>
                      <w:rFonts w:hint="eastAsia" w:ascii="Times New Roman" w:hAnsi="宋体" w:eastAsia="宋体" w:cs="Times New Roman"/>
                      <w:color w:val="auto"/>
                      <w:kern w:val="0"/>
                      <w:sz w:val="18"/>
                      <w:szCs w:val="18"/>
                      <w:lang w:val="en-US" w:eastAsia="zh-CN"/>
                    </w:rPr>
                    <w:t>0.0482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514" w:hRule="atLeast"/>
                <w:jc w:val="center"/>
              </w:trPr>
              <w:tc>
                <w:tcPr>
                  <w:tcW w:w="170" w:type="pct"/>
                  <w:vMerge w:val="continue"/>
                  <w:noWrap w:val="0"/>
                  <w:vAlign w:val="center"/>
                </w:tcPr>
                <w:p>
                  <w:pPr>
                    <w:jc w:val="center"/>
                    <w:rPr>
                      <w:rFonts w:hAnsi="宋体"/>
                      <w:color w:val="auto"/>
                      <w:sz w:val="18"/>
                      <w:szCs w:val="18"/>
                    </w:rPr>
                  </w:pPr>
                </w:p>
              </w:tc>
              <w:tc>
                <w:tcPr>
                  <w:tcW w:w="613" w:type="pct"/>
                  <w:gridSpan w:val="2"/>
                  <w:noWrap w:val="0"/>
                  <w:vAlign w:val="center"/>
                </w:tcPr>
                <w:p>
                  <w:pPr>
                    <w:tabs>
                      <w:tab w:val="left" w:pos="277"/>
                      <w:tab w:val="left" w:pos="600"/>
                      <w:tab w:val="left" w:pos="780"/>
                      <w:tab w:val="left" w:pos="2517"/>
                    </w:tabs>
                    <w:adjustRightInd w:val="0"/>
                    <w:snapToGrid w:val="0"/>
                    <w:jc w:val="center"/>
                    <w:rPr>
                      <w:rFonts w:hint="default" w:ascii="Times New Roman" w:hAnsi="宋体" w:eastAsia="宋体" w:cs="Times New Roman"/>
                      <w:color w:val="auto"/>
                      <w:kern w:val="0"/>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动植物油</w:t>
                  </w:r>
                </w:p>
              </w:tc>
              <w:tc>
                <w:tcPr>
                  <w:tcW w:w="422" w:type="pct"/>
                  <w:noWrap w:val="0"/>
                  <w:vAlign w:val="center"/>
                </w:tcPr>
                <w:p>
                  <w:pPr>
                    <w:adjustRightInd w:val="0"/>
                    <w:snapToGrid w:val="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w:t>
                  </w:r>
                </w:p>
              </w:tc>
              <w:tc>
                <w:tcPr>
                  <w:tcW w:w="397" w:type="pct"/>
                  <w:noWrap w:val="0"/>
                  <w:vAlign w:val="center"/>
                </w:tcPr>
                <w:p>
                  <w:pPr>
                    <w:adjustRightInd w:val="0"/>
                    <w:snapToGrid w:val="0"/>
                    <w:jc w:val="center"/>
                    <w:rPr>
                      <w:rFonts w:ascii="Times New Roman" w:hAnsi="宋体" w:eastAsia="宋体" w:cs="Times New Roman"/>
                      <w:color w:val="auto"/>
                      <w:sz w:val="18"/>
                      <w:szCs w:val="18"/>
                    </w:rPr>
                  </w:pPr>
                  <w:r>
                    <w:rPr>
                      <w:rFonts w:hint="eastAsia" w:ascii="Times New Roman" w:hAnsi="Times New Roman" w:eastAsia="宋体" w:cs="Times New Roman"/>
                      <w:color w:val="auto"/>
                      <w:sz w:val="18"/>
                      <w:szCs w:val="18"/>
                      <w:lang w:val="en-US" w:eastAsia="zh-CN"/>
                    </w:rPr>
                    <w:t>0</w:t>
                  </w:r>
                </w:p>
              </w:tc>
              <w:tc>
                <w:tcPr>
                  <w:tcW w:w="420" w:type="pct"/>
                  <w:noWrap w:val="0"/>
                  <w:vAlign w:val="center"/>
                </w:tcPr>
                <w:p>
                  <w:pPr>
                    <w:tabs>
                      <w:tab w:val="left" w:pos="277"/>
                      <w:tab w:val="left" w:pos="600"/>
                      <w:tab w:val="left" w:pos="780"/>
                      <w:tab w:val="left" w:pos="2517"/>
                    </w:tabs>
                    <w:adjustRightInd w:val="0"/>
                    <w:snapToGrid w:val="0"/>
                    <w:jc w:val="center"/>
                    <w:rPr>
                      <w:rFonts w:hint="eastAsia" w:ascii="Times New Roman" w:hAnsi="Times New Roman" w:eastAsia="宋体" w:cs="Times New Roman"/>
                      <w:color w:val="auto"/>
                      <w:sz w:val="18"/>
                      <w:szCs w:val="18"/>
                      <w:lang w:val="en-US" w:eastAsia="zh-CN"/>
                    </w:rPr>
                  </w:pPr>
                  <w:r>
                    <w:rPr>
                      <w:rFonts w:hint="eastAsia" w:ascii="Times New Roman" w:hAnsi="宋体" w:eastAsia="宋体" w:cs="Times New Roman"/>
                      <w:color w:val="auto"/>
                      <w:kern w:val="0"/>
                      <w:sz w:val="18"/>
                      <w:szCs w:val="18"/>
                      <w:lang w:val="en-US" w:eastAsia="zh-CN" w:bidi="ar-SA"/>
                    </w:rPr>
                    <w:t>0</w:t>
                  </w:r>
                </w:p>
              </w:tc>
              <w:tc>
                <w:tcPr>
                  <w:tcW w:w="395" w:type="pct"/>
                  <w:noWrap w:val="0"/>
                  <w:vAlign w:val="center"/>
                </w:tcPr>
                <w:p>
                  <w:pPr>
                    <w:tabs>
                      <w:tab w:val="left" w:pos="277"/>
                      <w:tab w:val="left" w:pos="600"/>
                      <w:tab w:val="left" w:pos="780"/>
                      <w:tab w:val="left" w:pos="2517"/>
                    </w:tabs>
                    <w:adjustRightInd w:val="0"/>
                    <w:snapToGrid w:val="0"/>
                    <w:jc w:val="center"/>
                    <w:rPr>
                      <w:rFonts w:hint="default" w:ascii="Times New Roman" w:hAnsi="Times New Roman" w:eastAsia="宋体" w:cs="Times New Roman"/>
                      <w:color w:val="auto"/>
                      <w:sz w:val="18"/>
                      <w:szCs w:val="18"/>
                      <w:lang w:val="en-US" w:eastAsia="zh-CN"/>
                    </w:rPr>
                  </w:pPr>
                  <w:r>
                    <w:rPr>
                      <w:rFonts w:hint="eastAsia" w:ascii="Times New Roman" w:hAnsi="宋体" w:eastAsia="宋体" w:cs="Times New Roman"/>
                      <w:color w:val="auto"/>
                      <w:kern w:val="0"/>
                      <w:sz w:val="18"/>
                      <w:szCs w:val="18"/>
                      <w:lang w:val="en-US" w:eastAsia="zh-CN" w:bidi="ar-SA"/>
                    </w:rPr>
                    <w:t>0</w:t>
                  </w:r>
                </w:p>
              </w:tc>
              <w:tc>
                <w:tcPr>
                  <w:tcW w:w="426" w:type="pct"/>
                  <w:noWrap w:val="0"/>
                  <w:vAlign w:val="center"/>
                </w:tcPr>
                <w:p>
                  <w:pPr>
                    <w:adjustRightInd w:val="0"/>
                    <w:snapToGrid w:val="0"/>
                    <w:jc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0.0077</w:t>
                  </w:r>
                </w:p>
              </w:tc>
              <w:tc>
                <w:tcPr>
                  <w:tcW w:w="397" w:type="pct"/>
                  <w:shd w:val="clear" w:color="auto" w:fill="auto"/>
                  <w:noWrap w:val="0"/>
                  <w:vAlign w:val="center"/>
                </w:tcPr>
                <w:p>
                  <w:pPr>
                    <w:keepNext w:val="0"/>
                    <w:keepLines w:val="0"/>
                    <w:widowControl/>
                    <w:suppressLineNumbers w:val="0"/>
                    <w:jc w:val="center"/>
                    <w:textAlignment w:val="center"/>
                    <w:rPr>
                      <w:rFonts w:hint="default" w:ascii="Times New Roman" w:hAnsi="宋体" w:eastAsia="宋体" w:cs="Times New Roman"/>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0.0032 </w:t>
                  </w:r>
                </w:p>
              </w:tc>
              <w:tc>
                <w:tcPr>
                  <w:tcW w:w="459" w:type="pct"/>
                  <w:noWrap w:val="0"/>
                  <w:vAlign w:val="center"/>
                </w:tcPr>
                <w:p>
                  <w:pPr>
                    <w:keepNext w:val="0"/>
                    <w:keepLines w:val="0"/>
                    <w:widowControl/>
                    <w:suppressLineNumbers w:val="0"/>
                    <w:jc w:val="center"/>
                    <w:textAlignment w:val="center"/>
                    <w:rPr>
                      <w:rFonts w:hint="eastAsia" w:ascii="Times New Roman" w:hAnsi="宋体" w:eastAsia="宋体" w:cs="Times New Roman"/>
                      <w:color w:val="auto"/>
                      <w:kern w:val="0"/>
                      <w:sz w:val="18"/>
                      <w:szCs w:val="18"/>
                      <w:lang w:val="en-US" w:eastAsia="zh-CN" w:bidi="ar-SA"/>
                    </w:rPr>
                  </w:pPr>
                  <w:r>
                    <w:rPr>
                      <w:rFonts w:hint="default" w:ascii="Times New Roman" w:hAnsi="Times New Roman" w:eastAsia="宋体" w:cs="Times New Roman"/>
                      <w:color w:val="auto"/>
                      <w:sz w:val="18"/>
                      <w:szCs w:val="18"/>
                      <w:lang w:val="en-US" w:eastAsia="zh-CN"/>
                    </w:rPr>
                    <w:t>0.0077</w:t>
                  </w:r>
                  <w:r>
                    <w:rPr>
                      <w:rFonts w:hint="default" w:ascii="Times New Roman" w:hAnsi="Times New Roman" w:eastAsia="宋体" w:cs="Times New Roman"/>
                      <w:i w:val="0"/>
                      <w:iCs w:val="0"/>
                      <w:color w:val="auto"/>
                      <w:kern w:val="0"/>
                      <w:sz w:val="18"/>
                      <w:szCs w:val="18"/>
                      <w:u w:val="none"/>
                      <w:lang w:val="en-US" w:eastAsia="zh-CN" w:bidi="ar"/>
                    </w:rPr>
                    <w:t xml:space="preserve"> </w:t>
                  </w:r>
                </w:p>
              </w:tc>
              <w:tc>
                <w:tcPr>
                  <w:tcW w:w="397" w:type="pct"/>
                  <w:noWrap w:val="0"/>
                  <w:vAlign w:val="center"/>
                </w:tcPr>
                <w:p>
                  <w:pPr>
                    <w:keepNext w:val="0"/>
                    <w:keepLines w:val="0"/>
                    <w:widowControl/>
                    <w:suppressLineNumbers w:val="0"/>
                    <w:jc w:val="center"/>
                    <w:textAlignment w:val="center"/>
                    <w:rPr>
                      <w:rFonts w:hint="default" w:ascii="Times New Roman" w:hAnsi="宋体" w:eastAsia="宋体" w:cs="Times New Roman"/>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0.0069 </w:t>
                  </w:r>
                </w:p>
              </w:tc>
              <w:tc>
                <w:tcPr>
                  <w:tcW w:w="414" w:type="pct"/>
                  <w:shd w:val="clear" w:color="auto" w:fill="auto"/>
                  <w:noWrap w:val="0"/>
                  <w:vAlign w:val="center"/>
                </w:tcPr>
                <w:p>
                  <w:pPr>
                    <w:adjustRightInd w:val="0"/>
                    <w:snapToGrid w:val="0"/>
                    <w:jc w:val="center"/>
                    <w:rPr>
                      <w:rFonts w:hint="default" w:ascii="Times New Roman" w:hAnsi="宋体" w:eastAsia="宋体" w:cs="Times New Roman"/>
                      <w:color w:val="auto"/>
                      <w:kern w:val="0"/>
                      <w:sz w:val="18"/>
                      <w:szCs w:val="18"/>
                      <w:lang w:val="en-US" w:eastAsia="zh-CN" w:bidi="ar-SA"/>
                    </w:rPr>
                  </w:pPr>
                  <w:r>
                    <w:rPr>
                      <w:rFonts w:hint="eastAsia" w:ascii="Times New Roman" w:hAnsi="Times New Roman" w:eastAsia="宋体" w:cs="Times New Roman"/>
                      <w:color w:val="auto"/>
                      <w:sz w:val="18"/>
                      <w:szCs w:val="18"/>
                      <w:lang w:val="en-US" w:eastAsia="zh-CN"/>
                    </w:rPr>
                    <w:t>+</w:t>
                  </w:r>
                  <w:r>
                    <w:rPr>
                      <w:rFonts w:hint="default" w:ascii="Times New Roman" w:hAnsi="Times New Roman" w:eastAsia="宋体" w:cs="Times New Roman"/>
                      <w:color w:val="auto"/>
                      <w:sz w:val="18"/>
                      <w:szCs w:val="18"/>
                      <w:lang w:val="en-US" w:eastAsia="zh-CN"/>
                    </w:rPr>
                    <w:t>0.0077</w:t>
                  </w:r>
                </w:p>
              </w:tc>
              <w:tc>
                <w:tcPr>
                  <w:tcW w:w="485" w:type="pct"/>
                  <w:noWrap w:val="0"/>
                  <w:vAlign w:val="center"/>
                </w:tcPr>
                <w:p>
                  <w:pPr>
                    <w:keepNext w:val="0"/>
                    <w:keepLines w:val="0"/>
                    <w:widowControl/>
                    <w:suppressLineNumbers w:val="0"/>
                    <w:jc w:val="center"/>
                    <w:textAlignment w:val="center"/>
                    <w:rPr>
                      <w:rFonts w:hint="default" w:ascii="Times New Roman" w:hAnsi="宋体" w:eastAsia="宋体" w:cs="Times New Roman"/>
                      <w:color w:val="auto"/>
                      <w:kern w:val="0"/>
                      <w:sz w:val="18"/>
                      <w:szCs w:val="18"/>
                      <w:lang w:val="en-US" w:eastAsia="zh-CN"/>
                    </w:rPr>
                  </w:pPr>
                  <w:r>
                    <w:rPr>
                      <w:rFonts w:hint="eastAsia" w:ascii="Times New Roman" w:hAnsi="宋体" w:eastAsia="宋体" w:cs="Times New Roman"/>
                      <w:color w:val="auto"/>
                      <w:kern w:val="0"/>
                      <w:sz w:val="18"/>
                      <w:szCs w:val="18"/>
                      <w:lang w:val="en-US" w:eastAsia="zh-CN"/>
                    </w:rPr>
                    <w:t>+</w:t>
                  </w:r>
                  <w:r>
                    <w:rPr>
                      <w:rFonts w:hint="default" w:ascii="Times New Roman" w:hAnsi="宋体" w:eastAsia="宋体" w:cs="Times New Roman"/>
                      <w:color w:val="auto"/>
                      <w:kern w:val="0"/>
                      <w:sz w:val="18"/>
                      <w:szCs w:val="18"/>
                      <w:lang w:val="en-US" w:eastAsia="zh-CN"/>
                    </w:rPr>
                    <w:t>0.0069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461" w:hRule="atLeast"/>
                <w:jc w:val="center"/>
              </w:trPr>
              <w:tc>
                <w:tcPr>
                  <w:tcW w:w="170" w:type="pct"/>
                  <w:vMerge w:val="restart"/>
                  <w:noWrap w:val="0"/>
                  <w:vAlign w:val="center"/>
                </w:tcPr>
                <w:p>
                  <w:pPr>
                    <w:jc w:val="center"/>
                    <w:rPr>
                      <w:rFonts w:hAnsi="宋体"/>
                      <w:color w:val="auto"/>
                      <w:sz w:val="18"/>
                      <w:szCs w:val="18"/>
                    </w:rPr>
                  </w:pPr>
                  <w:r>
                    <w:rPr>
                      <w:rFonts w:hAnsi="宋体"/>
                      <w:color w:val="auto"/>
                      <w:sz w:val="18"/>
                      <w:szCs w:val="18"/>
                    </w:rPr>
                    <w:t>固废</w:t>
                  </w:r>
                </w:p>
                <w:p>
                  <w:pPr>
                    <w:jc w:val="center"/>
                    <w:rPr>
                      <w:rFonts w:hAnsi="宋体"/>
                      <w:color w:val="auto"/>
                      <w:sz w:val="18"/>
                      <w:szCs w:val="18"/>
                    </w:rPr>
                  </w:pPr>
                  <w:r>
                    <w:rPr>
                      <w:rFonts w:hAnsi="宋体"/>
                      <w:color w:val="auto"/>
                      <w:sz w:val="18"/>
                      <w:szCs w:val="18"/>
                    </w:rPr>
                    <w:t>危废</w:t>
                  </w:r>
                </w:p>
              </w:tc>
              <w:tc>
                <w:tcPr>
                  <w:tcW w:w="613" w:type="pct"/>
                  <w:gridSpan w:val="2"/>
                  <w:noWrap w:val="0"/>
                  <w:vAlign w:val="center"/>
                </w:tcPr>
                <w:p>
                  <w:pPr>
                    <w:jc w:val="center"/>
                    <w:rPr>
                      <w:rFonts w:hint="eastAsia" w:hAnsi="宋体" w:eastAsia="宋体"/>
                      <w:color w:val="auto"/>
                      <w:sz w:val="18"/>
                      <w:szCs w:val="18"/>
                      <w:lang w:eastAsia="zh-CN"/>
                    </w:rPr>
                  </w:pPr>
                  <w:r>
                    <w:rPr>
                      <w:rFonts w:hint="eastAsia" w:hAnsi="宋体"/>
                      <w:color w:val="auto"/>
                      <w:sz w:val="18"/>
                      <w:szCs w:val="18"/>
                      <w:lang w:eastAsia="zh-CN"/>
                    </w:rPr>
                    <w:t>生活垃圾</w:t>
                  </w:r>
                </w:p>
              </w:tc>
              <w:tc>
                <w:tcPr>
                  <w:tcW w:w="422" w:type="pct"/>
                  <w:noWrap w:val="0"/>
                  <w:vAlign w:val="center"/>
                </w:tcPr>
                <w:p>
                  <w:pPr>
                    <w:jc w:val="center"/>
                    <w:rPr>
                      <w:rFonts w:hAnsi="宋体"/>
                      <w:color w:val="auto"/>
                      <w:sz w:val="18"/>
                      <w:szCs w:val="18"/>
                    </w:rPr>
                  </w:pPr>
                  <w:r>
                    <w:rPr>
                      <w:rFonts w:hAnsi="宋体"/>
                      <w:color w:val="auto"/>
                      <w:sz w:val="18"/>
                      <w:szCs w:val="18"/>
                    </w:rPr>
                    <w:t>0</w:t>
                  </w:r>
                </w:p>
              </w:tc>
              <w:tc>
                <w:tcPr>
                  <w:tcW w:w="397" w:type="pct"/>
                  <w:noWrap w:val="0"/>
                  <w:vAlign w:val="center"/>
                </w:tcPr>
                <w:p>
                  <w:pPr>
                    <w:jc w:val="center"/>
                    <w:rPr>
                      <w:rFonts w:hAnsi="宋体"/>
                      <w:color w:val="auto"/>
                      <w:sz w:val="18"/>
                      <w:szCs w:val="18"/>
                    </w:rPr>
                  </w:pPr>
                  <w:r>
                    <w:rPr>
                      <w:rFonts w:hAnsi="宋体"/>
                      <w:color w:val="auto"/>
                      <w:sz w:val="18"/>
                      <w:szCs w:val="18"/>
                    </w:rPr>
                    <w:t>0</w:t>
                  </w:r>
                </w:p>
              </w:tc>
              <w:tc>
                <w:tcPr>
                  <w:tcW w:w="420" w:type="pct"/>
                  <w:noWrap w:val="0"/>
                  <w:vAlign w:val="center"/>
                </w:tcPr>
                <w:p>
                  <w:pPr>
                    <w:keepNext w:val="0"/>
                    <w:keepLines w:val="0"/>
                    <w:widowControl/>
                    <w:suppressLineNumbers w:val="0"/>
                    <w:jc w:val="center"/>
                    <w:textAlignment w:val="center"/>
                    <w:rPr>
                      <w:rFonts w:hint="default" w:ascii="Times New Roman" w:hAnsi="宋体" w:eastAsia="宋体" w:cs="Times New Roman"/>
                      <w:color w:val="auto"/>
                      <w:sz w:val="18"/>
                      <w:szCs w:val="18"/>
                      <w:lang w:val="en-US" w:eastAsia="zh-CN"/>
                    </w:rPr>
                  </w:pPr>
                  <w:r>
                    <w:rPr>
                      <w:rFonts w:hint="eastAsia" w:ascii="Times New Roman" w:hAnsi="宋体" w:eastAsia="宋体" w:cs="Times New Roman"/>
                      <w:color w:val="auto"/>
                      <w:sz w:val="18"/>
                      <w:szCs w:val="18"/>
                      <w:lang w:val="en-US" w:eastAsia="zh-CN"/>
                    </w:rPr>
                    <w:t>6</w:t>
                  </w:r>
                </w:p>
              </w:tc>
              <w:tc>
                <w:tcPr>
                  <w:tcW w:w="395" w:type="pct"/>
                  <w:noWrap w:val="0"/>
                  <w:vAlign w:val="center"/>
                </w:tcPr>
                <w:p>
                  <w:pPr>
                    <w:keepNext w:val="0"/>
                    <w:keepLines w:val="0"/>
                    <w:widowControl/>
                    <w:suppressLineNumbers w:val="0"/>
                    <w:jc w:val="center"/>
                    <w:textAlignment w:val="center"/>
                    <w:rPr>
                      <w:rFonts w:hint="default" w:ascii="Times New Roman" w:hAnsi="宋体" w:eastAsia="宋体" w:cs="Times New Roman"/>
                      <w:color w:val="auto"/>
                      <w:sz w:val="18"/>
                      <w:szCs w:val="18"/>
                      <w:lang w:val="en-US" w:eastAsia="zh-CN"/>
                    </w:rPr>
                  </w:pPr>
                  <w:r>
                    <w:rPr>
                      <w:rFonts w:hint="eastAsia" w:ascii="Times New Roman" w:hAnsi="宋体" w:eastAsia="宋体" w:cs="Times New Roman"/>
                      <w:color w:val="auto"/>
                      <w:sz w:val="18"/>
                      <w:szCs w:val="18"/>
                      <w:lang w:val="en-US" w:eastAsia="zh-CN"/>
                    </w:rPr>
                    <w:t>6</w:t>
                  </w:r>
                </w:p>
              </w:tc>
              <w:tc>
                <w:tcPr>
                  <w:tcW w:w="426" w:type="pct"/>
                  <w:noWrap w:val="0"/>
                  <w:vAlign w:val="center"/>
                </w:tcPr>
                <w:p>
                  <w:pPr>
                    <w:jc w:val="center"/>
                    <w:rPr>
                      <w:rFonts w:hAnsi="宋体"/>
                      <w:color w:val="auto"/>
                      <w:sz w:val="18"/>
                      <w:szCs w:val="18"/>
                    </w:rPr>
                  </w:pPr>
                  <w:r>
                    <w:rPr>
                      <w:rFonts w:hAnsi="宋体"/>
                      <w:color w:val="auto"/>
                      <w:sz w:val="18"/>
                      <w:szCs w:val="18"/>
                    </w:rPr>
                    <w:t>0</w:t>
                  </w:r>
                </w:p>
              </w:tc>
              <w:tc>
                <w:tcPr>
                  <w:tcW w:w="397" w:type="pct"/>
                  <w:noWrap w:val="0"/>
                  <w:vAlign w:val="center"/>
                </w:tcPr>
                <w:p>
                  <w:pPr>
                    <w:jc w:val="center"/>
                    <w:rPr>
                      <w:rFonts w:hAnsi="宋体"/>
                      <w:color w:val="auto"/>
                      <w:sz w:val="18"/>
                      <w:szCs w:val="18"/>
                    </w:rPr>
                  </w:pPr>
                  <w:r>
                    <w:rPr>
                      <w:rFonts w:hAnsi="宋体"/>
                      <w:color w:val="auto"/>
                      <w:sz w:val="18"/>
                      <w:szCs w:val="18"/>
                    </w:rPr>
                    <w:t>0</w:t>
                  </w:r>
                </w:p>
              </w:tc>
              <w:tc>
                <w:tcPr>
                  <w:tcW w:w="459" w:type="pct"/>
                  <w:noWrap w:val="0"/>
                  <w:vAlign w:val="center"/>
                </w:tcPr>
                <w:p>
                  <w:pPr>
                    <w:jc w:val="center"/>
                    <w:rPr>
                      <w:rFonts w:hAnsi="宋体"/>
                      <w:color w:val="auto"/>
                      <w:sz w:val="18"/>
                      <w:szCs w:val="18"/>
                    </w:rPr>
                  </w:pPr>
                  <w:r>
                    <w:rPr>
                      <w:rFonts w:hAnsi="宋体"/>
                      <w:color w:val="auto"/>
                      <w:sz w:val="18"/>
                      <w:szCs w:val="18"/>
                    </w:rPr>
                    <w:t>0</w:t>
                  </w:r>
                </w:p>
              </w:tc>
              <w:tc>
                <w:tcPr>
                  <w:tcW w:w="397" w:type="pct"/>
                  <w:noWrap w:val="0"/>
                  <w:vAlign w:val="center"/>
                </w:tcPr>
                <w:p>
                  <w:pPr>
                    <w:jc w:val="center"/>
                    <w:rPr>
                      <w:rFonts w:hAnsi="宋体"/>
                      <w:color w:val="auto"/>
                      <w:sz w:val="18"/>
                      <w:szCs w:val="18"/>
                    </w:rPr>
                  </w:pPr>
                  <w:r>
                    <w:rPr>
                      <w:rFonts w:hAnsi="宋体"/>
                      <w:color w:val="auto"/>
                      <w:sz w:val="18"/>
                      <w:szCs w:val="18"/>
                    </w:rPr>
                    <w:t>0</w:t>
                  </w:r>
                </w:p>
              </w:tc>
              <w:tc>
                <w:tcPr>
                  <w:tcW w:w="414" w:type="pct"/>
                  <w:noWrap w:val="0"/>
                  <w:vAlign w:val="center"/>
                </w:tcPr>
                <w:p>
                  <w:pPr>
                    <w:jc w:val="center"/>
                    <w:rPr>
                      <w:rFonts w:hAnsi="宋体"/>
                      <w:color w:val="auto"/>
                      <w:sz w:val="18"/>
                      <w:szCs w:val="18"/>
                    </w:rPr>
                  </w:pPr>
                  <w:r>
                    <w:rPr>
                      <w:rFonts w:hAnsi="宋体"/>
                      <w:color w:val="auto"/>
                      <w:sz w:val="18"/>
                      <w:szCs w:val="18"/>
                    </w:rPr>
                    <w:t>0</w:t>
                  </w:r>
                </w:p>
              </w:tc>
              <w:tc>
                <w:tcPr>
                  <w:tcW w:w="485" w:type="pct"/>
                  <w:noWrap w:val="0"/>
                  <w:vAlign w:val="center"/>
                </w:tcPr>
                <w:p>
                  <w:pPr>
                    <w:jc w:val="center"/>
                    <w:rPr>
                      <w:rFonts w:hAnsi="宋体"/>
                      <w:color w:val="auto"/>
                      <w:sz w:val="18"/>
                      <w:szCs w:val="18"/>
                    </w:rPr>
                  </w:pPr>
                  <w:r>
                    <w:rPr>
                      <w:rFonts w:hAnsi="宋体"/>
                      <w:color w:val="auto"/>
                      <w:sz w:val="18"/>
                      <w:szCs w:val="18"/>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628" w:hRule="atLeast"/>
                <w:jc w:val="center"/>
              </w:trPr>
              <w:tc>
                <w:tcPr>
                  <w:tcW w:w="170" w:type="pct"/>
                  <w:vMerge w:val="continue"/>
                  <w:noWrap w:val="0"/>
                  <w:vAlign w:val="center"/>
                </w:tcPr>
                <w:p>
                  <w:pPr>
                    <w:jc w:val="center"/>
                    <w:rPr>
                      <w:rFonts w:hAnsi="宋体"/>
                      <w:color w:val="auto"/>
                      <w:sz w:val="18"/>
                      <w:szCs w:val="18"/>
                    </w:rPr>
                  </w:pPr>
                </w:p>
              </w:tc>
              <w:tc>
                <w:tcPr>
                  <w:tcW w:w="613" w:type="pct"/>
                  <w:gridSpan w:val="2"/>
                  <w:noWrap w:val="0"/>
                  <w:vAlign w:val="center"/>
                </w:tcPr>
                <w:p>
                  <w:pPr>
                    <w:jc w:val="center"/>
                    <w:rPr>
                      <w:rFonts w:hAnsi="宋体"/>
                      <w:color w:val="auto"/>
                      <w:sz w:val="18"/>
                      <w:szCs w:val="18"/>
                    </w:rPr>
                  </w:pPr>
                  <w:r>
                    <w:rPr>
                      <w:rFonts w:hAnsi="宋体"/>
                      <w:color w:val="auto"/>
                      <w:sz w:val="18"/>
                      <w:szCs w:val="18"/>
                    </w:rPr>
                    <w:t>一般工业废物</w:t>
                  </w:r>
                </w:p>
              </w:tc>
              <w:tc>
                <w:tcPr>
                  <w:tcW w:w="422" w:type="pct"/>
                  <w:noWrap w:val="0"/>
                  <w:vAlign w:val="center"/>
                </w:tcPr>
                <w:p>
                  <w:pPr>
                    <w:jc w:val="center"/>
                    <w:rPr>
                      <w:rFonts w:hAnsi="宋体"/>
                      <w:color w:val="auto"/>
                      <w:sz w:val="18"/>
                      <w:szCs w:val="18"/>
                    </w:rPr>
                  </w:pPr>
                  <w:r>
                    <w:rPr>
                      <w:rFonts w:hAnsi="宋体"/>
                      <w:color w:val="auto"/>
                      <w:sz w:val="18"/>
                      <w:szCs w:val="18"/>
                    </w:rPr>
                    <w:t>0</w:t>
                  </w:r>
                </w:p>
              </w:tc>
              <w:tc>
                <w:tcPr>
                  <w:tcW w:w="397" w:type="pct"/>
                  <w:noWrap w:val="0"/>
                  <w:vAlign w:val="center"/>
                </w:tcPr>
                <w:p>
                  <w:pPr>
                    <w:jc w:val="center"/>
                    <w:rPr>
                      <w:rFonts w:hAnsi="宋体"/>
                      <w:color w:val="auto"/>
                      <w:sz w:val="18"/>
                      <w:szCs w:val="18"/>
                    </w:rPr>
                  </w:pPr>
                  <w:r>
                    <w:rPr>
                      <w:rFonts w:hAnsi="宋体"/>
                      <w:color w:val="auto"/>
                      <w:sz w:val="18"/>
                      <w:szCs w:val="18"/>
                    </w:rPr>
                    <w:t>0</w:t>
                  </w:r>
                </w:p>
              </w:tc>
              <w:tc>
                <w:tcPr>
                  <w:tcW w:w="420" w:type="pct"/>
                  <w:noWrap w:val="0"/>
                  <w:vAlign w:val="center"/>
                </w:tcPr>
                <w:p>
                  <w:pPr>
                    <w:keepNext w:val="0"/>
                    <w:keepLines w:val="0"/>
                    <w:widowControl/>
                    <w:suppressLineNumbers w:val="0"/>
                    <w:jc w:val="center"/>
                    <w:textAlignment w:val="center"/>
                    <w:rPr>
                      <w:rFonts w:hint="default" w:hAnsi="宋体" w:cs="Times New Roman"/>
                      <w:color w:val="auto"/>
                      <w:sz w:val="18"/>
                      <w:szCs w:val="18"/>
                      <w:lang w:val="en-US" w:eastAsia="zh-CN"/>
                    </w:rPr>
                  </w:pPr>
                  <w:r>
                    <w:rPr>
                      <w:rFonts w:hint="eastAsia" w:hAnsi="宋体" w:cs="Times New Roman"/>
                      <w:color w:val="auto"/>
                      <w:sz w:val="18"/>
                      <w:szCs w:val="18"/>
                      <w:lang w:val="en-US" w:eastAsia="zh-CN"/>
                    </w:rPr>
                    <w:t>120</w:t>
                  </w:r>
                </w:p>
              </w:tc>
              <w:tc>
                <w:tcPr>
                  <w:tcW w:w="395" w:type="pct"/>
                  <w:noWrap w:val="0"/>
                  <w:vAlign w:val="center"/>
                </w:tcPr>
                <w:p>
                  <w:pPr>
                    <w:keepNext w:val="0"/>
                    <w:keepLines w:val="0"/>
                    <w:widowControl/>
                    <w:suppressLineNumbers w:val="0"/>
                    <w:jc w:val="center"/>
                    <w:textAlignment w:val="center"/>
                    <w:rPr>
                      <w:rFonts w:hint="default" w:ascii="Times New Roman" w:hAnsi="宋体" w:eastAsia="宋体" w:cs="Times New Roman"/>
                      <w:color w:val="auto"/>
                      <w:sz w:val="18"/>
                      <w:szCs w:val="18"/>
                      <w:lang w:val="en-US" w:eastAsia="zh-CN"/>
                    </w:rPr>
                  </w:pPr>
                  <w:r>
                    <w:rPr>
                      <w:rFonts w:hint="eastAsia" w:ascii="Times New Roman" w:hAnsi="宋体" w:eastAsia="宋体" w:cs="Times New Roman"/>
                      <w:color w:val="auto"/>
                      <w:sz w:val="18"/>
                      <w:szCs w:val="18"/>
                      <w:lang w:val="en-US" w:eastAsia="zh-CN"/>
                    </w:rPr>
                    <w:t>120</w:t>
                  </w:r>
                </w:p>
              </w:tc>
              <w:tc>
                <w:tcPr>
                  <w:tcW w:w="426" w:type="pct"/>
                  <w:noWrap w:val="0"/>
                  <w:vAlign w:val="center"/>
                </w:tcPr>
                <w:p>
                  <w:pPr>
                    <w:jc w:val="center"/>
                    <w:rPr>
                      <w:rFonts w:hAnsi="宋体"/>
                      <w:color w:val="auto"/>
                      <w:sz w:val="18"/>
                      <w:szCs w:val="18"/>
                    </w:rPr>
                  </w:pPr>
                  <w:r>
                    <w:rPr>
                      <w:rFonts w:hAnsi="宋体"/>
                      <w:color w:val="auto"/>
                      <w:sz w:val="18"/>
                      <w:szCs w:val="18"/>
                    </w:rPr>
                    <w:t>0</w:t>
                  </w:r>
                </w:p>
              </w:tc>
              <w:tc>
                <w:tcPr>
                  <w:tcW w:w="397" w:type="pct"/>
                  <w:noWrap w:val="0"/>
                  <w:vAlign w:val="center"/>
                </w:tcPr>
                <w:p>
                  <w:pPr>
                    <w:jc w:val="center"/>
                    <w:rPr>
                      <w:rFonts w:hAnsi="宋体"/>
                      <w:color w:val="auto"/>
                      <w:sz w:val="18"/>
                      <w:szCs w:val="18"/>
                    </w:rPr>
                  </w:pPr>
                  <w:r>
                    <w:rPr>
                      <w:rFonts w:hAnsi="宋体"/>
                      <w:color w:val="auto"/>
                      <w:sz w:val="18"/>
                      <w:szCs w:val="18"/>
                    </w:rPr>
                    <w:t>0</w:t>
                  </w:r>
                </w:p>
              </w:tc>
              <w:tc>
                <w:tcPr>
                  <w:tcW w:w="459" w:type="pct"/>
                  <w:noWrap w:val="0"/>
                  <w:vAlign w:val="center"/>
                </w:tcPr>
                <w:p>
                  <w:pPr>
                    <w:jc w:val="center"/>
                    <w:rPr>
                      <w:rFonts w:hAnsi="宋体"/>
                      <w:color w:val="auto"/>
                      <w:sz w:val="18"/>
                      <w:szCs w:val="18"/>
                    </w:rPr>
                  </w:pPr>
                  <w:r>
                    <w:rPr>
                      <w:rFonts w:hAnsi="宋体"/>
                      <w:color w:val="auto"/>
                      <w:sz w:val="18"/>
                      <w:szCs w:val="18"/>
                    </w:rPr>
                    <w:t>0</w:t>
                  </w:r>
                </w:p>
              </w:tc>
              <w:tc>
                <w:tcPr>
                  <w:tcW w:w="397" w:type="pct"/>
                  <w:noWrap w:val="0"/>
                  <w:vAlign w:val="center"/>
                </w:tcPr>
                <w:p>
                  <w:pPr>
                    <w:jc w:val="center"/>
                    <w:rPr>
                      <w:rFonts w:hAnsi="宋体"/>
                      <w:color w:val="auto"/>
                      <w:sz w:val="18"/>
                      <w:szCs w:val="18"/>
                    </w:rPr>
                  </w:pPr>
                  <w:r>
                    <w:rPr>
                      <w:rFonts w:hAnsi="宋体"/>
                      <w:color w:val="auto"/>
                      <w:sz w:val="18"/>
                      <w:szCs w:val="18"/>
                    </w:rPr>
                    <w:t>0</w:t>
                  </w:r>
                </w:p>
              </w:tc>
              <w:tc>
                <w:tcPr>
                  <w:tcW w:w="414" w:type="pct"/>
                  <w:noWrap w:val="0"/>
                  <w:vAlign w:val="center"/>
                </w:tcPr>
                <w:p>
                  <w:pPr>
                    <w:jc w:val="center"/>
                    <w:rPr>
                      <w:rFonts w:hAnsi="宋体"/>
                      <w:color w:val="auto"/>
                      <w:sz w:val="18"/>
                      <w:szCs w:val="18"/>
                    </w:rPr>
                  </w:pPr>
                  <w:r>
                    <w:rPr>
                      <w:rFonts w:hAnsi="宋体"/>
                      <w:color w:val="auto"/>
                      <w:sz w:val="18"/>
                      <w:szCs w:val="18"/>
                    </w:rPr>
                    <w:t>0</w:t>
                  </w:r>
                </w:p>
              </w:tc>
              <w:tc>
                <w:tcPr>
                  <w:tcW w:w="485" w:type="pct"/>
                  <w:noWrap w:val="0"/>
                  <w:vAlign w:val="center"/>
                </w:tcPr>
                <w:p>
                  <w:pPr>
                    <w:jc w:val="center"/>
                    <w:rPr>
                      <w:rFonts w:hAnsi="宋体"/>
                      <w:color w:val="auto"/>
                      <w:sz w:val="18"/>
                      <w:szCs w:val="18"/>
                    </w:rPr>
                  </w:pPr>
                  <w:r>
                    <w:rPr>
                      <w:rFonts w:hAnsi="宋体"/>
                      <w:color w:val="auto"/>
                      <w:sz w:val="18"/>
                      <w:szCs w:val="18"/>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697" w:hRule="atLeast"/>
                <w:jc w:val="center"/>
              </w:trPr>
              <w:tc>
                <w:tcPr>
                  <w:tcW w:w="170" w:type="pct"/>
                  <w:vMerge w:val="continue"/>
                  <w:noWrap w:val="0"/>
                  <w:vAlign w:val="center"/>
                </w:tcPr>
                <w:p>
                  <w:pPr>
                    <w:jc w:val="center"/>
                    <w:rPr>
                      <w:rFonts w:hAnsi="宋体"/>
                      <w:color w:val="auto"/>
                      <w:sz w:val="18"/>
                      <w:szCs w:val="18"/>
                    </w:rPr>
                  </w:pPr>
                </w:p>
              </w:tc>
              <w:tc>
                <w:tcPr>
                  <w:tcW w:w="613" w:type="pct"/>
                  <w:gridSpan w:val="2"/>
                  <w:noWrap w:val="0"/>
                  <w:vAlign w:val="center"/>
                </w:tcPr>
                <w:p>
                  <w:pPr>
                    <w:jc w:val="center"/>
                    <w:rPr>
                      <w:rFonts w:hAnsi="宋体"/>
                      <w:color w:val="auto"/>
                      <w:sz w:val="18"/>
                      <w:szCs w:val="18"/>
                    </w:rPr>
                  </w:pPr>
                  <w:r>
                    <w:rPr>
                      <w:rFonts w:hAnsi="宋体"/>
                      <w:color w:val="auto"/>
                      <w:sz w:val="18"/>
                      <w:szCs w:val="18"/>
                    </w:rPr>
                    <w:t>危险废物</w:t>
                  </w:r>
                </w:p>
              </w:tc>
              <w:tc>
                <w:tcPr>
                  <w:tcW w:w="422" w:type="pct"/>
                  <w:noWrap w:val="0"/>
                  <w:vAlign w:val="center"/>
                </w:tcPr>
                <w:p>
                  <w:pPr>
                    <w:jc w:val="center"/>
                    <w:rPr>
                      <w:rFonts w:hAnsi="宋体"/>
                      <w:color w:val="auto"/>
                      <w:sz w:val="18"/>
                      <w:szCs w:val="18"/>
                    </w:rPr>
                  </w:pPr>
                  <w:r>
                    <w:rPr>
                      <w:rFonts w:hAnsi="宋体"/>
                      <w:color w:val="auto"/>
                      <w:sz w:val="18"/>
                      <w:szCs w:val="18"/>
                    </w:rPr>
                    <w:t>0</w:t>
                  </w:r>
                </w:p>
              </w:tc>
              <w:tc>
                <w:tcPr>
                  <w:tcW w:w="397" w:type="pct"/>
                  <w:noWrap w:val="0"/>
                  <w:vAlign w:val="center"/>
                </w:tcPr>
                <w:p>
                  <w:pPr>
                    <w:jc w:val="center"/>
                    <w:rPr>
                      <w:rFonts w:hAnsi="宋体"/>
                      <w:color w:val="auto"/>
                      <w:sz w:val="18"/>
                      <w:szCs w:val="18"/>
                    </w:rPr>
                  </w:pPr>
                  <w:r>
                    <w:rPr>
                      <w:rFonts w:hAnsi="宋体"/>
                      <w:color w:val="auto"/>
                      <w:sz w:val="18"/>
                      <w:szCs w:val="18"/>
                    </w:rPr>
                    <w:t>0</w:t>
                  </w:r>
                </w:p>
              </w:tc>
              <w:tc>
                <w:tcPr>
                  <w:tcW w:w="420"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2.1</w:t>
                  </w:r>
                </w:p>
              </w:tc>
              <w:tc>
                <w:tcPr>
                  <w:tcW w:w="395" w:type="pct"/>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2.1</w:t>
                  </w:r>
                </w:p>
              </w:tc>
              <w:tc>
                <w:tcPr>
                  <w:tcW w:w="426" w:type="pct"/>
                  <w:noWrap w:val="0"/>
                  <w:vAlign w:val="center"/>
                </w:tcPr>
                <w:p>
                  <w:pPr>
                    <w:jc w:val="center"/>
                    <w:rPr>
                      <w:rFonts w:hAnsi="宋体"/>
                      <w:color w:val="auto"/>
                      <w:sz w:val="18"/>
                      <w:szCs w:val="18"/>
                    </w:rPr>
                  </w:pPr>
                  <w:r>
                    <w:rPr>
                      <w:rFonts w:hint="eastAsia" w:hAnsi="宋体"/>
                      <w:color w:val="auto"/>
                      <w:sz w:val="18"/>
                      <w:szCs w:val="18"/>
                    </w:rPr>
                    <w:t>0</w:t>
                  </w:r>
                </w:p>
              </w:tc>
              <w:tc>
                <w:tcPr>
                  <w:tcW w:w="397" w:type="pct"/>
                  <w:noWrap w:val="0"/>
                  <w:vAlign w:val="center"/>
                </w:tcPr>
                <w:p>
                  <w:pPr>
                    <w:jc w:val="center"/>
                    <w:rPr>
                      <w:rFonts w:hAnsi="宋体"/>
                      <w:color w:val="auto"/>
                      <w:sz w:val="18"/>
                      <w:szCs w:val="18"/>
                    </w:rPr>
                  </w:pPr>
                  <w:r>
                    <w:rPr>
                      <w:rFonts w:hint="eastAsia" w:hAnsi="宋体"/>
                      <w:color w:val="auto"/>
                      <w:sz w:val="18"/>
                      <w:szCs w:val="18"/>
                    </w:rPr>
                    <w:t>0</w:t>
                  </w:r>
                </w:p>
              </w:tc>
              <w:tc>
                <w:tcPr>
                  <w:tcW w:w="459" w:type="pct"/>
                  <w:noWrap w:val="0"/>
                  <w:vAlign w:val="center"/>
                </w:tcPr>
                <w:p>
                  <w:pPr>
                    <w:jc w:val="center"/>
                    <w:rPr>
                      <w:rFonts w:hAnsi="宋体"/>
                      <w:color w:val="auto"/>
                      <w:sz w:val="18"/>
                      <w:szCs w:val="18"/>
                    </w:rPr>
                  </w:pPr>
                  <w:r>
                    <w:rPr>
                      <w:rFonts w:hint="eastAsia" w:hAnsi="宋体"/>
                      <w:color w:val="auto"/>
                      <w:sz w:val="18"/>
                      <w:szCs w:val="18"/>
                    </w:rPr>
                    <w:t>0</w:t>
                  </w:r>
                </w:p>
              </w:tc>
              <w:tc>
                <w:tcPr>
                  <w:tcW w:w="397" w:type="pct"/>
                  <w:noWrap w:val="0"/>
                  <w:vAlign w:val="center"/>
                </w:tcPr>
                <w:p>
                  <w:pPr>
                    <w:jc w:val="center"/>
                    <w:rPr>
                      <w:rFonts w:hAnsi="宋体"/>
                      <w:color w:val="auto"/>
                      <w:sz w:val="18"/>
                      <w:szCs w:val="18"/>
                    </w:rPr>
                  </w:pPr>
                  <w:r>
                    <w:rPr>
                      <w:rFonts w:hint="eastAsia" w:hAnsi="宋体"/>
                      <w:color w:val="auto"/>
                      <w:sz w:val="18"/>
                      <w:szCs w:val="18"/>
                    </w:rPr>
                    <w:t>0</w:t>
                  </w:r>
                </w:p>
              </w:tc>
              <w:tc>
                <w:tcPr>
                  <w:tcW w:w="414" w:type="pct"/>
                  <w:noWrap w:val="0"/>
                  <w:vAlign w:val="center"/>
                </w:tcPr>
                <w:p>
                  <w:pPr>
                    <w:jc w:val="center"/>
                    <w:rPr>
                      <w:rFonts w:hAnsi="宋体"/>
                      <w:color w:val="auto"/>
                      <w:sz w:val="18"/>
                      <w:szCs w:val="18"/>
                    </w:rPr>
                  </w:pPr>
                  <w:r>
                    <w:rPr>
                      <w:rFonts w:hint="eastAsia" w:hAnsi="宋体"/>
                      <w:color w:val="auto"/>
                      <w:sz w:val="18"/>
                      <w:szCs w:val="18"/>
                    </w:rPr>
                    <w:t>0</w:t>
                  </w:r>
                </w:p>
              </w:tc>
              <w:tc>
                <w:tcPr>
                  <w:tcW w:w="485" w:type="pct"/>
                  <w:noWrap w:val="0"/>
                  <w:vAlign w:val="center"/>
                </w:tcPr>
                <w:p>
                  <w:pPr>
                    <w:jc w:val="center"/>
                    <w:rPr>
                      <w:rFonts w:hint="eastAsia" w:hAnsi="宋体"/>
                      <w:color w:val="auto"/>
                      <w:sz w:val="18"/>
                      <w:szCs w:val="18"/>
                    </w:rPr>
                  </w:pPr>
                  <w:r>
                    <w:rPr>
                      <w:rFonts w:hint="eastAsia" w:hAnsi="宋体"/>
                      <w:color w:val="auto"/>
                      <w:sz w:val="18"/>
                      <w:szCs w:val="18"/>
                    </w:rPr>
                    <w:t>0</w:t>
                  </w:r>
                </w:p>
              </w:tc>
            </w:tr>
          </w:tbl>
          <w:p>
            <w:pPr>
              <w:spacing w:line="500" w:lineRule="exact"/>
              <w:ind w:firstLine="420" w:firstLineChars="200"/>
              <w:rPr>
                <w:bCs/>
                <w:color w:val="auto"/>
                <w:szCs w:val="21"/>
              </w:rPr>
            </w:pPr>
            <w:r>
              <w:rPr>
                <w:rFonts w:hint="eastAsia"/>
                <w:bCs/>
                <w:color w:val="auto"/>
                <w:szCs w:val="21"/>
              </w:rPr>
              <w:t>2、总量控制指标</w:t>
            </w:r>
          </w:p>
          <w:p>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jc w:val="left"/>
              <w:textAlignment w:val="auto"/>
              <w:rPr>
                <w:rFonts w:hint="eastAsia"/>
                <w:color w:val="auto"/>
                <w:highlight w:val="none"/>
                <w:lang w:val="en-US" w:eastAsia="zh-CN"/>
              </w:rPr>
            </w:pPr>
            <w:r>
              <w:rPr>
                <w:rFonts w:hint="default" w:ascii="Times New Roman" w:hAnsi="Times New Roman" w:eastAsia="宋体" w:cs="Times New Roman"/>
                <w:color w:val="auto"/>
              </w:rPr>
              <w:t>根据《关于印发〈关于进一步优化建设项目排污总量指标管理提升环评审批效能意见（试行）的通知（通环办）〔2023〕132号》的要求，重点管理或简化管理的排污单位办理《建设项目主要污染物排放总量指标预报单》，作为环评报告必备附件，并在排污许可证申领前，通过交易获得环评批复的新增排污总量指标。结合项目排污特征，确定废水总量控制因子：化学需氧量、氨氮、总氮、总磷；废气总量控制因子：烟粉尘、</w:t>
            </w:r>
            <w:r>
              <w:rPr>
                <w:rFonts w:hint="eastAsia" w:ascii="Times New Roman" w:hAnsi="Times New Roman" w:eastAsia="宋体" w:cs="Times New Roman"/>
                <w:color w:val="auto"/>
                <w:lang w:eastAsia="zh-CN"/>
              </w:rPr>
              <w:t>氮氧化物、二氧化硫</w:t>
            </w:r>
            <w:r>
              <w:rPr>
                <w:rFonts w:hint="eastAsia" w:ascii="Times New Roman" w:hAnsi="Times New Roman" w:eastAsia="宋体" w:cs="Times New Roman"/>
                <w:color w:val="auto"/>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firstLine="420" w:firstLineChars="200"/>
              <w:textAlignment w:val="auto"/>
              <w:rPr>
                <w:rFonts w:hint="eastAsia" w:ascii="Times New Roman" w:hAnsi="Times New Roman" w:eastAsia="宋体" w:cs="Times New Roman"/>
                <w:bCs/>
                <w:color w:val="auto"/>
                <w:szCs w:val="21"/>
                <w:highlight w:val="none"/>
              </w:rPr>
            </w:pPr>
            <w:r>
              <w:rPr>
                <w:rFonts w:hint="eastAsia" w:ascii="Times New Roman" w:hAnsi="Times New Roman" w:eastAsia="宋体" w:cs="Times New Roman"/>
                <w:color w:val="auto"/>
                <w:lang w:val="en-US" w:eastAsia="zh-CN"/>
              </w:rPr>
              <w:t>1）大气污染物：项目以新带老后新增颗粒物（有组织+无组织）排放量：</w:t>
            </w:r>
            <w:r>
              <w:rPr>
                <w:rFonts w:hint="eastAsia" w:cs="Times New Roman"/>
                <w:color w:val="auto"/>
                <w:lang w:val="en-US" w:eastAsia="zh-CN"/>
              </w:rPr>
              <w:t>6.6322</w:t>
            </w:r>
            <w:r>
              <w:rPr>
                <w:rFonts w:hint="eastAsia" w:ascii="Times New Roman" w:hAnsi="Times New Roman" w:eastAsia="宋体" w:cs="Times New Roman"/>
                <w:color w:val="auto"/>
                <w:lang w:val="en-US" w:eastAsia="zh-CN"/>
              </w:rPr>
              <w:t>t/a；减少氮氧化</w:t>
            </w:r>
            <w:r>
              <w:rPr>
                <w:rFonts w:hint="eastAsia" w:ascii="Times New Roman" w:hAnsi="Times New Roman" w:eastAsia="宋体" w:cs="Times New Roman"/>
                <w:color w:val="auto"/>
                <w:lang w:eastAsia="zh-CN"/>
              </w:rPr>
              <w:t>物有组织</w:t>
            </w:r>
            <w:r>
              <w:rPr>
                <w:rFonts w:hint="eastAsia" w:ascii="Times New Roman" w:hAnsi="Times New Roman" w:eastAsia="宋体" w:cs="Times New Roman"/>
                <w:color w:val="auto"/>
              </w:rPr>
              <w:t>排放量：</w:t>
            </w:r>
            <w:r>
              <w:rPr>
                <w:rFonts w:hint="eastAsia" w:cs="Times New Roman"/>
                <w:color w:val="auto"/>
                <w:lang w:val="en-US" w:eastAsia="zh-CN"/>
              </w:rPr>
              <w:t>35.6714</w:t>
            </w:r>
            <w:r>
              <w:rPr>
                <w:rFonts w:hint="eastAsia" w:ascii="Times New Roman" w:hAnsi="Times New Roman" w:eastAsia="宋体" w:cs="Times New Roman"/>
                <w:color w:val="auto"/>
              </w:rPr>
              <w:t>t/a</w:t>
            </w:r>
            <w:r>
              <w:rPr>
                <w:rFonts w:hint="eastAsia" w:ascii="Times New Roman" w:hAnsi="Times New Roman" w:eastAsia="宋体" w:cs="Times New Roman"/>
                <w:color w:val="auto"/>
                <w:lang w:eastAsia="zh-CN"/>
              </w:rPr>
              <w:t>；新增二氧化硫</w:t>
            </w:r>
            <w:r>
              <w:rPr>
                <w:rFonts w:hint="eastAsia" w:ascii="Times New Roman" w:hAnsi="Times New Roman" w:eastAsia="宋体" w:cs="Times New Roman"/>
                <w:color w:val="auto"/>
              </w:rPr>
              <w:t>排放量：</w:t>
            </w:r>
            <w:r>
              <w:rPr>
                <w:rFonts w:hint="eastAsia" w:cs="Times New Roman"/>
                <w:color w:val="auto"/>
                <w:lang w:val="en-US" w:eastAsia="zh-CN"/>
              </w:rPr>
              <w:t>6.71</w:t>
            </w:r>
            <w:r>
              <w:rPr>
                <w:rFonts w:hint="eastAsia" w:ascii="Times New Roman" w:hAnsi="Times New Roman" w:eastAsia="宋体" w:cs="Times New Roman"/>
                <w:color w:val="auto"/>
              </w:rPr>
              <w:t>t/a</w:t>
            </w:r>
            <w:r>
              <w:rPr>
                <w:rFonts w:hint="eastAsia" w:ascii="Times New Roman" w:hAnsi="Times New Roman" w:eastAsia="宋体" w:cs="Times New Roman"/>
                <w:color w:val="auto"/>
                <w:lang w:eastAsia="zh-CN"/>
              </w:rPr>
              <w:t>；新增非甲烷总烃</w:t>
            </w:r>
            <w:r>
              <w:rPr>
                <w:rFonts w:hint="eastAsia" w:ascii="Times New Roman" w:hAnsi="Times New Roman" w:eastAsia="宋体" w:cs="Times New Roman"/>
                <w:color w:val="auto"/>
                <w:lang w:val="en-US" w:eastAsia="zh-CN"/>
              </w:rPr>
              <w:t>0.0011</w:t>
            </w:r>
            <w:r>
              <w:rPr>
                <w:rFonts w:hint="eastAsia" w:ascii="Times New Roman" w:hAnsi="Times New Roman" w:eastAsia="宋体" w:cs="Times New Roman"/>
                <w:bCs/>
                <w:color w:val="auto"/>
                <w:szCs w:val="21"/>
                <w:highlight w:val="none"/>
              </w:rPr>
              <w:t>t/a。</w:t>
            </w:r>
          </w:p>
          <w:p>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jc w:val="left"/>
              <w:textAlignment w:val="auto"/>
              <w:rPr>
                <w:rFonts w:hint="eastAsia" w:ascii="Times New Roman" w:hAnsi="Times New Roman" w:eastAsia="宋体" w:cs="Times New Roman"/>
                <w:bCs/>
                <w:color w:val="auto"/>
                <w:szCs w:val="21"/>
                <w:highlight w:val="none"/>
              </w:rPr>
            </w:pPr>
            <w:r>
              <w:rPr>
                <w:rFonts w:hint="eastAsia" w:ascii="宋体" w:hAnsi="宋体" w:cs="宋体"/>
                <w:color w:val="auto"/>
                <w:highlight w:val="none"/>
                <w:lang w:eastAsia="zh-CN"/>
              </w:rPr>
              <w:t>改扩建</w:t>
            </w:r>
            <w:r>
              <w:rPr>
                <w:rFonts w:hint="default" w:ascii="Times New Roman" w:hAnsi="Times New Roman" w:eastAsia="宋体" w:cs="Times New Roman"/>
                <w:color w:val="auto"/>
                <w:highlight w:val="none"/>
                <w:lang w:val="en-US" w:eastAsia="zh-CN"/>
              </w:rPr>
              <w:t>项目完成</w:t>
            </w:r>
            <w:r>
              <w:rPr>
                <w:rFonts w:hint="default" w:ascii="Times New Roman" w:hAnsi="Times New Roman" w:eastAsia="宋体" w:cs="Times New Roman"/>
                <w:bCs/>
                <w:color w:val="auto"/>
                <w:szCs w:val="21"/>
                <w:highlight w:val="none"/>
                <w:lang w:val="en-US" w:eastAsia="zh-CN"/>
              </w:rPr>
              <w:t>后，全厂</w:t>
            </w:r>
            <w:r>
              <w:rPr>
                <w:rFonts w:hint="eastAsia" w:ascii="Times New Roman" w:hAnsi="Times New Roman" w:eastAsia="宋体" w:cs="Times New Roman"/>
                <w:bCs/>
                <w:color w:val="auto"/>
                <w:szCs w:val="21"/>
                <w:highlight w:val="none"/>
                <w:lang w:val="en-US" w:eastAsia="zh-CN"/>
              </w:rPr>
              <w:t>废气有组织+无组织</w:t>
            </w:r>
            <w:r>
              <w:rPr>
                <w:rFonts w:hint="default" w:ascii="Times New Roman" w:hAnsi="Times New Roman" w:eastAsia="宋体" w:cs="Times New Roman"/>
                <w:bCs/>
                <w:color w:val="auto"/>
                <w:szCs w:val="21"/>
                <w:highlight w:val="none"/>
                <w:lang w:val="en-US" w:eastAsia="zh-CN"/>
              </w:rPr>
              <w:t>排放量为</w:t>
            </w:r>
            <w:r>
              <w:rPr>
                <w:rFonts w:hint="eastAsia" w:ascii="Times New Roman" w:hAnsi="Times New Roman" w:eastAsia="宋体" w:cs="Times New Roman"/>
                <w:bCs/>
                <w:color w:val="auto"/>
                <w:szCs w:val="21"/>
                <w:highlight w:val="none"/>
                <w:lang w:val="en-US" w:eastAsia="zh-CN"/>
              </w:rPr>
              <w:t>颗粒物</w:t>
            </w:r>
            <w:r>
              <w:rPr>
                <w:rFonts w:hint="eastAsia" w:cs="Times New Roman"/>
                <w:bCs/>
                <w:color w:val="auto"/>
                <w:szCs w:val="21"/>
                <w:highlight w:val="none"/>
                <w:lang w:val="en-US" w:eastAsia="zh-CN"/>
              </w:rPr>
              <w:t>16.1322</w:t>
            </w:r>
            <w:r>
              <w:rPr>
                <w:rFonts w:hint="eastAsia" w:ascii="Times New Roman" w:hAnsi="Times New Roman" w:eastAsia="宋体" w:cs="Times New Roman"/>
                <w:bCs/>
                <w:color w:val="auto"/>
                <w:szCs w:val="21"/>
                <w:highlight w:val="none"/>
              </w:rPr>
              <w:t>t/a</w:t>
            </w:r>
            <w:r>
              <w:rPr>
                <w:rFonts w:hint="eastAsia" w:ascii="Times New Roman" w:hAnsi="Times New Roman" w:eastAsia="宋体" w:cs="Times New Roman"/>
                <w:bCs/>
                <w:color w:val="auto"/>
                <w:szCs w:val="21"/>
                <w:highlight w:val="none"/>
                <w:lang w:eastAsia="zh-CN"/>
              </w:rPr>
              <w:t>、氮氧化物</w:t>
            </w:r>
            <w:r>
              <w:rPr>
                <w:rFonts w:hint="eastAsia" w:cs="Times New Roman"/>
                <w:bCs/>
                <w:color w:val="auto"/>
                <w:szCs w:val="21"/>
                <w:highlight w:val="none"/>
                <w:lang w:val="en-US" w:eastAsia="zh-CN"/>
              </w:rPr>
              <w:t>38.4286</w:t>
            </w:r>
            <w:r>
              <w:rPr>
                <w:rFonts w:hint="eastAsia" w:ascii="Times New Roman" w:hAnsi="Times New Roman" w:eastAsia="宋体" w:cs="Times New Roman"/>
                <w:bCs/>
                <w:color w:val="auto"/>
                <w:szCs w:val="21"/>
                <w:highlight w:val="none"/>
              </w:rPr>
              <w:t>t/a</w:t>
            </w:r>
            <w:r>
              <w:rPr>
                <w:rFonts w:hint="eastAsia" w:ascii="Times New Roman" w:hAnsi="Times New Roman" w:eastAsia="宋体" w:cs="Times New Roman"/>
                <w:bCs/>
                <w:color w:val="auto"/>
                <w:szCs w:val="21"/>
                <w:highlight w:val="none"/>
                <w:lang w:eastAsia="zh-CN"/>
              </w:rPr>
              <w:t>、二氧化硫</w:t>
            </w:r>
            <w:r>
              <w:rPr>
                <w:rFonts w:hint="eastAsia" w:cs="Times New Roman"/>
                <w:bCs/>
                <w:color w:val="auto"/>
                <w:szCs w:val="21"/>
                <w:highlight w:val="none"/>
                <w:lang w:val="en-US" w:eastAsia="zh-CN"/>
              </w:rPr>
              <w:t>8.22</w:t>
            </w:r>
            <w:r>
              <w:rPr>
                <w:rFonts w:hint="eastAsia" w:ascii="Times New Roman" w:hAnsi="Times New Roman" w:eastAsia="宋体" w:cs="Times New Roman"/>
                <w:bCs/>
                <w:color w:val="auto"/>
                <w:szCs w:val="21"/>
                <w:highlight w:val="none"/>
              </w:rPr>
              <w:t>t/a</w:t>
            </w:r>
            <w:r>
              <w:rPr>
                <w:rFonts w:hint="eastAsia" w:ascii="Times New Roman" w:hAnsi="Times New Roman" w:eastAsia="宋体" w:cs="Times New Roman"/>
                <w:bCs/>
                <w:color w:val="auto"/>
                <w:szCs w:val="21"/>
                <w:highlight w:val="none"/>
                <w:lang w:eastAsia="zh-CN"/>
              </w:rPr>
              <w:t>、</w:t>
            </w:r>
            <w:r>
              <w:rPr>
                <w:rFonts w:hint="eastAsia" w:ascii="Times New Roman" w:hAnsi="Times New Roman" w:eastAsia="宋体" w:cs="Times New Roman"/>
                <w:bCs/>
                <w:color w:val="auto"/>
                <w:szCs w:val="21"/>
                <w:highlight w:val="none"/>
                <w:lang w:val="en-US" w:eastAsia="zh-CN"/>
              </w:rPr>
              <w:t>非甲烷总烃0.0011</w:t>
            </w:r>
            <w:r>
              <w:rPr>
                <w:rFonts w:hint="eastAsia" w:ascii="Times New Roman" w:hAnsi="Times New Roman" w:eastAsia="宋体" w:cs="Times New Roman"/>
                <w:bCs/>
                <w:color w:val="auto"/>
                <w:szCs w:val="21"/>
                <w:highlight w:val="none"/>
              </w:rPr>
              <w:t>t/a</w:t>
            </w:r>
          </w:p>
          <w:p>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jc w:val="left"/>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lang w:val="en-US" w:eastAsia="zh-CN"/>
              </w:rPr>
              <w:t>水污染物：</w:t>
            </w:r>
            <w:r>
              <w:rPr>
                <w:rFonts w:hint="eastAsia" w:ascii="Times New Roman" w:hAnsi="Times New Roman" w:eastAsia="宋体" w:cs="Times New Roman"/>
                <w:color w:val="auto"/>
                <w:highlight w:val="none"/>
                <w:lang w:val="en-US" w:eastAsia="zh-CN"/>
              </w:rPr>
              <w:t>本次</w:t>
            </w:r>
            <w:r>
              <w:rPr>
                <w:rFonts w:hint="eastAsia" w:ascii="宋体" w:hAnsi="宋体" w:cs="宋体"/>
                <w:color w:val="auto"/>
                <w:highlight w:val="none"/>
                <w:lang w:eastAsia="zh-CN"/>
              </w:rPr>
              <w:t>改扩建</w:t>
            </w:r>
            <w:r>
              <w:rPr>
                <w:rFonts w:hint="eastAsia" w:ascii="Times New Roman" w:hAnsi="Times New Roman" w:eastAsia="宋体" w:cs="Times New Roman"/>
                <w:color w:val="auto"/>
                <w:highlight w:val="none"/>
                <w:lang w:val="en-US" w:eastAsia="zh-CN"/>
              </w:rPr>
              <w:t>项目</w:t>
            </w:r>
            <w:r>
              <w:rPr>
                <w:rFonts w:hint="eastAsia" w:cs="Times New Roman"/>
                <w:color w:val="auto"/>
                <w:highlight w:val="none"/>
                <w:lang w:val="en-US" w:eastAsia="zh-CN"/>
              </w:rPr>
              <w:t>新增</w:t>
            </w:r>
            <w:r>
              <w:rPr>
                <w:rFonts w:hint="eastAsia" w:ascii="Times New Roman" w:hAnsi="Times New Roman" w:eastAsia="宋体" w:cs="Times New Roman"/>
                <w:color w:val="auto"/>
                <w:highlight w:val="none"/>
                <w:lang w:val="en-US" w:eastAsia="zh-CN"/>
              </w:rPr>
              <w:t>废水排放量为3216t/a，污染物排放量为化学需氧量</w:t>
            </w:r>
            <w:r>
              <w:rPr>
                <w:rFonts w:hint="default" w:ascii="Times New Roman" w:hAnsi="Times New Roman" w:eastAsia="宋体" w:cs="Times New Roman"/>
                <w:color w:val="auto"/>
                <w:highlight w:val="none"/>
                <w:lang w:val="en-US" w:eastAsia="zh-CN"/>
              </w:rPr>
              <w:t>0.9024</w:t>
            </w:r>
            <w:r>
              <w:rPr>
                <w:rFonts w:hint="eastAsia" w:ascii="Times New Roman" w:hAnsi="Times New Roman" w:eastAsia="宋体" w:cs="Times New Roman"/>
                <w:color w:val="auto"/>
                <w:highlight w:val="none"/>
                <w:lang w:val="en-US" w:eastAsia="zh-CN"/>
              </w:rPr>
              <w:t>t/a、氨氮：</w:t>
            </w:r>
            <w:r>
              <w:rPr>
                <w:rFonts w:hint="default" w:ascii="Times New Roman" w:hAnsi="Times New Roman" w:eastAsia="宋体" w:cs="Times New Roman"/>
                <w:color w:val="auto"/>
                <w:highlight w:val="none"/>
                <w:lang w:val="en-US" w:eastAsia="zh-CN"/>
              </w:rPr>
              <w:t>0.0893</w:t>
            </w:r>
            <w:r>
              <w:rPr>
                <w:rFonts w:hint="eastAsia" w:ascii="Times New Roman" w:hAnsi="Times New Roman" w:eastAsia="宋体" w:cs="Times New Roman"/>
                <w:color w:val="auto"/>
                <w:highlight w:val="none"/>
                <w:lang w:val="en-US" w:eastAsia="zh-CN"/>
              </w:rPr>
              <w:t>t/a、总磷：</w:t>
            </w:r>
            <w:r>
              <w:rPr>
                <w:rFonts w:hint="default" w:ascii="Times New Roman" w:hAnsi="Times New Roman" w:eastAsia="宋体" w:cs="Times New Roman"/>
                <w:color w:val="auto"/>
                <w:highlight w:val="none"/>
                <w:lang w:val="en-US" w:eastAsia="zh-CN"/>
              </w:rPr>
              <w:t>0.0119</w:t>
            </w:r>
            <w:r>
              <w:rPr>
                <w:rFonts w:hint="eastAsia" w:ascii="Times New Roman" w:hAnsi="Times New Roman" w:eastAsia="宋体" w:cs="Times New Roman"/>
                <w:color w:val="auto"/>
                <w:highlight w:val="none"/>
                <w:lang w:val="en-US" w:eastAsia="zh-CN"/>
              </w:rPr>
              <w:t>t/a、总氮：</w:t>
            </w:r>
            <w:r>
              <w:rPr>
                <w:rFonts w:hint="default" w:ascii="Times New Roman" w:hAnsi="Times New Roman" w:eastAsia="宋体" w:cs="Times New Roman"/>
                <w:color w:val="auto"/>
                <w:highlight w:val="none"/>
                <w:lang w:val="en-US" w:eastAsia="zh-CN"/>
              </w:rPr>
              <w:t>0.1339</w:t>
            </w:r>
            <w:r>
              <w:rPr>
                <w:rFonts w:hint="eastAsia" w:ascii="Times New Roman" w:hAnsi="Times New Roman" w:eastAsia="宋体" w:cs="Times New Roman"/>
                <w:color w:val="auto"/>
                <w:highlight w:val="none"/>
                <w:lang w:val="en-US" w:eastAsia="zh-CN"/>
              </w:rPr>
              <w:t>t/a。如皋市富港水处理有限公司对污水进行深度处理后，污染物最终排放量化学需氧量：</w:t>
            </w:r>
            <w:r>
              <w:rPr>
                <w:rFonts w:hint="default" w:ascii="Times New Roman" w:hAnsi="Times New Roman" w:eastAsia="宋体" w:cs="Times New Roman"/>
                <w:color w:val="auto"/>
                <w:highlight w:val="none"/>
                <w:lang w:val="en-US" w:eastAsia="zh-CN"/>
              </w:rPr>
              <w:t>0.1608</w:t>
            </w:r>
            <w:r>
              <w:rPr>
                <w:rFonts w:hint="eastAsia" w:ascii="Times New Roman" w:hAnsi="Times New Roman" w:eastAsia="宋体" w:cs="Times New Roman"/>
                <w:color w:val="auto"/>
                <w:highlight w:val="none"/>
                <w:lang w:val="en-US" w:eastAsia="zh-CN"/>
              </w:rPr>
              <w:t>t/a、氨氮：</w:t>
            </w:r>
            <w:r>
              <w:rPr>
                <w:rFonts w:hint="default" w:ascii="Times New Roman" w:hAnsi="Times New Roman" w:eastAsia="宋体" w:cs="Times New Roman"/>
                <w:color w:val="auto"/>
                <w:highlight w:val="none"/>
                <w:lang w:val="en-US" w:eastAsia="zh-CN"/>
              </w:rPr>
              <w:t>0.0161</w:t>
            </w:r>
            <w:r>
              <w:rPr>
                <w:rFonts w:hint="eastAsia" w:ascii="Times New Roman" w:hAnsi="Times New Roman" w:eastAsia="宋体" w:cs="Times New Roman"/>
                <w:color w:val="auto"/>
                <w:highlight w:val="none"/>
                <w:lang w:val="en-US" w:eastAsia="zh-CN"/>
              </w:rPr>
              <w:t>t/a、总磷：</w:t>
            </w:r>
            <w:r>
              <w:rPr>
                <w:rFonts w:hint="default" w:ascii="Times New Roman" w:hAnsi="Times New Roman" w:eastAsia="宋体" w:cs="Times New Roman"/>
                <w:color w:val="auto"/>
                <w:highlight w:val="none"/>
                <w:lang w:val="en-US" w:eastAsia="zh-CN"/>
              </w:rPr>
              <w:t>0.0016</w:t>
            </w:r>
            <w:r>
              <w:rPr>
                <w:rFonts w:hint="eastAsia" w:ascii="Times New Roman" w:hAnsi="Times New Roman" w:eastAsia="宋体" w:cs="Times New Roman"/>
                <w:color w:val="auto"/>
                <w:highlight w:val="none"/>
                <w:lang w:val="en-US" w:eastAsia="zh-CN"/>
              </w:rPr>
              <w:t>t/a、总氮：</w:t>
            </w:r>
            <w:r>
              <w:rPr>
                <w:rFonts w:hint="default" w:ascii="Times New Roman" w:hAnsi="Times New Roman" w:eastAsia="宋体" w:cs="Times New Roman"/>
                <w:color w:val="auto"/>
                <w:highlight w:val="none"/>
                <w:lang w:val="en-US" w:eastAsia="zh-CN"/>
              </w:rPr>
              <w:t>0.0482</w:t>
            </w:r>
            <w:r>
              <w:rPr>
                <w:rFonts w:hint="eastAsia" w:ascii="Times New Roman" w:hAnsi="Times New Roman" w:eastAsia="宋体" w:cs="Times New Roman"/>
                <w:color w:val="auto"/>
                <w:highlight w:val="none"/>
                <w:lang w:val="en-US" w:eastAsia="zh-CN"/>
              </w:rPr>
              <w:t>t/a。</w:t>
            </w:r>
          </w:p>
          <w:p>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jc w:val="left"/>
              <w:textAlignment w:val="auto"/>
              <w:rPr>
                <w:rFonts w:hint="eastAsia"/>
                <w:bCs/>
                <w:color w:val="FF0000"/>
                <w:szCs w:val="21"/>
                <w:highlight w:val="yellow"/>
              </w:rPr>
            </w:pPr>
            <w:r>
              <w:rPr>
                <w:rFonts w:hint="eastAsia" w:ascii="宋体" w:hAnsi="宋体" w:cs="宋体"/>
                <w:color w:val="auto"/>
                <w:highlight w:val="none"/>
                <w:lang w:eastAsia="zh-CN"/>
              </w:rPr>
              <w:t>改扩建</w:t>
            </w:r>
            <w:r>
              <w:rPr>
                <w:rFonts w:hint="default" w:ascii="Times New Roman" w:hAnsi="Times New Roman" w:eastAsia="宋体" w:cs="Times New Roman"/>
                <w:color w:val="auto"/>
                <w:highlight w:val="none"/>
                <w:lang w:val="en-US" w:eastAsia="zh-CN"/>
              </w:rPr>
              <w:t>项目完成后，全厂废水排放量为</w:t>
            </w:r>
            <w:r>
              <w:rPr>
                <w:rFonts w:hint="eastAsia" w:ascii="Times New Roman" w:hAnsi="Times New Roman" w:eastAsia="宋体" w:cs="Times New Roman"/>
                <w:color w:val="auto"/>
                <w:highlight w:val="none"/>
                <w:lang w:val="en-US" w:eastAsia="zh-CN"/>
              </w:rPr>
              <w:t>6900</w:t>
            </w:r>
            <w:r>
              <w:rPr>
                <w:rFonts w:hint="default" w:ascii="Times New Roman" w:hAnsi="Times New Roman" w:eastAsia="宋体" w:cs="Times New Roman"/>
                <w:color w:val="auto"/>
                <w:highlight w:val="none"/>
                <w:lang w:val="en-US" w:eastAsia="zh-CN"/>
              </w:rPr>
              <w:t>t/a，</w:t>
            </w:r>
            <w:r>
              <w:rPr>
                <w:rFonts w:hint="eastAsia" w:ascii="Times New Roman" w:hAnsi="Times New Roman" w:eastAsia="宋体" w:cs="Times New Roman"/>
                <w:color w:val="auto"/>
                <w:highlight w:val="none"/>
                <w:lang w:val="en-US" w:eastAsia="zh-CN"/>
              </w:rPr>
              <w:t>如皋市富港水处理有限公司</w:t>
            </w:r>
            <w:r>
              <w:rPr>
                <w:rFonts w:hint="default" w:ascii="Times New Roman" w:hAnsi="Times New Roman" w:eastAsia="宋体" w:cs="Times New Roman"/>
                <w:color w:val="auto"/>
                <w:highlight w:val="none"/>
                <w:lang w:val="en-US" w:eastAsia="zh-CN"/>
              </w:rPr>
              <w:t>对污水进行深度处理后，污染物最终排入环境量：化学需氧量：0.3450t/a、氨氮：0.0345t/a、总磷：0.0035t/a、总氮：0.1035t/a。</w:t>
            </w:r>
          </w:p>
          <w:p>
            <w:pPr>
              <w:adjustRightInd w:val="0"/>
              <w:snapToGrid w:val="0"/>
              <w:spacing w:line="500" w:lineRule="exact"/>
              <w:ind w:firstLine="420" w:firstLineChars="200"/>
              <w:rPr>
                <w:rFonts w:hint="eastAsia" w:ascii="Times New Roman" w:hAnsi="Times New Roman" w:eastAsia="宋体" w:cs="Times New Roman"/>
                <w:color w:val="auto"/>
                <w:szCs w:val="21"/>
              </w:rPr>
            </w:pPr>
            <w:r>
              <w:rPr>
                <w:rFonts w:hint="eastAsia"/>
                <w:color w:val="auto"/>
                <w:lang w:eastAsia="zh-CN"/>
              </w:rPr>
              <w:t>本</w:t>
            </w:r>
            <w:r>
              <w:rPr>
                <w:rFonts w:hint="eastAsia"/>
                <w:color w:val="auto"/>
              </w:rPr>
              <w:t>项目“</w:t>
            </w:r>
            <w:r>
              <w:rPr>
                <w:rFonts w:hint="eastAsia"/>
                <w:color w:val="auto"/>
                <w:szCs w:val="21"/>
                <w:lang w:val="en-US" w:eastAsia="zh-CN"/>
              </w:rPr>
              <w:t>高端风电主轴及零部件绿色化智能化升级改造扩产项目</w:t>
            </w:r>
            <w:r>
              <w:rPr>
                <w:rFonts w:hint="eastAsia"/>
                <w:color w:val="auto"/>
              </w:rPr>
              <w:t>”属于“</w:t>
            </w:r>
            <w:r>
              <w:rPr>
                <w:rFonts w:hint="eastAsia"/>
                <w:color w:val="auto"/>
                <w:lang w:eastAsia="zh-CN"/>
              </w:rPr>
              <w:t>二十八</w:t>
            </w:r>
            <w:r>
              <w:rPr>
                <w:rFonts w:hint="eastAsia"/>
                <w:color w:val="auto"/>
              </w:rPr>
              <w:t>、金属制品业 33—</w:t>
            </w:r>
            <w:r>
              <w:rPr>
                <w:rFonts w:hint="eastAsia"/>
                <w:color w:val="auto"/>
                <w:lang w:val="en-US" w:eastAsia="zh-CN"/>
              </w:rPr>
              <w:t>80</w:t>
            </w:r>
            <w:r>
              <w:rPr>
                <w:rFonts w:hint="eastAsia"/>
                <w:color w:val="auto"/>
              </w:rPr>
              <w:t>、铸造及其他金属制品制造 339——</w:t>
            </w:r>
            <w:r>
              <w:rPr>
                <w:rFonts w:ascii="宋体" w:hAnsi="宋体" w:eastAsia="宋体" w:cs="宋体"/>
                <w:b w:val="0"/>
                <w:bCs w:val="0"/>
                <w:color w:val="auto"/>
                <w:sz w:val="21"/>
                <w:szCs w:val="21"/>
              </w:rPr>
              <w:t>涉及通用工序简化管理的</w:t>
            </w:r>
            <w:r>
              <w:rPr>
                <w:rFonts w:hint="eastAsia"/>
                <w:color w:val="auto"/>
              </w:rPr>
              <w:t>，</w:t>
            </w:r>
            <w:r>
              <w:rPr>
                <w:rFonts w:hint="eastAsia"/>
                <w:color w:val="auto"/>
                <w:lang w:eastAsia="zh-CN"/>
              </w:rPr>
              <w:t>根据</w:t>
            </w:r>
            <w:r>
              <w:rPr>
                <w:rFonts w:hint="eastAsia"/>
                <w:color w:val="auto"/>
              </w:rPr>
              <w:t>《固定污染源排污许可分类管理名录》（2019年版）</w:t>
            </w:r>
            <w:r>
              <w:rPr>
                <w:rFonts w:hint="eastAsia"/>
                <w:color w:val="auto"/>
                <w:lang w:eastAsia="zh-CN"/>
              </w:rPr>
              <w:t>企业不在重点排污单位名录内，涉及通用工序</w:t>
            </w:r>
            <w:r>
              <w:rPr>
                <w:rFonts w:ascii="宋体" w:hAnsi="宋体" w:eastAsia="宋体" w:cs="宋体"/>
                <w:b w:val="0"/>
                <w:bCs w:val="0"/>
                <w:color w:val="auto"/>
                <w:sz w:val="21"/>
                <w:szCs w:val="21"/>
              </w:rPr>
              <w:t>表面处理</w:t>
            </w:r>
            <w:r>
              <w:rPr>
                <w:rFonts w:hint="eastAsia"/>
                <w:color w:val="auto"/>
                <w:lang w:eastAsia="zh-CN"/>
              </w:rPr>
              <w:t>中淬火，所以本项目</w:t>
            </w:r>
            <w:r>
              <w:rPr>
                <w:rFonts w:hint="eastAsia"/>
                <w:color w:val="auto"/>
              </w:rPr>
              <w:t>为</w:t>
            </w:r>
            <w:r>
              <w:rPr>
                <w:rFonts w:hint="eastAsia"/>
                <w:color w:val="auto"/>
                <w:lang w:eastAsia="zh-CN"/>
              </w:rPr>
              <w:t>简化管理。</w:t>
            </w:r>
            <w:r>
              <w:rPr>
                <w:rFonts w:hint="eastAsia"/>
                <w:color w:val="auto"/>
              </w:rPr>
              <w:t>因此，本项目需办理</w:t>
            </w:r>
            <w:r>
              <w:rPr>
                <w:rFonts w:hint="eastAsia"/>
                <w:color w:val="auto"/>
                <w:szCs w:val="21"/>
                <w:lang w:val="zh-CN"/>
              </w:rPr>
              <w:t>《建设项目主要污染物排放总量指标预报单》作为环评附件。</w:t>
            </w:r>
          </w:p>
          <w:p>
            <w:pPr>
              <w:spacing w:line="500" w:lineRule="exact"/>
              <w:ind w:firstLine="422" w:firstLineChars="200"/>
              <w:rPr>
                <w:rFonts w:hint="eastAsia" w:ascii="Times New Roman" w:hAnsi="Times New Roman" w:eastAsia="宋体" w:cs="Times New Roman"/>
                <w:b/>
                <w:bCs w:val="0"/>
                <w:color w:val="auto"/>
                <w:szCs w:val="21"/>
                <w:lang w:eastAsia="zh-CN"/>
              </w:rPr>
            </w:pPr>
            <w:r>
              <w:rPr>
                <w:rFonts w:hint="eastAsia" w:ascii="Times New Roman" w:hAnsi="Times New Roman" w:eastAsia="宋体" w:cs="Times New Roman"/>
                <w:b/>
                <w:bCs w:val="0"/>
                <w:color w:val="auto"/>
                <w:szCs w:val="21"/>
              </w:rPr>
              <w:t>废气污染物排放量核算</w:t>
            </w:r>
            <w:r>
              <w:rPr>
                <w:rFonts w:hint="eastAsia" w:ascii="Times New Roman" w:hAnsi="Times New Roman" w:eastAsia="宋体" w:cs="Times New Roman"/>
                <w:b/>
                <w:bCs w:val="0"/>
                <w:color w:val="auto"/>
                <w:szCs w:val="21"/>
                <w:lang w:eastAsia="zh-CN"/>
              </w:rPr>
              <w:t>：</w:t>
            </w:r>
          </w:p>
          <w:p>
            <w:pPr>
              <w:keepNext w:val="0"/>
              <w:keepLines w:val="0"/>
              <w:pageBreakBefore w:val="0"/>
              <w:widowControl w:val="0"/>
              <w:kinsoku/>
              <w:wordWrap/>
              <w:overflowPunct/>
              <w:topLinePunct w:val="0"/>
              <w:autoSpaceDE/>
              <w:autoSpaceDN/>
              <w:bidi w:val="0"/>
              <w:adjustRightInd/>
              <w:snapToGrid/>
              <w:spacing w:line="500" w:lineRule="exact"/>
              <w:ind w:firstLine="411" w:firstLineChars="196"/>
              <w:jc w:val="left"/>
              <w:textAlignment w:val="auto"/>
              <w:rPr>
                <w:rFonts w:hint="eastAsia"/>
                <w:color w:val="auto"/>
              </w:rPr>
            </w:pPr>
            <w:r>
              <w:rPr>
                <w:rFonts w:hint="eastAsia"/>
                <w:color w:val="auto"/>
              </w:rPr>
              <w:t>根据《关于印发&lt;关于进一步优化建设项目排污总量指标管理提升环评审批效能》的意见（试行）&gt;的通知》（通环办</w:t>
            </w:r>
            <w:r>
              <w:rPr>
                <w:rFonts w:hint="eastAsia"/>
                <w:color w:val="auto"/>
                <w:lang w:eastAsia="zh-CN"/>
              </w:rPr>
              <w:t>〔2023〕132号</w:t>
            </w:r>
            <w:r>
              <w:rPr>
                <w:rFonts w:hint="eastAsia"/>
                <w:color w:val="auto"/>
              </w:rPr>
              <w:t>）要求，本项目需对废气污染物总量控制因子排放量进行核算。参照</w:t>
            </w:r>
            <w:r>
              <w:rPr>
                <w:rFonts w:hint="eastAsia" w:ascii="Times New Roman" w:hAnsi="Times New Roman" w:eastAsia="宋体" w:cs="Times New Roman"/>
                <w:color w:val="auto"/>
                <w:lang w:eastAsia="zh-CN"/>
              </w:rPr>
              <w:t>《排污许可证申请与核发技术规范 工业炉窑》（HJ1121-2020）、</w:t>
            </w:r>
            <w:r>
              <w:rPr>
                <w:rFonts w:hint="eastAsia"/>
                <w:color w:val="auto"/>
                <w:szCs w:val="21"/>
              </w:rPr>
              <w:t>《排污许可证申请与核发技术规范 总则》（HJ942-2018）</w:t>
            </w:r>
            <w:r>
              <w:rPr>
                <w:rFonts w:hint="eastAsia"/>
                <w:color w:val="auto"/>
              </w:rPr>
              <w:t>对本项目废气污染物总量控制因子</w:t>
            </w:r>
            <w:r>
              <w:rPr>
                <w:rFonts w:hint="eastAsia"/>
                <w:color w:val="auto"/>
                <w:lang w:val="en-US" w:eastAsia="zh-CN"/>
              </w:rPr>
              <w:t>颗粒物、SO</w:t>
            </w:r>
            <w:r>
              <w:rPr>
                <w:rFonts w:hint="eastAsia"/>
                <w:color w:val="auto"/>
                <w:vertAlign w:val="subscript"/>
                <w:lang w:val="en-US" w:eastAsia="zh-CN"/>
              </w:rPr>
              <w:t>2</w:t>
            </w:r>
            <w:r>
              <w:rPr>
                <w:rFonts w:hint="eastAsia"/>
                <w:color w:val="auto"/>
                <w:lang w:val="en-US" w:eastAsia="zh-CN"/>
              </w:rPr>
              <w:t>、NOx、</w:t>
            </w:r>
            <w:r>
              <w:rPr>
                <w:rFonts w:hint="eastAsia"/>
                <w:color w:val="auto"/>
              </w:rPr>
              <w:t>VOCs排放量进行核算。</w:t>
            </w:r>
          </w:p>
          <w:p>
            <w:pPr>
              <w:keepNext w:val="0"/>
              <w:keepLines w:val="0"/>
              <w:pageBreakBefore w:val="0"/>
              <w:widowControl w:val="0"/>
              <w:kinsoku/>
              <w:wordWrap/>
              <w:overflowPunct/>
              <w:topLinePunct w:val="0"/>
              <w:autoSpaceDE/>
              <w:autoSpaceDN/>
              <w:bidi w:val="0"/>
              <w:adjustRightInd/>
              <w:snapToGrid/>
              <w:spacing w:line="500" w:lineRule="exact"/>
              <w:ind w:firstLine="411" w:firstLineChars="196"/>
              <w:jc w:val="left"/>
              <w:textAlignment w:val="auto"/>
              <w:rPr>
                <w:rFonts w:hint="eastAsia"/>
                <w:color w:val="auto"/>
              </w:rPr>
            </w:pPr>
            <w:r>
              <w:rPr>
                <w:rFonts w:hint="eastAsia"/>
                <w:color w:val="auto"/>
              </w:rPr>
              <w:t>1、有组织废气排放量核算</w:t>
            </w:r>
          </w:p>
          <w:p>
            <w:pPr>
              <w:keepNext w:val="0"/>
              <w:keepLines w:val="0"/>
              <w:pageBreakBefore w:val="0"/>
              <w:widowControl w:val="0"/>
              <w:kinsoku/>
              <w:wordWrap/>
              <w:overflowPunct/>
              <w:topLinePunct w:val="0"/>
              <w:autoSpaceDE/>
              <w:autoSpaceDN/>
              <w:bidi w:val="0"/>
              <w:adjustRightInd/>
              <w:snapToGrid/>
              <w:spacing w:line="500" w:lineRule="exact"/>
              <w:ind w:firstLine="411" w:firstLineChars="196"/>
              <w:jc w:val="left"/>
              <w:textAlignment w:val="auto"/>
              <w:rPr>
                <w:rFonts w:hint="default" w:eastAsia="宋体"/>
                <w:color w:val="auto"/>
                <w:lang w:val="en-US" w:eastAsia="zh-CN"/>
              </w:rPr>
            </w:pPr>
            <w:r>
              <w:rPr>
                <w:rFonts w:hint="eastAsia"/>
                <w:color w:val="auto"/>
              </w:rPr>
              <w:t>（1）DA001</w:t>
            </w:r>
            <w:r>
              <w:rPr>
                <w:rFonts w:hint="eastAsia"/>
                <w:color w:val="auto"/>
                <w:lang w:val="en-US" w:eastAsia="zh-CN"/>
              </w:rPr>
              <w:t>、</w:t>
            </w:r>
            <w:r>
              <w:rPr>
                <w:rFonts w:hint="eastAsia"/>
                <w:color w:val="auto"/>
              </w:rPr>
              <w:t>DA00</w:t>
            </w:r>
            <w:r>
              <w:rPr>
                <w:rFonts w:hint="eastAsia"/>
                <w:color w:val="auto"/>
                <w:lang w:val="en-US" w:eastAsia="zh-CN"/>
              </w:rPr>
              <w:t>7、</w:t>
            </w:r>
            <w:r>
              <w:rPr>
                <w:rFonts w:hint="eastAsia"/>
                <w:color w:val="auto"/>
              </w:rPr>
              <w:t>DA00</w:t>
            </w:r>
            <w:r>
              <w:rPr>
                <w:rFonts w:hint="eastAsia"/>
                <w:color w:val="auto"/>
                <w:lang w:val="en-US" w:eastAsia="zh-CN"/>
              </w:rPr>
              <w:t>3、</w:t>
            </w:r>
            <w:r>
              <w:rPr>
                <w:rFonts w:hint="eastAsia"/>
                <w:color w:val="auto"/>
              </w:rPr>
              <w:t>DA00</w:t>
            </w:r>
            <w:r>
              <w:rPr>
                <w:rFonts w:hint="eastAsia"/>
                <w:color w:val="auto"/>
                <w:lang w:val="en-US" w:eastAsia="zh-CN"/>
              </w:rPr>
              <w:t>8、</w:t>
            </w:r>
            <w:r>
              <w:rPr>
                <w:rFonts w:hint="eastAsia"/>
                <w:color w:val="auto"/>
              </w:rPr>
              <w:t>DA00</w:t>
            </w:r>
            <w:r>
              <w:rPr>
                <w:rFonts w:hint="eastAsia"/>
                <w:color w:val="auto"/>
                <w:lang w:val="en-US" w:eastAsia="zh-CN"/>
              </w:rPr>
              <w:t>4、</w:t>
            </w:r>
            <w:r>
              <w:rPr>
                <w:rFonts w:hint="eastAsia"/>
                <w:color w:val="auto"/>
              </w:rPr>
              <w:t>DA00</w:t>
            </w:r>
            <w:r>
              <w:rPr>
                <w:rFonts w:hint="eastAsia"/>
                <w:color w:val="auto"/>
                <w:lang w:val="en-US" w:eastAsia="zh-CN"/>
              </w:rPr>
              <w:t>5、DA009</w:t>
            </w:r>
          </w:p>
          <w:p>
            <w:pPr>
              <w:keepNext w:val="0"/>
              <w:keepLines w:val="0"/>
              <w:pageBreakBefore w:val="0"/>
              <w:widowControl w:val="0"/>
              <w:kinsoku/>
              <w:wordWrap/>
              <w:overflowPunct/>
              <w:topLinePunct w:val="0"/>
              <w:autoSpaceDE/>
              <w:autoSpaceDN/>
              <w:bidi w:val="0"/>
              <w:adjustRightInd/>
              <w:snapToGrid/>
              <w:spacing w:line="500" w:lineRule="exact"/>
              <w:ind w:firstLine="411" w:firstLineChars="196"/>
              <w:textAlignment w:val="auto"/>
              <w:rPr>
                <w:color w:val="auto"/>
              </w:rPr>
            </w:pPr>
            <w:r>
              <w:rPr>
                <w:color w:val="auto"/>
              </w:rPr>
              <w:t>本</w:t>
            </w:r>
            <w:r>
              <w:rPr>
                <w:rFonts w:hint="eastAsia"/>
                <w:color w:val="auto"/>
              </w:rPr>
              <w:t>项目</w:t>
            </w:r>
            <w:r>
              <w:rPr>
                <w:color w:val="auto"/>
              </w:rPr>
              <w:t>共</w:t>
            </w:r>
            <w:r>
              <w:rPr>
                <w:rFonts w:hint="eastAsia"/>
                <w:color w:val="auto"/>
                <w:lang w:val="en-US" w:eastAsia="zh-CN"/>
              </w:rPr>
              <w:t>7</w:t>
            </w:r>
            <w:r>
              <w:rPr>
                <w:color w:val="auto"/>
              </w:rPr>
              <w:t>个有组织废气排放口</w:t>
            </w:r>
            <w:r>
              <w:rPr>
                <w:rFonts w:hint="eastAsia"/>
                <w:color w:val="auto"/>
              </w:rPr>
              <w:t>，</w:t>
            </w:r>
            <w:r>
              <w:rPr>
                <w:color w:val="auto"/>
              </w:rPr>
              <w:t>对照</w:t>
            </w:r>
            <w:r>
              <w:rPr>
                <w:rFonts w:hint="eastAsia" w:ascii="Times New Roman" w:hAnsi="Times New Roman" w:eastAsia="宋体" w:cs="Times New Roman"/>
                <w:color w:val="auto"/>
                <w:lang w:eastAsia="zh-CN"/>
              </w:rPr>
              <w:t>《排污许可证申请与核发技术规范 工业炉窑》（HJ1121-2020）、</w:t>
            </w:r>
            <w:r>
              <w:rPr>
                <w:rFonts w:hint="eastAsia"/>
                <w:color w:val="auto"/>
                <w:szCs w:val="21"/>
              </w:rPr>
              <w:t>《排污许可证申请与核发技术规范 总则》（HJ942-2018）</w:t>
            </w:r>
            <w:r>
              <w:rPr>
                <w:rFonts w:hint="eastAsia"/>
                <w:color w:val="auto"/>
              </w:rPr>
              <w:t>，本项目废气排放口</w:t>
            </w:r>
            <w:r>
              <w:rPr>
                <w:rFonts w:hint="eastAsia"/>
                <w:color w:val="auto"/>
                <w:lang w:val="en-US" w:eastAsia="zh-CN"/>
              </w:rPr>
              <w:t>均</w:t>
            </w:r>
            <w:r>
              <w:rPr>
                <w:rFonts w:hint="eastAsia"/>
                <w:color w:val="auto"/>
              </w:rPr>
              <w:t>为一般废气排放口，需申请总量。</w:t>
            </w:r>
          </w:p>
          <w:p>
            <w:pPr>
              <w:keepNext w:val="0"/>
              <w:keepLines w:val="0"/>
              <w:pageBreakBefore w:val="0"/>
              <w:widowControl w:val="0"/>
              <w:kinsoku/>
              <w:wordWrap/>
              <w:overflowPunct/>
              <w:topLinePunct w:val="0"/>
              <w:autoSpaceDE/>
              <w:autoSpaceDN/>
              <w:bidi w:val="0"/>
              <w:adjustRightInd/>
              <w:snapToGrid/>
              <w:spacing w:line="500" w:lineRule="exact"/>
              <w:ind w:firstLine="411" w:firstLineChars="196"/>
              <w:jc w:val="left"/>
              <w:textAlignment w:val="auto"/>
              <w:rPr>
                <w:rFonts w:hint="eastAsia"/>
                <w:color w:val="auto"/>
              </w:rPr>
            </w:pPr>
            <w:r>
              <w:rPr>
                <w:rFonts w:hint="eastAsia"/>
                <w:color w:val="auto"/>
              </w:rPr>
              <w:t>排污单位的废气年许可排放量为各废气主要排放口许可排放量之和，本项目DA001</w:t>
            </w:r>
            <w:r>
              <w:rPr>
                <w:rFonts w:hint="eastAsia"/>
                <w:color w:val="auto"/>
                <w:lang w:val="en-US" w:eastAsia="zh-CN"/>
              </w:rPr>
              <w:t>~DA009均</w:t>
            </w:r>
            <w:r>
              <w:rPr>
                <w:rFonts w:hint="eastAsia"/>
                <w:color w:val="auto"/>
              </w:rPr>
              <w:t>为一般废气排放口，对照《关于印发&lt;关于进一步优化建设项目排污总量指标管理提升环评审批效能》的意见（试行）&gt;的通知》（通环办</w:t>
            </w:r>
            <w:r>
              <w:rPr>
                <w:rFonts w:hint="eastAsia"/>
                <w:color w:val="auto"/>
                <w:lang w:eastAsia="zh-CN"/>
              </w:rPr>
              <w:t>〔2023〕132号</w:t>
            </w:r>
            <w:r>
              <w:rPr>
                <w:rFonts w:hint="eastAsia"/>
                <w:color w:val="auto"/>
              </w:rPr>
              <w:t>）要求，环境影响报告书（表）中，污染源源强核算章节对污染物排放量的分析，应根据《排污许可申请与核发技术规范》分别明确主要排放口、一般排放口的排放量，因此本项目废气排放口虽为一般废气排放口，需参照主要排放口许可排放量确定方法进行核算。</w:t>
            </w:r>
          </w:p>
          <w:p>
            <w:pPr>
              <w:keepNext w:val="0"/>
              <w:keepLines w:val="0"/>
              <w:pageBreakBefore w:val="0"/>
              <w:widowControl w:val="0"/>
              <w:kinsoku/>
              <w:wordWrap/>
              <w:overflowPunct/>
              <w:topLinePunct w:val="0"/>
              <w:autoSpaceDE/>
              <w:autoSpaceDN/>
              <w:bidi w:val="0"/>
              <w:adjustRightInd/>
              <w:snapToGrid/>
              <w:spacing w:line="500" w:lineRule="exact"/>
              <w:ind w:firstLine="411" w:firstLineChars="196"/>
              <w:jc w:val="left"/>
              <w:textAlignment w:val="auto"/>
              <w:rPr>
                <w:rFonts w:hint="eastAsia"/>
                <w:color w:val="auto"/>
              </w:rPr>
            </w:pPr>
            <w:r>
              <w:rPr>
                <w:rFonts w:hint="eastAsia"/>
                <w:color w:val="auto"/>
              </w:rPr>
              <w:t>对照</w:t>
            </w:r>
            <w:r>
              <w:rPr>
                <w:rFonts w:hint="eastAsia" w:ascii="Times New Roman" w:hAnsi="Times New Roman" w:eastAsia="宋体" w:cs="Times New Roman"/>
                <w:color w:val="auto"/>
                <w:lang w:eastAsia="zh-CN"/>
              </w:rPr>
              <w:t>《排污许可证申请与核发技术规范 工业炉窑》（HJ1121-2020）、</w:t>
            </w:r>
            <w:r>
              <w:rPr>
                <w:rFonts w:hint="eastAsia"/>
                <w:color w:val="auto"/>
                <w:szCs w:val="21"/>
              </w:rPr>
              <w:t>《排污许可证申请与核发技术规范 总则》（HJ942-2018）</w:t>
            </w:r>
            <w:r>
              <w:rPr>
                <w:rFonts w:hint="eastAsia"/>
                <w:color w:val="auto"/>
              </w:rPr>
              <w:t>中废气年许可排放量核算方法进行核算，由于本项目无规定的基准排气量，因此无法按技术规范中的式（1）及式（2）核算，可按式（3）及式（4）计算，具体公式如下：</w:t>
            </w:r>
          </w:p>
          <w:p>
            <w:pPr>
              <w:keepNext w:val="0"/>
              <w:keepLines w:val="0"/>
              <w:pageBreakBefore w:val="0"/>
              <w:widowControl w:val="0"/>
              <w:kinsoku/>
              <w:wordWrap/>
              <w:overflowPunct/>
              <w:topLinePunct w:val="0"/>
              <w:autoSpaceDE/>
              <w:autoSpaceDN/>
              <w:bidi w:val="0"/>
              <w:adjustRightInd/>
              <w:snapToGrid/>
              <w:spacing w:line="500" w:lineRule="exact"/>
              <w:ind w:firstLine="411" w:firstLineChars="196"/>
              <w:jc w:val="center"/>
              <w:textAlignment w:val="auto"/>
              <w:rPr>
                <w:rFonts w:hint="eastAsia"/>
                <w:color w:val="auto"/>
              </w:rPr>
            </w:pPr>
            <w:r>
              <w:rPr>
                <w:color w:val="auto"/>
              </w:rPr>
              <w:drawing>
                <wp:anchor distT="0" distB="0" distL="114300" distR="114300" simplePos="0" relativeHeight="251668480" behindDoc="0" locked="0" layoutInCell="1" allowOverlap="1">
                  <wp:simplePos x="0" y="0"/>
                  <wp:positionH relativeFrom="column">
                    <wp:posOffset>1733550</wp:posOffset>
                  </wp:positionH>
                  <wp:positionV relativeFrom="paragraph">
                    <wp:posOffset>55880</wp:posOffset>
                  </wp:positionV>
                  <wp:extent cx="1991995" cy="909955"/>
                  <wp:effectExtent l="0" t="0" r="8255" b="4445"/>
                  <wp:wrapTopAndBottom/>
                  <wp:docPr id="103" name="图片 1" descr="169448320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 descr="1694483201964"/>
                          <pic:cNvPicPr>
                            <a:picLocks noChangeAspect="1"/>
                          </pic:cNvPicPr>
                        </pic:nvPicPr>
                        <pic:blipFill>
                          <a:blip r:embed="rId8"/>
                          <a:stretch>
                            <a:fillRect/>
                          </a:stretch>
                        </pic:blipFill>
                        <pic:spPr>
                          <a:xfrm>
                            <a:off x="0" y="0"/>
                            <a:ext cx="1991995" cy="90995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00" w:lineRule="exact"/>
              <w:ind w:firstLine="411" w:firstLineChars="196"/>
              <w:jc w:val="left"/>
              <w:textAlignment w:val="auto"/>
              <w:rPr>
                <w:rFonts w:hint="eastAsia"/>
                <w:color w:val="auto"/>
              </w:rPr>
            </w:pPr>
            <w:r>
              <w:rPr>
                <w:rFonts w:hint="eastAsia"/>
                <w:color w:val="auto"/>
              </w:rPr>
              <w:t>式中：Mi—第i个主要排放口污染物年许可排放量，t；</w:t>
            </w:r>
          </w:p>
          <w:p>
            <w:pPr>
              <w:keepNext w:val="0"/>
              <w:keepLines w:val="0"/>
              <w:pageBreakBefore w:val="0"/>
              <w:widowControl w:val="0"/>
              <w:kinsoku/>
              <w:wordWrap/>
              <w:overflowPunct/>
              <w:topLinePunct w:val="0"/>
              <w:autoSpaceDE/>
              <w:autoSpaceDN/>
              <w:bidi w:val="0"/>
              <w:adjustRightInd/>
              <w:snapToGrid/>
              <w:spacing w:line="500" w:lineRule="exact"/>
              <w:ind w:firstLine="411" w:firstLineChars="196"/>
              <w:jc w:val="left"/>
              <w:textAlignment w:val="auto"/>
              <w:rPr>
                <w:rFonts w:hint="eastAsia"/>
                <w:color w:val="auto"/>
              </w:rPr>
            </w:pPr>
            <w:r>
              <w:rPr>
                <w:rFonts w:hint="eastAsia"/>
                <w:color w:val="auto"/>
              </w:rPr>
              <w:t>Q—第i个主要排放口风量（标态），m</w:t>
            </w:r>
            <w:r>
              <w:rPr>
                <w:rFonts w:hint="eastAsia"/>
                <w:color w:val="auto"/>
                <w:vertAlign w:val="superscript"/>
              </w:rPr>
              <w:t>3</w:t>
            </w:r>
            <w:r>
              <w:rPr>
                <w:rFonts w:hint="eastAsia"/>
                <w:color w:val="auto"/>
              </w:rPr>
              <w:t>/h，</w:t>
            </w:r>
          </w:p>
          <w:p>
            <w:pPr>
              <w:keepNext w:val="0"/>
              <w:keepLines w:val="0"/>
              <w:pageBreakBefore w:val="0"/>
              <w:widowControl w:val="0"/>
              <w:kinsoku/>
              <w:wordWrap/>
              <w:overflowPunct/>
              <w:topLinePunct w:val="0"/>
              <w:autoSpaceDE/>
              <w:autoSpaceDN/>
              <w:bidi w:val="0"/>
              <w:adjustRightInd/>
              <w:snapToGrid/>
              <w:spacing w:line="500" w:lineRule="exact"/>
              <w:ind w:firstLine="411" w:firstLineChars="196"/>
              <w:jc w:val="left"/>
              <w:textAlignment w:val="auto"/>
              <w:rPr>
                <w:rFonts w:hint="eastAsia"/>
                <w:color w:val="auto"/>
              </w:rPr>
            </w:pPr>
            <w:r>
              <w:rPr>
                <w:rFonts w:hint="eastAsia"/>
                <w:color w:val="auto"/>
              </w:rPr>
              <w:t>C—污染物许可排放浓度限值（标态），mg/m</w:t>
            </w:r>
            <w:r>
              <w:rPr>
                <w:rFonts w:hint="eastAsia"/>
                <w:color w:val="auto"/>
                <w:vertAlign w:val="superscript"/>
              </w:rPr>
              <w:t>3</w:t>
            </w:r>
            <w:r>
              <w:rPr>
                <w:rFonts w:hint="eastAsia"/>
                <w:color w:val="auto"/>
              </w:rPr>
              <w:t>；取废气排放标准值计算；</w:t>
            </w:r>
          </w:p>
          <w:p>
            <w:pPr>
              <w:keepNext w:val="0"/>
              <w:keepLines w:val="0"/>
              <w:pageBreakBefore w:val="0"/>
              <w:widowControl w:val="0"/>
              <w:kinsoku/>
              <w:wordWrap/>
              <w:overflowPunct/>
              <w:topLinePunct w:val="0"/>
              <w:autoSpaceDE/>
              <w:autoSpaceDN/>
              <w:bidi w:val="0"/>
              <w:adjustRightInd/>
              <w:snapToGrid/>
              <w:spacing w:line="500" w:lineRule="exact"/>
              <w:ind w:firstLine="411" w:firstLineChars="196"/>
              <w:jc w:val="left"/>
              <w:textAlignment w:val="auto"/>
              <w:rPr>
                <w:rFonts w:hint="eastAsia"/>
                <w:color w:val="auto"/>
              </w:rPr>
            </w:pPr>
            <w:r>
              <w:rPr>
                <w:rFonts w:hint="eastAsia"/>
                <w:color w:val="auto"/>
              </w:rPr>
              <w:t>T—第i个主要排放口对应装置设计年生产时间，h；</w:t>
            </w:r>
          </w:p>
          <w:p>
            <w:pPr>
              <w:keepNext w:val="0"/>
              <w:keepLines w:val="0"/>
              <w:pageBreakBefore w:val="0"/>
              <w:widowControl w:val="0"/>
              <w:kinsoku/>
              <w:wordWrap/>
              <w:overflowPunct/>
              <w:topLinePunct w:val="0"/>
              <w:autoSpaceDE/>
              <w:autoSpaceDN/>
              <w:bidi w:val="0"/>
              <w:adjustRightInd/>
              <w:snapToGrid/>
              <w:spacing w:line="500" w:lineRule="exact"/>
              <w:ind w:firstLine="411" w:firstLineChars="196"/>
              <w:jc w:val="left"/>
              <w:textAlignment w:val="auto"/>
              <w:rPr>
                <w:rFonts w:hint="eastAsia"/>
                <w:color w:val="auto"/>
              </w:rPr>
            </w:pPr>
            <w:r>
              <w:rPr>
                <w:rFonts w:hint="eastAsia"/>
                <w:color w:val="auto"/>
              </w:rPr>
              <w:t>E年许可—污染物年许可排放量，t/a。</w:t>
            </w:r>
          </w:p>
          <w:p>
            <w:pPr>
              <w:keepNext w:val="0"/>
              <w:keepLines w:val="0"/>
              <w:pageBreakBefore w:val="0"/>
              <w:widowControl w:val="0"/>
              <w:kinsoku/>
              <w:wordWrap/>
              <w:overflowPunct/>
              <w:topLinePunct w:val="0"/>
              <w:autoSpaceDE/>
              <w:autoSpaceDN/>
              <w:bidi w:val="0"/>
              <w:adjustRightInd/>
              <w:snapToGrid/>
              <w:spacing w:line="500" w:lineRule="exact"/>
              <w:ind w:firstLine="411" w:firstLineChars="196"/>
              <w:jc w:val="left"/>
              <w:textAlignment w:val="auto"/>
              <w:rPr>
                <w:b/>
                <w:color w:val="auto"/>
              </w:rPr>
            </w:pPr>
            <w:r>
              <w:rPr>
                <w:rFonts w:hint="eastAsia"/>
                <w:color w:val="auto"/>
              </w:rPr>
              <w:t>计算得</w:t>
            </w:r>
            <w:r>
              <w:rPr>
                <w:rFonts w:hint="eastAsia"/>
                <w:color w:val="auto"/>
                <w:lang w:val="en-US" w:eastAsia="zh-CN"/>
              </w:rPr>
              <w:t>颗粒物、</w:t>
            </w:r>
            <w:r>
              <w:rPr>
                <w:rFonts w:hint="eastAsia"/>
                <w:color w:val="auto"/>
              </w:rPr>
              <w:t>VOCs允许排放量见下表。</w:t>
            </w:r>
          </w:p>
          <w:p>
            <w:pPr>
              <w:keepNext w:val="0"/>
              <w:keepLines w:val="0"/>
              <w:pageBreakBefore w:val="0"/>
              <w:widowControl w:val="0"/>
              <w:kinsoku/>
              <w:wordWrap/>
              <w:overflowPunct/>
              <w:topLinePunct w:val="0"/>
              <w:autoSpaceDE/>
              <w:autoSpaceDN/>
              <w:bidi w:val="0"/>
              <w:adjustRightInd/>
              <w:snapToGrid/>
              <w:spacing w:line="500" w:lineRule="exact"/>
              <w:ind w:firstLine="413" w:firstLineChars="196"/>
              <w:jc w:val="center"/>
              <w:textAlignment w:val="auto"/>
              <w:rPr>
                <w:rFonts w:hint="eastAsia"/>
                <w:b/>
                <w:color w:val="auto"/>
              </w:rPr>
            </w:pPr>
            <w:r>
              <w:rPr>
                <w:b/>
                <w:color w:val="auto"/>
              </w:rPr>
              <w:t>表</w:t>
            </w:r>
            <w:r>
              <w:rPr>
                <w:rFonts w:hint="eastAsia"/>
                <w:b/>
                <w:color w:val="auto"/>
                <w:lang w:val="en-US" w:eastAsia="zh-CN"/>
              </w:rPr>
              <w:t>3-15</w:t>
            </w:r>
            <w:r>
              <w:rPr>
                <w:rFonts w:hint="eastAsia"/>
                <w:b/>
                <w:color w:val="auto"/>
              </w:rPr>
              <w:t>根据技术规范计算的</w:t>
            </w:r>
            <w:r>
              <w:rPr>
                <w:rFonts w:hint="eastAsia"/>
                <w:b/>
                <w:color w:val="auto"/>
                <w:lang w:val="en-US" w:eastAsia="zh-CN"/>
              </w:rPr>
              <w:t>废气</w:t>
            </w:r>
            <w:r>
              <w:rPr>
                <w:rFonts w:hint="eastAsia"/>
                <w:b/>
                <w:color w:val="auto"/>
              </w:rPr>
              <w:t>允许排放量</w:t>
            </w:r>
          </w:p>
          <w:tbl>
            <w:tblPr>
              <w:tblStyle w:val="21"/>
              <w:tblW w:w="7977"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106"/>
              <w:gridCol w:w="1099"/>
              <w:gridCol w:w="1158"/>
              <w:gridCol w:w="1235"/>
              <w:gridCol w:w="1092"/>
              <w:gridCol w:w="1062"/>
              <w:gridCol w:w="122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8" w:hRule="atLeast"/>
                <w:jc w:val="center"/>
              </w:trPr>
              <w:tc>
                <w:tcPr>
                  <w:tcW w:w="1118" w:type="dxa"/>
                  <w:noWrap w:val="0"/>
                  <w:vAlign w:val="center"/>
                </w:tcPr>
                <w:p>
                  <w:pPr>
                    <w:jc w:val="center"/>
                    <w:rPr>
                      <w:rFonts w:hint="default" w:eastAsia="宋体"/>
                      <w:b/>
                      <w:bCs/>
                      <w:color w:val="auto"/>
                      <w:sz w:val="18"/>
                      <w:szCs w:val="18"/>
                      <w:lang w:val="en-US" w:eastAsia="zh-CN"/>
                    </w:rPr>
                  </w:pPr>
                  <w:r>
                    <w:rPr>
                      <w:rFonts w:hint="eastAsia"/>
                      <w:b/>
                      <w:bCs/>
                      <w:color w:val="auto"/>
                      <w:sz w:val="18"/>
                      <w:szCs w:val="18"/>
                      <w:lang w:val="en-US" w:eastAsia="zh-CN"/>
                    </w:rPr>
                    <w:t>排气筒编号</w:t>
                  </w:r>
                </w:p>
              </w:tc>
              <w:tc>
                <w:tcPr>
                  <w:tcW w:w="1118" w:type="dxa"/>
                  <w:noWrap w:val="0"/>
                  <w:vAlign w:val="center"/>
                </w:tcPr>
                <w:p>
                  <w:pPr>
                    <w:jc w:val="center"/>
                    <w:rPr>
                      <w:b/>
                      <w:bCs/>
                      <w:color w:val="auto"/>
                      <w:sz w:val="18"/>
                      <w:szCs w:val="18"/>
                    </w:rPr>
                  </w:pPr>
                  <w:r>
                    <w:rPr>
                      <w:b/>
                      <w:bCs/>
                      <w:color w:val="auto"/>
                      <w:sz w:val="18"/>
                      <w:szCs w:val="18"/>
                    </w:rPr>
                    <w:t>污染因子</w:t>
                  </w:r>
                </w:p>
              </w:tc>
              <w:tc>
                <w:tcPr>
                  <w:tcW w:w="1162" w:type="dxa"/>
                  <w:noWrap w:val="0"/>
                  <w:vAlign w:val="center"/>
                </w:tcPr>
                <w:p>
                  <w:pPr>
                    <w:jc w:val="center"/>
                    <w:rPr>
                      <w:b/>
                      <w:bCs/>
                      <w:color w:val="auto"/>
                      <w:sz w:val="18"/>
                      <w:szCs w:val="18"/>
                    </w:rPr>
                  </w:pPr>
                  <w:r>
                    <w:rPr>
                      <w:rFonts w:hint="eastAsia"/>
                      <w:b/>
                      <w:bCs/>
                      <w:color w:val="auto"/>
                      <w:sz w:val="18"/>
                      <w:szCs w:val="18"/>
                    </w:rPr>
                    <w:t>Q（m</w:t>
                  </w:r>
                  <w:r>
                    <w:rPr>
                      <w:rFonts w:hint="eastAsia"/>
                      <w:b/>
                      <w:bCs/>
                      <w:color w:val="auto"/>
                      <w:sz w:val="18"/>
                      <w:szCs w:val="18"/>
                      <w:vertAlign w:val="superscript"/>
                    </w:rPr>
                    <w:t>3</w:t>
                  </w:r>
                  <w:r>
                    <w:rPr>
                      <w:rFonts w:hint="eastAsia"/>
                      <w:b/>
                      <w:bCs/>
                      <w:color w:val="auto"/>
                      <w:sz w:val="18"/>
                      <w:szCs w:val="18"/>
                    </w:rPr>
                    <w:t>/h）</w:t>
                  </w:r>
                </w:p>
              </w:tc>
              <w:tc>
                <w:tcPr>
                  <w:tcW w:w="1162" w:type="dxa"/>
                  <w:noWrap w:val="0"/>
                  <w:vAlign w:val="center"/>
                </w:tcPr>
                <w:p>
                  <w:pPr>
                    <w:jc w:val="center"/>
                    <w:rPr>
                      <w:b/>
                      <w:bCs/>
                      <w:color w:val="auto"/>
                      <w:sz w:val="18"/>
                      <w:szCs w:val="18"/>
                    </w:rPr>
                  </w:pPr>
                  <w:r>
                    <w:rPr>
                      <w:rFonts w:hint="eastAsia"/>
                      <w:b/>
                      <w:bCs/>
                      <w:color w:val="auto"/>
                      <w:sz w:val="18"/>
                      <w:szCs w:val="18"/>
                    </w:rPr>
                    <w:t>C</w:t>
                  </w:r>
                  <w:r>
                    <w:rPr>
                      <w:b/>
                      <w:color w:val="auto"/>
                      <w:sz w:val="18"/>
                      <w:szCs w:val="18"/>
                    </w:rPr>
                    <w:t>（mg/m</w:t>
                  </w:r>
                  <w:r>
                    <w:rPr>
                      <w:b/>
                      <w:color w:val="auto"/>
                      <w:sz w:val="18"/>
                      <w:szCs w:val="18"/>
                      <w:vertAlign w:val="superscript"/>
                    </w:rPr>
                    <w:t>3</w:t>
                  </w:r>
                  <w:r>
                    <w:rPr>
                      <w:b/>
                      <w:color w:val="auto"/>
                      <w:sz w:val="18"/>
                      <w:szCs w:val="18"/>
                    </w:rPr>
                    <w:t>）</w:t>
                  </w:r>
                </w:p>
              </w:tc>
              <w:tc>
                <w:tcPr>
                  <w:tcW w:w="1107" w:type="dxa"/>
                  <w:noWrap w:val="0"/>
                  <w:vAlign w:val="center"/>
                </w:tcPr>
                <w:p>
                  <w:pPr>
                    <w:jc w:val="center"/>
                    <w:rPr>
                      <w:b/>
                      <w:bCs/>
                      <w:color w:val="auto"/>
                      <w:sz w:val="18"/>
                      <w:szCs w:val="18"/>
                    </w:rPr>
                  </w:pPr>
                  <w:r>
                    <w:rPr>
                      <w:rFonts w:hint="eastAsia"/>
                      <w:b/>
                      <w:bCs/>
                      <w:color w:val="auto"/>
                      <w:sz w:val="18"/>
                      <w:szCs w:val="18"/>
                    </w:rPr>
                    <w:t>T（h）</w:t>
                  </w:r>
                </w:p>
              </w:tc>
              <w:tc>
                <w:tcPr>
                  <w:tcW w:w="1070" w:type="dxa"/>
                  <w:noWrap w:val="0"/>
                  <w:vAlign w:val="center"/>
                </w:tcPr>
                <w:p>
                  <w:pPr>
                    <w:jc w:val="center"/>
                    <w:rPr>
                      <w:rFonts w:hint="eastAsia"/>
                      <w:b/>
                      <w:bCs/>
                      <w:color w:val="auto"/>
                      <w:sz w:val="18"/>
                      <w:szCs w:val="18"/>
                    </w:rPr>
                  </w:pPr>
                  <w:r>
                    <w:rPr>
                      <w:rFonts w:hint="eastAsia"/>
                      <w:b/>
                      <w:bCs/>
                      <w:color w:val="auto"/>
                      <w:sz w:val="18"/>
                      <w:szCs w:val="18"/>
                    </w:rPr>
                    <w:t>M（t/a）</w:t>
                  </w:r>
                </w:p>
              </w:tc>
              <w:tc>
                <w:tcPr>
                  <w:tcW w:w="1240" w:type="dxa"/>
                  <w:noWrap w:val="0"/>
                  <w:vAlign w:val="center"/>
                </w:tcPr>
                <w:p>
                  <w:pPr>
                    <w:jc w:val="center"/>
                    <w:rPr>
                      <w:b/>
                      <w:bCs/>
                      <w:color w:val="auto"/>
                      <w:sz w:val="18"/>
                      <w:szCs w:val="18"/>
                    </w:rPr>
                  </w:pPr>
                  <w:r>
                    <w:rPr>
                      <w:rFonts w:hint="eastAsia"/>
                      <w:b/>
                      <w:bCs/>
                      <w:color w:val="auto"/>
                      <w:sz w:val="18"/>
                      <w:szCs w:val="18"/>
                    </w:rPr>
                    <w:t>E（t/a）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8" w:hRule="atLeast"/>
                <w:jc w:val="center"/>
              </w:trPr>
              <w:tc>
                <w:tcPr>
                  <w:tcW w:w="1118" w:type="dxa"/>
                  <w:vMerge w:val="restart"/>
                  <w:noWrap w:val="0"/>
                  <w:vAlign w:val="center"/>
                </w:tcPr>
                <w:p>
                  <w:pPr>
                    <w:jc w:val="center"/>
                    <w:rPr>
                      <w:rFonts w:hint="default" w:eastAsia="宋体"/>
                      <w:bCs/>
                      <w:color w:val="auto"/>
                      <w:sz w:val="18"/>
                      <w:szCs w:val="18"/>
                      <w:lang w:val="en-US" w:eastAsia="zh-CN"/>
                    </w:rPr>
                  </w:pPr>
                  <w:r>
                    <w:rPr>
                      <w:rFonts w:hint="eastAsia"/>
                      <w:bCs/>
                      <w:color w:val="auto"/>
                      <w:sz w:val="18"/>
                      <w:szCs w:val="18"/>
                      <w:lang w:val="en-US" w:eastAsia="zh-CN"/>
                    </w:rPr>
                    <w:t>DA001</w:t>
                  </w:r>
                </w:p>
              </w:tc>
              <w:tc>
                <w:tcPr>
                  <w:tcW w:w="1118" w:type="dxa"/>
                  <w:shd w:val="clear" w:color="auto" w:fill="auto"/>
                  <w:noWrap w:val="0"/>
                  <w:vAlign w:val="center"/>
                </w:tcPr>
                <w:p>
                  <w:pPr>
                    <w:pStyle w:val="49"/>
                    <w:ind w:firstLine="0" w:firstLineChars="0"/>
                    <w:jc w:val="center"/>
                    <w:rPr>
                      <w:rFonts w:hint="eastAsia" w:ascii="Times New Roman" w:hAnsi="Times New Roman" w:eastAsia="宋体" w:cs="Times New Roman"/>
                      <w:bCs/>
                      <w:color w:val="auto"/>
                      <w:kern w:val="0"/>
                      <w:sz w:val="18"/>
                      <w:szCs w:val="18"/>
                      <w:lang w:val="en-US" w:eastAsia="zh-CN" w:bidi="ar-SA"/>
                    </w:rPr>
                  </w:pPr>
                  <w:r>
                    <w:rPr>
                      <w:rFonts w:hint="eastAsia" w:ascii="Times New Roman" w:hAnsi="Times New Roman" w:cs="Times New Roman"/>
                      <w:color w:val="auto"/>
                      <w:sz w:val="18"/>
                      <w:szCs w:val="18"/>
                    </w:rPr>
                    <w:t>SO</w:t>
                  </w:r>
                  <w:r>
                    <w:rPr>
                      <w:rFonts w:hint="eastAsia" w:ascii="Times New Roman" w:hAnsi="Times New Roman" w:cs="Times New Roman"/>
                      <w:color w:val="auto"/>
                      <w:sz w:val="18"/>
                      <w:szCs w:val="18"/>
                      <w:vertAlign w:val="subscript"/>
                    </w:rPr>
                    <w:t>2</w:t>
                  </w:r>
                </w:p>
              </w:tc>
              <w:tc>
                <w:tcPr>
                  <w:tcW w:w="1162" w:type="dxa"/>
                  <w:vMerge w:val="restart"/>
                  <w:shd w:val="clear" w:color="auto" w:fill="auto"/>
                  <w:noWrap w:val="0"/>
                  <w:vAlign w:val="center"/>
                </w:tcPr>
                <w:p>
                  <w:pPr>
                    <w:jc w:val="center"/>
                    <w:textAlignment w:val="center"/>
                    <w:rPr>
                      <w:rFonts w:hint="eastAsia"/>
                      <w:bCs/>
                      <w:color w:val="auto"/>
                      <w:sz w:val="18"/>
                      <w:szCs w:val="18"/>
                    </w:rPr>
                  </w:pPr>
                  <w:r>
                    <w:rPr>
                      <w:rFonts w:hint="eastAsia"/>
                      <w:bCs/>
                      <w:color w:val="auto"/>
                      <w:sz w:val="18"/>
                      <w:szCs w:val="18"/>
                      <w:lang w:val="en-US" w:eastAsia="zh-CN"/>
                    </w:rPr>
                    <w:t>120</w:t>
                  </w:r>
                  <w:r>
                    <w:rPr>
                      <w:rFonts w:hint="eastAsia"/>
                      <w:bCs/>
                      <w:color w:val="auto"/>
                      <w:sz w:val="18"/>
                      <w:szCs w:val="18"/>
                    </w:rPr>
                    <w:t>00</w:t>
                  </w:r>
                </w:p>
              </w:tc>
              <w:tc>
                <w:tcPr>
                  <w:tcW w:w="1162" w:type="dxa"/>
                  <w:shd w:val="clear" w:color="auto" w:fill="auto"/>
                  <w:noWrap w:val="0"/>
                  <w:vAlign w:val="center"/>
                </w:tcPr>
                <w:p>
                  <w:pPr>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80</w:t>
                  </w:r>
                </w:p>
              </w:tc>
              <w:tc>
                <w:tcPr>
                  <w:tcW w:w="1107" w:type="dxa"/>
                  <w:vMerge w:val="restart"/>
                  <w:noWrap w:val="0"/>
                  <w:vAlign w:val="center"/>
                </w:tcPr>
                <w:p>
                  <w:pPr>
                    <w:jc w:val="center"/>
                    <w:rPr>
                      <w:rFonts w:hint="default" w:eastAsia="宋体"/>
                      <w:bCs/>
                      <w:color w:val="auto"/>
                      <w:sz w:val="18"/>
                      <w:szCs w:val="18"/>
                      <w:lang w:val="en-US" w:eastAsia="zh-CN"/>
                    </w:rPr>
                  </w:pPr>
                  <w:r>
                    <w:rPr>
                      <w:rFonts w:hint="eastAsia"/>
                      <w:bCs/>
                      <w:color w:val="auto"/>
                      <w:sz w:val="18"/>
                      <w:szCs w:val="18"/>
                      <w:lang w:val="en-US" w:eastAsia="zh-CN"/>
                    </w:rPr>
                    <w:t>7200</w:t>
                  </w:r>
                </w:p>
              </w:tc>
              <w:tc>
                <w:tcPr>
                  <w:tcW w:w="1070" w:type="dxa"/>
                  <w:noWrap w:val="0"/>
                  <w:vAlign w:val="center"/>
                </w:tcPr>
                <w:p>
                  <w:pPr>
                    <w:keepNext w:val="0"/>
                    <w:keepLines w:val="0"/>
                    <w:widowControl/>
                    <w:suppressLineNumbers w:val="0"/>
                    <w:jc w:val="center"/>
                    <w:textAlignment w:val="center"/>
                    <w:rPr>
                      <w:rFonts w:hint="default" w:eastAsia="宋体"/>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6.912</w:t>
                  </w:r>
                </w:p>
              </w:tc>
              <w:tc>
                <w:tcPr>
                  <w:tcW w:w="1240" w:type="dxa"/>
                  <w:noWrap w:val="0"/>
                  <w:vAlign w:val="center"/>
                </w:tcPr>
                <w:p>
                  <w:pPr>
                    <w:keepNext w:val="0"/>
                    <w:keepLines w:val="0"/>
                    <w:widowControl/>
                    <w:suppressLineNumbers w:val="0"/>
                    <w:jc w:val="center"/>
                    <w:textAlignment w:val="center"/>
                    <w:rPr>
                      <w:bCs/>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6.912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8" w:hRule="atLeast"/>
                <w:jc w:val="center"/>
              </w:trPr>
              <w:tc>
                <w:tcPr>
                  <w:tcW w:w="1118" w:type="dxa"/>
                  <w:vMerge w:val="continue"/>
                  <w:noWrap w:val="0"/>
                  <w:vAlign w:val="center"/>
                </w:tcPr>
                <w:p>
                  <w:pPr>
                    <w:jc w:val="center"/>
                    <w:rPr>
                      <w:rFonts w:hint="eastAsia"/>
                      <w:bCs/>
                      <w:color w:val="auto"/>
                      <w:sz w:val="18"/>
                      <w:szCs w:val="18"/>
                    </w:rPr>
                  </w:pPr>
                </w:p>
              </w:tc>
              <w:tc>
                <w:tcPr>
                  <w:tcW w:w="1118" w:type="dxa"/>
                  <w:shd w:val="clear" w:color="auto" w:fill="auto"/>
                  <w:noWrap w:val="0"/>
                  <w:vAlign w:val="center"/>
                </w:tcPr>
                <w:p>
                  <w:pPr>
                    <w:pStyle w:val="49"/>
                    <w:ind w:firstLine="0" w:firstLineChars="0"/>
                    <w:jc w:val="center"/>
                    <w:rPr>
                      <w:rFonts w:hint="eastAsia" w:ascii="Times New Roman" w:hAnsi="Times New Roman" w:eastAsia="宋体" w:cs="Times New Roman"/>
                      <w:bCs/>
                      <w:color w:val="auto"/>
                      <w:kern w:val="0"/>
                      <w:sz w:val="18"/>
                      <w:szCs w:val="18"/>
                      <w:lang w:val="en-US" w:eastAsia="zh-CN" w:bidi="ar-SA"/>
                    </w:rPr>
                  </w:pPr>
                  <w:r>
                    <w:rPr>
                      <w:rFonts w:hint="eastAsia" w:ascii="Times New Roman" w:hAnsi="Times New Roman" w:cs="Times New Roman"/>
                      <w:color w:val="auto"/>
                      <w:sz w:val="18"/>
                      <w:szCs w:val="18"/>
                    </w:rPr>
                    <w:t>NOx</w:t>
                  </w:r>
                </w:p>
              </w:tc>
              <w:tc>
                <w:tcPr>
                  <w:tcW w:w="1162" w:type="dxa"/>
                  <w:vMerge w:val="continue"/>
                  <w:noWrap w:val="0"/>
                  <w:vAlign w:val="center"/>
                </w:tcPr>
                <w:p>
                  <w:pPr>
                    <w:jc w:val="center"/>
                    <w:rPr>
                      <w:rFonts w:hint="eastAsia"/>
                      <w:bCs/>
                      <w:color w:val="auto"/>
                      <w:sz w:val="18"/>
                      <w:szCs w:val="18"/>
                    </w:rPr>
                  </w:pPr>
                </w:p>
              </w:tc>
              <w:tc>
                <w:tcPr>
                  <w:tcW w:w="1162" w:type="dxa"/>
                  <w:shd w:val="clear" w:color="auto" w:fill="auto"/>
                  <w:noWrap w:val="0"/>
                  <w:vAlign w:val="center"/>
                </w:tcPr>
                <w:p>
                  <w:pPr>
                    <w:jc w:val="center"/>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180</w:t>
                  </w:r>
                </w:p>
              </w:tc>
              <w:tc>
                <w:tcPr>
                  <w:tcW w:w="1107" w:type="dxa"/>
                  <w:vMerge w:val="continue"/>
                  <w:noWrap w:val="0"/>
                  <w:vAlign w:val="center"/>
                </w:tcPr>
                <w:p>
                  <w:pPr>
                    <w:jc w:val="center"/>
                    <w:rPr>
                      <w:rFonts w:hint="eastAsia"/>
                      <w:bCs/>
                      <w:color w:val="auto"/>
                      <w:sz w:val="18"/>
                      <w:szCs w:val="18"/>
                    </w:rPr>
                  </w:pPr>
                </w:p>
              </w:tc>
              <w:tc>
                <w:tcPr>
                  <w:tcW w:w="1070" w:type="dxa"/>
                  <w:noWrap w:val="0"/>
                  <w:vAlign w:val="center"/>
                </w:tcPr>
                <w:p>
                  <w:pPr>
                    <w:keepNext w:val="0"/>
                    <w:keepLines w:val="0"/>
                    <w:widowControl/>
                    <w:suppressLineNumbers w:val="0"/>
                    <w:jc w:val="center"/>
                    <w:textAlignment w:val="center"/>
                    <w:rPr>
                      <w:rFonts w:hint="default" w:eastAsia="宋体"/>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15.552</w:t>
                  </w:r>
                </w:p>
              </w:tc>
              <w:tc>
                <w:tcPr>
                  <w:tcW w:w="1240" w:type="dxa"/>
                  <w:noWrap w:val="0"/>
                  <w:vAlign w:val="center"/>
                </w:tcPr>
                <w:p>
                  <w:pPr>
                    <w:keepNext w:val="0"/>
                    <w:keepLines w:val="0"/>
                    <w:widowControl/>
                    <w:suppressLineNumbers w:val="0"/>
                    <w:jc w:val="center"/>
                    <w:textAlignment w:val="center"/>
                    <w:rPr>
                      <w:rFonts w:hint="eastAsia"/>
                      <w:bCs/>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15.552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118" w:type="dxa"/>
                  <w:vMerge w:val="continue"/>
                  <w:noWrap w:val="0"/>
                  <w:vAlign w:val="center"/>
                </w:tcPr>
                <w:p>
                  <w:pPr>
                    <w:jc w:val="center"/>
                    <w:rPr>
                      <w:rFonts w:hint="eastAsia"/>
                      <w:bCs/>
                      <w:color w:val="auto"/>
                      <w:sz w:val="18"/>
                      <w:szCs w:val="18"/>
                    </w:rPr>
                  </w:pPr>
                </w:p>
              </w:tc>
              <w:tc>
                <w:tcPr>
                  <w:tcW w:w="1118" w:type="dxa"/>
                  <w:shd w:val="clear" w:color="auto" w:fill="auto"/>
                  <w:noWrap w:val="0"/>
                  <w:vAlign w:val="center"/>
                </w:tcPr>
                <w:p>
                  <w:pPr>
                    <w:pStyle w:val="49"/>
                    <w:ind w:firstLine="0" w:firstLineChars="0"/>
                    <w:jc w:val="center"/>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sz w:val="18"/>
                      <w:szCs w:val="18"/>
                    </w:rPr>
                    <w:t>颗粒物</w:t>
                  </w:r>
                </w:p>
              </w:tc>
              <w:tc>
                <w:tcPr>
                  <w:tcW w:w="1162" w:type="dxa"/>
                  <w:vMerge w:val="continue"/>
                  <w:noWrap w:val="0"/>
                  <w:vAlign w:val="center"/>
                </w:tcPr>
                <w:p>
                  <w:pPr>
                    <w:jc w:val="center"/>
                    <w:rPr>
                      <w:rFonts w:hint="eastAsia"/>
                      <w:bCs/>
                      <w:color w:val="auto"/>
                      <w:sz w:val="18"/>
                      <w:szCs w:val="18"/>
                    </w:rPr>
                  </w:pPr>
                </w:p>
              </w:tc>
              <w:tc>
                <w:tcPr>
                  <w:tcW w:w="1162" w:type="dxa"/>
                  <w:shd w:val="clear" w:color="auto" w:fill="auto"/>
                  <w:noWrap w:val="0"/>
                  <w:vAlign w:val="center"/>
                </w:tcPr>
                <w:p>
                  <w:pPr>
                    <w:jc w:val="center"/>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20</w:t>
                  </w:r>
                </w:p>
              </w:tc>
              <w:tc>
                <w:tcPr>
                  <w:tcW w:w="1107" w:type="dxa"/>
                  <w:vMerge w:val="continue"/>
                  <w:noWrap w:val="0"/>
                  <w:vAlign w:val="center"/>
                </w:tcPr>
                <w:p>
                  <w:pPr>
                    <w:jc w:val="center"/>
                    <w:rPr>
                      <w:rFonts w:hint="eastAsia"/>
                      <w:bCs/>
                      <w:color w:val="auto"/>
                      <w:sz w:val="18"/>
                      <w:szCs w:val="18"/>
                    </w:rPr>
                  </w:pPr>
                </w:p>
              </w:tc>
              <w:tc>
                <w:tcPr>
                  <w:tcW w:w="1070" w:type="dxa"/>
                  <w:noWrap w:val="0"/>
                  <w:vAlign w:val="center"/>
                </w:tcPr>
                <w:p>
                  <w:pPr>
                    <w:keepNext w:val="0"/>
                    <w:keepLines w:val="0"/>
                    <w:widowControl/>
                    <w:suppressLineNumbers w:val="0"/>
                    <w:jc w:val="center"/>
                    <w:textAlignment w:val="center"/>
                    <w:rPr>
                      <w:rFonts w:hint="eastAsia"/>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1.728</w:t>
                  </w:r>
                </w:p>
              </w:tc>
              <w:tc>
                <w:tcPr>
                  <w:tcW w:w="1240" w:type="dxa"/>
                  <w:noWrap w:val="0"/>
                  <w:vAlign w:val="center"/>
                </w:tcPr>
                <w:p>
                  <w:pPr>
                    <w:keepNext w:val="0"/>
                    <w:keepLines w:val="0"/>
                    <w:widowControl/>
                    <w:suppressLineNumbers w:val="0"/>
                    <w:jc w:val="center"/>
                    <w:textAlignment w:val="center"/>
                    <w:rPr>
                      <w:rFonts w:hint="eastAsia"/>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1.728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8" w:hRule="atLeast"/>
                <w:jc w:val="center"/>
              </w:trPr>
              <w:tc>
                <w:tcPr>
                  <w:tcW w:w="1118" w:type="dxa"/>
                  <w:vMerge w:val="restart"/>
                  <w:noWrap w:val="0"/>
                  <w:vAlign w:val="center"/>
                </w:tcPr>
                <w:p>
                  <w:pPr>
                    <w:jc w:val="center"/>
                    <w:rPr>
                      <w:rFonts w:hint="default" w:eastAsia="宋体"/>
                      <w:bCs/>
                      <w:color w:val="auto"/>
                      <w:sz w:val="18"/>
                      <w:szCs w:val="18"/>
                      <w:lang w:val="en-US" w:eastAsia="zh-CN"/>
                    </w:rPr>
                  </w:pPr>
                  <w:r>
                    <w:rPr>
                      <w:rFonts w:hint="eastAsia"/>
                      <w:bCs/>
                      <w:color w:val="auto"/>
                      <w:sz w:val="18"/>
                      <w:szCs w:val="18"/>
                      <w:lang w:val="en-US" w:eastAsia="zh-CN"/>
                    </w:rPr>
                    <w:t>DA007</w:t>
                  </w:r>
                </w:p>
              </w:tc>
              <w:tc>
                <w:tcPr>
                  <w:tcW w:w="1118" w:type="dxa"/>
                  <w:shd w:val="clear" w:color="auto" w:fill="auto"/>
                  <w:noWrap w:val="0"/>
                  <w:vAlign w:val="center"/>
                </w:tcPr>
                <w:p>
                  <w:pPr>
                    <w:pStyle w:val="49"/>
                    <w:ind w:firstLine="0" w:firstLineChars="0"/>
                    <w:jc w:val="center"/>
                    <w:rPr>
                      <w:rFonts w:hint="eastAsia" w:ascii="Times New Roman" w:hAnsi="Times New Roman" w:eastAsia="宋体" w:cs="Times New Roman"/>
                      <w:bCs/>
                      <w:color w:val="auto"/>
                      <w:kern w:val="0"/>
                      <w:sz w:val="18"/>
                      <w:szCs w:val="18"/>
                      <w:lang w:val="en-US" w:eastAsia="zh-CN" w:bidi="ar-SA"/>
                    </w:rPr>
                  </w:pPr>
                  <w:r>
                    <w:rPr>
                      <w:rFonts w:hint="eastAsia" w:ascii="Times New Roman" w:hAnsi="Times New Roman" w:cs="Times New Roman"/>
                      <w:color w:val="auto"/>
                      <w:sz w:val="18"/>
                      <w:szCs w:val="18"/>
                    </w:rPr>
                    <w:t>SO</w:t>
                  </w:r>
                  <w:r>
                    <w:rPr>
                      <w:rFonts w:hint="eastAsia" w:ascii="Times New Roman" w:hAnsi="Times New Roman" w:cs="Times New Roman"/>
                      <w:color w:val="auto"/>
                      <w:sz w:val="18"/>
                      <w:szCs w:val="18"/>
                      <w:vertAlign w:val="subscript"/>
                    </w:rPr>
                    <w:t>2</w:t>
                  </w:r>
                </w:p>
              </w:tc>
              <w:tc>
                <w:tcPr>
                  <w:tcW w:w="1162" w:type="dxa"/>
                  <w:vMerge w:val="restart"/>
                  <w:shd w:val="clear" w:color="auto" w:fill="auto"/>
                  <w:noWrap w:val="0"/>
                  <w:vAlign w:val="center"/>
                </w:tcPr>
                <w:p>
                  <w:pPr>
                    <w:jc w:val="center"/>
                    <w:textAlignment w:val="center"/>
                    <w:rPr>
                      <w:rFonts w:hint="default" w:ascii="Times New Roman" w:hAnsi="Times New Roman" w:eastAsia="宋体" w:cs="Times New Roman"/>
                      <w:bCs/>
                      <w:color w:val="auto"/>
                      <w:kern w:val="2"/>
                      <w:sz w:val="18"/>
                      <w:szCs w:val="18"/>
                      <w:lang w:val="en-US" w:eastAsia="zh-CN" w:bidi="ar-SA"/>
                    </w:rPr>
                  </w:pPr>
                  <w:r>
                    <w:rPr>
                      <w:rFonts w:hint="eastAsia"/>
                      <w:bCs/>
                      <w:color w:val="auto"/>
                      <w:sz w:val="18"/>
                      <w:szCs w:val="18"/>
                      <w:lang w:val="en-US" w:eastAsia="zh-CN"/>
                    </w:rPr>
                    <w:t>150</w:t>
                  </w:r>
                  <w:r>
                    <w:rPr>
                      <w:rFonts w:hint="eastAsia"/>
                      <w:bCs/>
                      <w:color w:val="auto"/>
                      <w:sz w:val="18"/>
                      <w:szCs w:val="18"/>
                    </w:rPr>
                    <w:t>00</w:t>
                  </w:r>
                </w:p>
              </w:tc>
              <w:tc>
                <w:tcPr>
                  <w:tcW w:w="1162" w:type="dxa"/>
                  <w:shd w:val="clear" w:color="auto" w:fill="auto"/>
                  <w:noWrap w:val="0"/>
                  <w:vAlign w:val="center"/>
                </w:tcPr>
                <w:p>
                  <w:pPr>
                    <w:pStyle w:val="30"/>
                    <w:keepNext w:val="0"/>
                    <w:keepLines w:val="0"/>
                    <w:pageBreakBefore w:val="0"/>
                    <w:widowControl/>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bCs/>
                      <w:color w:val="auto"/>
                      <w:kern w:val="0"/>
                      <w:sz w:val="18"/>
                      <w:szCs w:val="18"/>
                      <w:lang w:val="en-US" w:eastAsia="zh-CN" w:bidi="ar-SA"/>
                    </w:rPr>
                  </w:pPr>
                  <w:r>
                    <w:rPr>
                      <w:rFonts w:hint="eastAsia" w:ascii="Times New Roman" w:hAnsi="Times New Roman" w:eastAsia="宋体" w:cs="Times New Roman"/>
                      <w:color w:val="auto"/>
                      <w:kern w:val="2"/>
                      <w:sz w:val="18"/>
                      <w:szCs w:val="18"/>
                      <w:lang w:val="en-US" w:eastAsia="zh-CN"/>
                    </w:rPr>
                    <w:t>80</w:t>
                  </w:r>
                </w:p>
              </w:tc>
              <w:tc>
                <w:tcPr>
                  <w:tcW w:w="1107" w:type="dxa"/>
                  <w:vMerge w:val="restart"/>
                  <w:noWrap w:val="0"/>
                  <w:vAlign w:val="center"/>
                </w:tcPr>
                <w:p>
                  <w:pPr>
                    <w:jc w:val="center"/>
                    <w:rPr>
                      <w:rFonts w:hint="default" w:eastAsia="宋体"/>
                      <w:bCs/>
                      <w:color w:val="auto"/>
                      <w:sz w:val="18"/>
                      <w:szCs w:val="18"/>
                      <w:lang w:val="en-US" w:eastAsia="zh-CN"/>
                    </w:rPr>
                  </w:pPr>
                  <w:r>
                    <w:rPr>
                      <w:rFonts w:hint="eastAsia"/>
                      <w:bCs/>
                      <w:color w:val="auto"/>
                      <w:sz w:val="18"/>
                      <w:szCs w:val="18"/>
                      <w:lang w:val="en-US" w:eastAsia="zh-CN"/>
                    </w:rPr>
                    <w:t>7200</w:t>
                  </w:r>
                </w:p>
              </w:tc>
              <w:tc>
                <w:tcPr>
                  <w:tcW w:w="1070" w:type="dxa"/>
                  <w:noWrap w:val="0"/>
                  <w:vAlign w:val="center"/>
                </w:tcPr>
                <w:p>
                  <w:pPr>
                    <w:keepNext w:val="0"/>
                    <w:keepLines w:val="0"/>
                    <w:widowControl/>
                    <w:suppressLineNumbers w:val="0"/>
                    <w:jc w:val="center"/>
                    <w:textAlignment w:val="center"/>
                    <w:rPr>
                      <w:rFonts w:hint="default" w:eastAsia="宋体"/>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8.64</w:t>
                  </w:r>
                </w:p>
              </w:tc>
              <w:tc>
                <w:tcPr>
                  <w:tcW w:w="1240" w:type="dxa"/>
                  <w:noWrap w:val="0"/>
                  <w:vAlign w:val="center"/>
                </w:tcPr>
                <w:p>
                  <w:pPr>
                    <w:keepNext w:val="0"/>
                    <w:keepLines w:val="0"/>
                    <w:widowControl/>
                    <w:suppressLineNumbers w:val="0"/>
                    <w:jc w:val="center"/>
                    <w:textAlignment w:val="center"/>
                    <w:rPr>
                      <w:rFonts w:hint="eastAsia"/>
                      <w:bCs/>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8.64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8" w:hRule="atLeast"/>
                <w:jc w:val="center"/>
              </w:trPr>
              <w:tc>
                <w:tcPr>
                  <w:tcW w:w="1118" w:type="dxa"/>
                  <w:vMerge w:val="continue"/>
                  <w:noWrap w:val="0"/>
                  <w:vAlign w:val="center"/>
                </w:tcPr>
                <w:p>
                  <w:pPr>
                    <w:jc w:val="center"/>
                    <w:rPr>
                      <w:rFonts w:hint="eastAsia"/>
                      <w:bCs/>
                      <w:color w:val="auto"/>
                      <w:sz w:val="18"/>
                      <w:szCs w:val="18"/>
                      <w:lang w:val="en-US" w:eastAsia="zh-CN"/>
                    </w:rPr>
                  </w:pPr>
                </w:p>
              </w:tc>
              <w:tc>
                <w:tcPr>
                  <w:tcW w:w="1118" w:type="dxa"/>
                  <w:shd w:val="clear" w:color="auto" w:fill="auto"/>
                  <w:noWrap w:val="0"/>
                  <w:vAlign w:val="center"/>
                </w:tcPr>
                <w:p>
                  <w:pPr>
                    <w:pStyle w:val="49"/>
                    <w:ind w:firstLine="0" w:firstLineChars="0"/>
                    <w:jc w:val="center"/>
                    <w:rPr>
                      <w:rFonts w:hint="eastAsia" w:ascii="Times New Roman" w:hAnsi="Times New Roman" w:eastAsia="宋体" w:cs="Times New Roman"/>
                      <w:bCs/>
                      <w:color w:val="auto"/>
                      <w:kern w:val="0"/>
                      <w:sz w:val="18"/>
                      <w:szCs w:val="18"/>
                      <w:lang w:val="en-US" w:eastAsia="zh-CN" w:bidi="ar-SA"/>
                    </w:rPr>
                  </w:pPr>
                  <w:r>
                    <w:rPr>
                      <w:rFonts w:hint="eastAsia" w:ascii="Times New Roman" w:hAnsi="Times New Roman" w:cs="Times New Roman"/>
                      <w:color w:val="auto"/>
                      <w:sz w:val="18"/>
                      <w:szCs w:val="18"/>
                    </w:rPr>
                    <w:t>NOx</w:t>
                  </w:r>
                </w:p>
              </w:tc>
              <w:tc>
                <w:tcPr>
                  <w:tcW w:w="1162" w:type="dxa"/>
                  <w:vMerge w:val="continue"/>
                  <w:noWrap w:val="0"/>
                  <w:vAlign w:val="center"/>
                </w:tcPr>
                <w:p>
                  <w:pPr>
                    <w:jc w:val="center"/>
                    <w:rPr>
                      <w:rFonts w:hint="eastAsia"/>
                      <w:bCs/>
                      <w:color w:val="auto"/>
                      <w:sz w:val="18"/>
                      <w:szCs w:val="18"/>
                      <w:lang w:val="en-US" w:eastAsia="zh-CN"/>
                    </w:rPr>
                  </w:pPr>
                </w:p>
              </w:tc>
              <w:tc>
                <w:tcPr>
                  <w:tcW w:w="1162" w:type="dxa"/>
                  <w:shd w:val="clear" w:color="auto" w:fill="auto"/>
                  <w:noWrap w:val="0"/>
                  <w:vAlign w:val="center"/>
                </w:tcPr>
                <w:p>
                  <w:pPr>
                    <w:pStyle w:val="30"/>
                    <w:keepNext w:val="0"/>
                    <w:keepLines w:val="0"/>
                    <w:pageBreakBefore w:val="0"/>
                    <w:widowControl/>
                    <w:kinsoku/>
                    <w:wordWrap/>
                    <w:overflowPunct/>
                    <w:topLinePunct w:val="0"/>
                    <w:autoSpaceDE/>
                    <w:autoSpaceDN/>
                    <w:bidi w:val="0"/>
                    <w:spacing w:line="240" w:lineRule="auto"/>
                    <w:ind w:firstLine="0" w:firstLineChars="0"/>
                    <w:textAlignment w:val="auto"/>
                    <w:rPr>
                      <w:rFonts w:hint="eastAsia" w:ascii="Times New Roman" w:hAnsi="Times New Roman" w:eastAsia="宋体" w:cs="Times New Roman"/>
                      <w:bCs/>
                      <w:color w:val="auto"/>
                      <w:kern w:val="0"/>
                      <w:sz w:val="18"/>
                      <w:szCs w:val="18"/>
                      <w:lang w:val="en-US" w:eastAsia="zh-CN" w:bidi="ar-SA"/>
                    </w:rPr>
                  </w:pPr>
                  <w:r>
                    <w:rPr>
                      <w:rFonts w:hint="eastAsia" w:ascii="Times New Roman" w:hAnsi="Times New Roman" w:eastAsia="宋体" w:cs="Times New Roman"/>
                      <w:color w:val="auto"/>
                      <w:kern w:val="2"/>
                      <w:sz w:val="18"/>
                      <w:szCs w:val="18"/>
                      <w:lang w:val="en-US" w:eastAsia="zh-CN"/>
                    </w:rPr>
                    <w:t>180</w:t>
                  </w:r>
                </w:p>
              </w:tc>
              <w:tc>
                <w:tcPr>
                  <w:tcW w:w="1107" w:type="dxa"/>
                  <w:vMerge w:val="continue"/>
                  <w:noWrap w:val="0"/>
                  <w:vAlign w:val="center"/>
                </w:tcPr>
                <w:p>
                  <w:pPr>
                    <w:jc w:val="center"/>
                    <w:rPr>
                      <w:rFonts w:hint="eastAsia"/>
                      <w:bCs/>
                      <w:color w:val="auto"/>
                      <w:sz w:val="18"/>
                      <w:szCs w:val="18"/>
                      <w:lang w:val="en-US" w:eastAsia="zh-CN"/>
                    </w:rPr>
                  </w:pPr>
                </w:p>
              </w:tc>
              <w:tc>
                <w:tcPr>
                  <w:tcW w:w="1070" w:type="dxa"/>
                  <w:noWrap w:val="0"/>
                  <w:vAlign w:val="center"/>
                </w:tcPr>
                <w:p>
                  <w:pPr>
                    <w:keepNext w:val="0"/>
                    <w:keepLines w:val="0"/>
                    <w:widowControl/>
                    <w:suppressLineNumbers w:val="0"/>
                    <w:jc w:val="center"/>
                    <w:textAlignment w:val="center"/>
                    <w:rPr>
                      <w:rFonts w:hint="eastAsia"/>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19.44</w:t>
                  </w:r>
                </w:p>
              </w:tc>
              <w:tc>
                <w:tcPr>
                  <w:tcW w:w="1240" w:type="dxa"/>
                  <w:noWrap w:val="0"/>
                  <w:vAlign w:val="center"/>
                </w:tcPr>
                <w:p>
                  <w:pPr>
                    <w:keepNext w:val="0"/>
                    <w:keepLines w:val="0"/>
                    <w:widowControl/>
                    <w:suppressLineNumbers w:val="0"/>
                    <w:jc w:val="center"/>
                    <w:textAlignment w:val="center"/>
                    <w:rPr>
                      <w:rFonts w:hint="eastAsia"/>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19.44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8" w:hRule="atLeast"/>
                <w:jc w:val="center"/>
              </w:trPr>
              <w:tc>
                <w:tcPr>
                  <w:tcW w:w="1118" w:type="dxa"/>
                  <w:vMerge w:val="continue"/>
                  <w:noWrap w:val="0"/>
                  <w:vAlign w:val="center"/>
                </w:tcPr>
                <w:p>
                  <w:pPr>
                    <w:jc w:val="center"/>
                    <w:rPr>
                      <w:rFonts w:hint="eastAsia"/>
                      <w:bCs/>
                      <w:color w:val="auto"/>
                      <w:sz w:val="18"/>
                      <w:szCs w:val="18"/>
                      <w:lang w:val="en-US" w:eastAsia="zh-CN"/>
                    </w:rPr>
                  </w:pPr>
                </w:p>
              </w:tc>
              <w:tc>
                <w:tcPr>
                  <w:tcW w:w="1118" w:type="dxa"/>
                  <w:shd w:val="clear" w:color="auto" w:fill="auto"/>
                  <w:noWrap w:val="0"/>
                  <w:vAlign w:val="center"/>
                </w:tcPr>
                <w:p>
                  <w:pPr>
                    <w:pStyle w:val="49"/>
                    <w:ind w:firstLine="0" w:firstLineChars="0"/>
                    <w:jc w:val="center"/>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sz w:val="18"/>
                      <w:szCs w:val="18"/>
                    </w:rPr>
                    <w:t>颗粒物</w:t>
                  </w:r>
                </w:p>
              </w:tc>
              <w:tc>
                <w:tcPr>
                  <w:tcW w:w="1162" w:type="dxa"/>
                  <w:vMerge w:val="continue"/>
                  <w:noWrap w:val="0"/>
                  <w:vAlign w:val="center"/>
                </w:tcPr>
                <w:p>
                  <w:pPr>
                    <w:jc w:val="center"/>
                    <w:rPr>
                      <w:rFonts w:hint="eastAsia"/>
                      <w:bCs/>
                      <w:color w:val="auto"/>
                      <w:sz w:val="18"/>
                      <w:szCs w:val="18"/>
                      <w:lang w:val="en-US" w:eastAsia="zh-CN"/>
                    </w:rPr>
                  </w:pPr>
                </w:p>
              </w:tc>
              <w:tc>
                <w:tcPr>
                  <w:tcW w:w="1162" w:type="dxa"/>
                  <w:shd w:val="clear" w:color="auto" w:fill="auto"/>
                  <w:noWrap w:val="0"/>
                  <w:vAlign w:val="center"/>
                </w:tcPr>
                <w:p>
                  <w:pPr>
                    <w:pStyle w:val="30"/>
                    <w:keepNext w:val="0"/>
                    <w:keepLines w:val="0"/>
                    <w:pageBreakBefore w:val="0"/>
                    <w:widowControl/>
                    <w:kinsoku/>
                    <w:wordWrap/>
                    <w:overflowPunct/>
                    <w:topLinePunct w:val="0"/>
                    <w:autoSpaceDE/>
                    <w:autoSpaceDN/>
                    <w:bidi w:val="0"/>
                    <w:spacing w:line="240" w:lineRule="auto"/>
                    <w:ind w:firstLine="0" w:firstLineChars="0"/>
                    <w:textAlignment w:val="auto"/>
                    <w:rPr>
                      <w:rFonts w:hint="eastAsia" w:ascii="Times New Roman" w:hAnsi="Times New Roman" w:eastAsia="宋体" w:cs="Times New Roman"/>
                      <w:bCs/>
                      <w:color w:val="auto"/>
                      <w:kern w:val="0"/>
                      <w:sz w:val="18"/>
                      <w:szCs w:val="18"/>
                      <w:lang w:val="en-US" w:eastAsia="zh-CN" w:bidi="ar-SA"/>
                    </w:rPr>
                  </w:pPr>
                  <w:r>
                    <w:rPr>
                      <w:rFonts w:hint="eastAsia" w:ascii="Times New Roman" w:hAnsi="Times New Roman" w:eastAsia="宋体" w:cs="Times New Roman"/>
                      <w:bCs/>
                      <w:color w:val="auto"/>
                      <w:kern w:val="2"/>
                      <w:sz w:val="18"/>
                      <w:szCs w:val="18"/>
                      <w:lang w:val="en-US" w:eastAsia="zh-CN"/>
                    </w:rPr>
                    <w:t>20</w:t>
                  </w:r>
                </w:p>
              </w:tc>
              <w:tc>
                <w:tcPr>
                  <w:tcW w:w="1107" w:type="dxa"/>
                  <w:vMerge w:val="continue"/>
                  <w:noWrap w:val="0"/>
                  <w:vAlign w:val="center"/>
                </w:tcPr>
                <w:p>
                  <w:pPr>
                    <w:jc w:val="center"/>
                    <w:rPr>
                      <w:rFonts w:hint="eastAsia"/>
                      <w:bCs/>
                      <w:color w:val="auto"/>
                      <w:sz w:val="18"/>
                      <w:szCs w:val="18"/>
                      <w:lang w:val="en-US" w:eastAsia="zh-CN"/>
                    </w:rPr>
                  </w:pPr>
                </w:p>
              </w:tc>
              <w:tc>
                <w:tcPr>
                  <w:tcW w:w="1070" w:type="dxa"/>
                  <w:noWrap w:val="0"/>
                  <w:vAlign w:val="center"/>
                </w:tcPr>
                <w:p>
                  <w:pPr>
                    <w:keepNext w:val="0"/>
                    <w:keepLines w:val="0"/>
                    <w:widowControl/>
                    <w:suppressLineNumbers w:val="0"/>
                    <w:jc w:val="center"/>
                    <w:textAlignment w:val="center"/>
                    <w:rPr>
                      <w:rFonts w:hint="eastAsia"/>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2.16</w:t>
                  </w:r>
                </w:p>
              </w:tc>
              <w:tc>
                <w:tcPr>
                  <w:tcW w:w="1240" w:type="dxa"/>
                  <w:noWrap w:val="0"/>
                  <w:vAlign w:val="center"/>
                </w:tcPr>
                <w:p>
                  <w:pPr>
                    <w:keepNext w:val="0"/>
                    <w:keepLines w:val="0"/>
                    <w:widowControl/>
                    <w:suppressLineNumbers w:val="0"/>
                    <w:jc w:val="center"/>
                    <w:textAlignment w:val="center"/>
                    <w:rPr>
                      <w:rFonts w:hint="eastAsia"/>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2.16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8" w:hRule="atLeast"/>
                <w:jc w:val="center"/>
              </w:trPr>
              <w:tc>
                <w:tcPr>
                  <w:tcW w:w="1118" w:type="dxa"/>
                  <w:vMerge w:val="restart"/>
                  <w:noWrap w:val="0"/>
                  <w:vAlign w:val="center"/>
                </w:tcPr>
                <w:p>
                  <w:pPr>
                    <w:jc w:val="center"/>
                    <w:rPr>
                      <w:rFonts w:hint="eastAsia"/>
                      <w:bCs/>
                      <w:color w:val="auto"/>
                      <w:sz w:val="18"/>
                      <w:szCs w:val="18"/>
                      <w:lang w:val="en-US" w:eastAsia="zh-CN"/>
                    </w:rPr>
                  </w:pPr>
                  <w:r>
                    <w:rPr>
                      <w:rFonts w:hint="eastAsia"/>
                      <w:bCs/>
                      <w:color w:val="auto"/>
                      <w:sz w:val="18"/>
                      <w:szCs w:val="18"/>
                      <w:lang w:val="en-US" w:eastAsia="zh-CN"/>
                    </w:rPr>
                    <w:t>DA003</w:t>
                  </w:r>
                </w:p>
              </w:tc>
              <w:tc>
                <w:tcPr>
                  <w:tcW w:w="1118" w:type="dxa"/>
                  <w:shd w:val="clear" w:color="auto" w:fill="auto"/>
                  <w:noWrap w:val="0"/>
                  <w:vAlign w:val="center"/>
                </w:tcPr>
                <w:p>
                  <w:pPr>
                    <w:pStyle w:val="49"/>
                    <w:ind w:firstLine="0" w:firstLineChars="0"/>
                    <w:jc w:val="center"/>
                    <w:rPr>
                      <w:rFonts w:hint="eastAsia" w:ascii="Times New Roman" w:hAnsi="Times New Roman" w:eastAsia="宋体" w:cs="Times New Roman"/>
                      <w:bCs/>
                      <w:color w:val="auto"/>
                      <w:kern w:val="0"/>
                      <w:sz w:val="18"/>
                      <w:szCs w:val="18"/>
                      <w:lang w:val="en-US" w:eastAsia="zh-CN" w:bidi="ar-SA"/>
                    </w:rPr>
                  </w:pPr>
                  <w:r>
                    <w:rPr>
                      <w:rFonts w:hint="eastAsia" w:ascii="Times New Roman" w:hAnsi="Times New Roman" w:cs="Times New Roman"/>
                      <w:color w:val="auto"/>
                      <w:sz w:val="18"/>
                      <w:szCs w:val="18"/>
                    </w:rPr>
                    <w:t>SO</w:t>
                  </w:r>
                  <w:r>
                    <w:rPr>
                      <w:rFonts w:hint="eastAsia" w:ascii="Times New Roman" w:hAnsi="Times New Roman" w:cs="Times New Roman"/>
                      <w:color w:val="auto"/>
                      <w:sz w:val="18"/>
                      <w:szCs w:val="18"/>
                      <w:vertAlign w:val="subscript"/>
                    </w:rPr>
                    <w:t>2</w:t>
                  </w:r>
                </w:p>
              </w:tc>
              <w:tc>
                <w:tcPr>
                  <w:tcW w:w="1162" w:type="dxa"/>
                  <w:vMerge w:val="restart"/>
                  <w:shd w:val="clear" w:color="auto" w:fill="auto"/>
                  <w:noWrap w:val="0"/>
                  <w:vAlign w:val="center"/>
                </w:tcPr>
                <w:p>
                  <w:pPr>
                    <w:jc w:val="center"/>
                    <w:textAlignment w:val="center"/>
                    <w:rPr>
                      <w:rFonts w:hint="eastAsia" w:ascii="Times New Roman" w:hAnsi="Times New Roman" w:eastAsia="宋体" w:cs="Times New Roman"/>
                      <w:bCs/>
                      <w:color w:val="auto"/>
                      <w:kern w:val="2"/>
                      <w:sz w:val="18"/>
                      <w:szCs w:val="18"/>
                      <w:lang w:val="en-US" w:eastAsia="zh-CN" w:bidi="ar-SA"/>
                    </w:rPr>
                  </w:pPr>
                  <w:r>
                    <w:rPr>
                      <w:rFonts w:hint="eastAsia"/>
                      <w:bCs/>
                      <w:color w:val="auto"/>
                      <w:sz w:val="18"/>
                      <w:szCs w:val="18"/>
                      <w:lang w:val="en-US" w:eastAsia="zh-CN"/>
                    </w:rPr>
                    <w:t>280</w:t>
                  </w:r>
                  <w:r>
                    <w:rPr>
                      <w:rFonts w:hint="eastAsia"/>
                      <w:bCs/>
                      <w:color w:val="auto"/>
                      <w:sz w:val="18"/>
                      <w:szCs w:val="18"/>
                    </w:rPr>
                    <w:t>00</w:t>
                  </w:r>
                </w:p>
              </w:tc>
              <w:tc>
                <w:tcPr>
                  <w:tcW w:w="1162" w:type="dxa"/>
                  <w:shd w:val="clear" w:color="auto" w:fill="auto"/>
                  <w:noWrap w:val="0"/>
                  <w:vAlign w:val="center"/>
                </w:tcPr>
                <w:p>
                  <w:pPr>
                    <w:pStyle w:val="30"/>
                    <w:keepNext w:val="0"/>
                    <w:keepLines w:val="0"/>
                    <w:pageBreakBefore w:val="0"/>
                    <w:widowControl/>
                    <w:kinsoku/>
                    <w:wordWrap/>
                    <w:overflowPunct/>
                    <w:topLinePunct w:val="0"/>
                    <w:autoSpaceDE/>
                    <w:autoSpaceDN/>
                    <w:bidi w:val="0"/>
                    <w:spacing w:line="240" w:lineRule="auto"/>
                    <w:ind w:firstLine="0" w:firstLineChars="0"/>
                    <w:textAlignment w:val="auto"/>
                    <w:rPr>
                      <w:rFonts w:hint="eastAsia" w:ascii="Times New Roman" w:hAnsi="Times New Roman" w:eastAsia="宋体" w:cs="Times New Roman"/>
                      <w:bCs/>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rPr>
                    <w:t>80</w:t>
                  </w:r>
                </w:p>
              </w:tc>
              <w:tc>
                <w:tcPr>
                  <w:tcW w:w="1107" w:type="dxa"/>
                  <w:vMerge w:val="restart"/>
                  <w:noWrap w:val="0"/>
                  <w:vAlign w:val="center"/>
                </w:tcPr>
                <w:p>
                  <w:pPr>
                    <w:jc w:val="center"/>
                    <w:rPr>
                      <w:rFonts w:hint="eastAsia"/>
                      <w:bCs/>
                      <w:color w:val="auto"/>
                      <w:sz w:val="18"/>
                      <w:szCs w:val="18"/>
                      <w:lang w:val="en-US" w:eastAsia="zh-CN"/>
                    </w:rPr>
                  </w:pPr>
                  <w:r>
                    <w:rPr>
                      <w:rFonts w:hint="eastAsia"/>
                      <w:bCs/>
                      <w:color w:val="auto"/>
                      <w:sz w:val="18"/>
                      <w:szCs w:val="18"/>
                      <w:lang w:val="en-US" w:eastAsia="zh-CN"/>
                    </w:rPr>
                    <w:t>7200</w:t>
                  </w:r>
                </w:p>
              </w:tc>
              <w:tc>
                <w:tcPr>
                  <w:tcW w:w="1070" w:type="dxa"/>
                  <w:noWrap w:val="0"/>
                  <w:vAlign w:val="center"/>
                </w:tcPr>
                <w:p>
                  <w:pPr>
                    <w:keepNext w:val="0"/>
                    <w:keepLines w:val="0"/>
                    <w:widowControl/>
                    <w:suppressLineNumbers w:val="0"/>
                    <w:jc w:val="center"/>
                    <w:textAlignment w:val="center"/>
                    <w:rPr>
                      <w:rFonts w:hint="eastAsia"/>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16.128</w:t>
                  </w:r>
                </w:p>
              </w:tc>
              <w:tc>
                <w:tcPr>
                  <w:tcW w:w="1240" w:type="dxa"/>
                  <w:noWrap w:val="0"/>
                  <w:vAlign w:val="center"/>
                </w:tcPr>
                <w:p>
                  <w:pPr>
                    <w:keepNext w:val="0"/>
                    <w:keepLines w:val="0"/>
                    <w:widowControl/>
                    <w:suppressLineNumbers w:val="0"/>
                    <w:jc w:val="center"/>
                    <w:textAlignment w:val="center"/>
                    <w:rPr>
                      <w:rFonts w:hint="eastAsia"/>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16.128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8" w:hRule="atLeast"/>
                <w:jc w:val="center"/>
              </w:trPr>
              <w:tc>
                <w:tcPr>
                  <w:tcW w:w="1118" w:type="dxa"/>
                  <w:vMerge w:val="continue"/>
                  <w:noWrap w:val="0"/>
                  <w:vAlign w:val="center"/>
                </w:tcPr>
                <w:p>
                  <w:pPr>
                    <w:jc w:val="center"/>
                    <w:rPr>
                      <w:rFonts w:hint="eastAsia"/>
                      <w:bCs/>
                      <w:color w:val="auto"/>
                      <w:sz w:val="18"/>
                      <w:szCs w:val="18"/>
                      <w:lang w:val="en-US" w:eastAsia="zh-CN"/>
                    </w:rPr>
                  </w:pPr>
                </w:p>
              </w:tc>
              <w:tc>
                <w:tcPr>
                  <w:tcW w:w="1118" w:type="dxa"/>
                  <w:shd w:val="clear" w:color="auto" w:fill="auto"/>
                  <w:noWrap w:val="0"/>
                  <w:vAlign w:val="center"/>
                </w:tcPr>
                <w:p>
                  <w:pPr>
                    <w:pStyle w:val="49"/>
                    <w:ind w:firstLine="0" w:firstLineChars="0"/>
                    <w:jc w:val="center"/>
                    <w:rPr>
                      <w:rFonts w:hint="eastAsia" w:ascii="Times New Roman" w:hAnsi="Times New Roman" w:eastAsia="宋体" w:cs="Times New Roman"/>
                      <w:bCs/>
                      <w:color w:val="auto"/>
                      <w:kern w:val="0"/>
                      <w:sz w:val="18"/>
                      <w:szCs w:val="18"/>
                      <w:lang w:val="en-US" w:eastAsia="zh-CN" w:bidi="ar-SA"/>
                    </w:rPr>
                  </w:pPr>
                  <w:r>
                    <w:rPr>
                      <w:rFonts w:hint="eastAsia" w:ascii="Times New Roman" w:hAnsi="Times New Roman" w:cs="Times New Roman"/>
                      <w:color w:val="auto"/>
                      <w:sz w:val="18"/>
                      <w:szCs w:val="18"/>
                    </w:rPr>
                    <w:t>NOx</w:t>
                  </w:r>
                </w:p>
              </w:tc>
              <w:tc>
                <w:tcPr>
                  <w:tcW w:w="1162" w:type="dxa"/>
                  <w:vMerge w:val="continue"/>
                  <w:noWrap w:val="0"/>
                  <w:vAlign w:val="center"/>
                </w:tcPr>
                <w:p>
                  <w:pPr>
                    <w:jc w:val="center"/>
                    <w:rPr>
                      <w:rFonts w:hint="eastAsia"/>
                      <w:bCs/>
                      <w:color w:val="auto"/>
                      <w:sz w:val="18"/>
                      <w:szCs w:val="18"/>
                      <w:lang w:val="en-US" w:eastAsia="zh-CN"/>
                    </w:rPr>
                  </w:pPr>
                </w:p>
              </w:tc>
              <w:tc>
                <w:tcPr>
                  <w:tcW w:w="1162" w:type="dxa"/>
                  <w:shd w:val="clear" w:color="auto" w:fill="auto"/>
                  <w:noWrap w:val="0"/>
                  <w:vAlign w:val="center"/>
                </w:tcPr>
                <w:p>
                  <w:pPr>
                    <w:pStyle w:val="30"/>
                    <w:keepNext w:val="0"/>
                    <w:keepLines w:val="0"/>
                    <w:pageBreakBefore w:val="0"/>
                    <w:widowControl/>
                    <w:kinsoku/>
                    <w:wordWrap/>
                    <w:overflowPunct/>
                    <w:topLinePunct w:val="0"/>
                    <w:autoSpaceDE/>
                    <w:autoSpaceDN/>
                    <w:bidi w:val="0"/>
                    <w:spacing w:line="240" w:lineRule="auto"/>
                    <w:ind w:firstLine="0" w:firstLineChars="0"/>
                    <w:textAlignment w:val="auto"/>
                    <w:rPr>
                      <w:rFonts w:hint="eastAsia" w:ascii="Times New Roman" w:hAnsi="Times New Roman" w:eastAsia="宋体" w:cs="Times New Roman"/>
                      <w:bCs/>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rPr>
                    <w:t>180</w:t>
                  </w:r>
                </w:p>
              </w:tc>
              <w:tc>
                <w:tcPr>
                  <w:tcW w:w="1107" w:type="dxa"/>
                  <w:vMerge w:val="continue"/>
                  <w:noWrap w:val="0"/>
                  <w:vAlign w:val="center"/>
                </w:tcPr>
                <w:p>
                  <w:pPr>
                    <w:jc w:val="center"/>
                    <w:rPr>
                      <w:rFonts w:hint="eastAsia"/>
                      <w:bCs/>
                      <w:color w:val="auto"/>
                      <w:sz w:val="18"/>
                      <w:szCs w:val="18"/>
                      <w:lang w:val="en-US" w:eastAsia="zh-CN"/>
                    </w:rPr>
                  </w:pPr>
                </w:p>
              </w:tc>
              <w:tc>
                <w:tcPr>
                  <w:tcW w:w="1070" w:type="dxa"/>
                  <w:noWrap w:val="0"/>
                  <w:vAlign w:val="center"/>
                </w:tcPr>
                <w:p>
                  <w:pPr>
                    <w:keepNext w:val="0"/>
                    <w:keepLines w:val="0"/>
                    <w:widowControl/>
                    <w:suppressLineNumbers w:val="0"/>
                    <w:jc w:val="center"/>
                    <w:textAlignment w:val="center"/>
                    <w:rPr>
                      <w:rFonts w:hint="eastAsia"/>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36.288</w:t>
                  </w:r>
                </w:p>
              </w:tc>
              <w:tc>
                <w:tcPr>
                  <w:tcW w:w="1240" w:type="dxa"/>
                  <w:noWrap w:val="0"/>
                  <w:vAlign w:val="center"/>
                </w:tcPr>
                <w:p>
                  <w:pPr>
                    <w:keepNext w:val="0"/>
                    <w:keepLines w:val="0"/>
                    <w:widowControl/>
                    <w:suppressLineNumbers w:val="0"/>
                    <w:jc w:val="center"/>
                    <w:textAlignment w:val="center"/>
                    <w:rPr>
                      <w:rFonts w:hint="eastAsia"/>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36.288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8" w:hRule="atLeast"/>
                <w:jc w:val="center"/>
              </w:trPr>
              <w:tc>
                <w:tcPr>
                  <w:tcW w:w="1118" w:type="dxa"/>
                  <w:vMerge w:val="continue"/>
                  <w:noWrap w:val="0"/>
                  <w:vAlign w:val="center"/>
                </w:tcPr>
                <w:p>
                  <w:pPr>
                    <w:jc w:val="center"/>
                    <w:rPr>
                      <w:rFonts w:hint="eastAsia"/>
                      <w:bCs/>
                      <w:color w:val="auto"/>
                      <w:sz w:val="18"/>
                      <w:szCs w:val="18"/>
                      <w:lang w:val="en-US" w:eastAsia="zh-CN"/>
                    </w:rPr>
                  </w:pPr>
                </w:p>
              </w:tc>
              <w:tc>
                <w:tcPr>
                  <w:tcW w:w="1118" w:type="dxa"/>
                  <w:shd w:val="clear" w:color="auto" w:fill="auto"/>
                  <w:noWrap w:val="0"/>
                  <w:vAlign w:val="center"/>
                </w:tcPr>
                <w:p>
                  <w:pPr>
                    <w:pStyle w:val="49"/>
                    <w:ind w:firstLine="0" w:firstLineChars="0"/>
                    <w:jc w:val="center"/>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sz w:val="18"/>
                      <w:szCs w:val="18"/>
                    </w:rPr>
                    <w:t>颗粒物</w:t>
                  </w:r>
                </w:p>
              </w:tc>
              <w:tc>
                <w:tcPr>
                  <w:tcW w:w="1162" w:type="dxa"/>
                  <w:vMerge w:val="continue"/>
                  <w:noWrap w:val="0"/>
                  <w:vAlign w:val="center"/>
                </w:tcPr>
                <w:p>
                  <w:pPr>
                    <w:jc w:val="center"/>
                    <w:rPr>
                      <w:rFonts w:hint="eastAsia"/>
                      <w:bCs/>
                      <w:color w:val="auto"/>
                      <w:sz w:val="18"/>
                      <w:szCs w:val="18"/>
                      <w:lang w:val="en-US" w:eastAsia="zh-CN"/>
                    </w:rPr>
                  </w:pPr>
                </w:p>
              </w:tc>
              <w:tc>
                <w:tcPr>
                  <w:tcW w:w="1162" w:type="dxa"/>
                  <w:shd w:val="clear" w:color="auto" w:fill="auto"/>
                  <w:noWrap w:val="0"/>
                  <w:vAlign w:val="center"/>
                </w:tcPr>
                <w:p>
                  <w:pPr>
                    <w:pStyle w:val="30"/>
                    <w:keepNext w:val="0"/>
                    <w:keepLines w:val="0"/>
                    <w:pageBreakBefore w:val="0"/>
                    <w:widowControl/>
                    <w:kinsoku/>
                    <w:wordWrap/>
                    <w:overflowPunct/>
                    <w:topLinePunct w:val="0"/>
                    <w:autoSpaceDE/>
                    <w:autoSpaceDN/>
                    <w:bidi w:val="0"/>
                    <w:spacing w:line="240" w:lineRule="auto"/>
                    <w:ind w:firstLine="0" w:firstLineChars="0"/>
                    <w:textAlignment w:val="auto"/>
                    <w:rPr>
                      <w:rFonts w:hint="eastAsia" w:ascii="Times New Roman" w:hAnsi="Times New Roman" w:eastAsia="宋体" w:cs="Times New Roman"/>
                      <w:bCs/>
                      <w:color w:val="auto"/>
                      <w:kern w:val="2"/>
                      <w:sz w:val="18"/>
                      <w:szCs w:val="18"/>
                      <w:lang w:val="en-US" w:eastAsia="zh-CN" w:bidi="ar-SA"/>
                    </w:rPr>
                  </w:pPr>
                  <w:r>
                    <w:rPr>
                      <w:rFonts w:hint="eastAsia" w:ascii="Times New Roman" w:hAnsi="Times New Roman" w:eastAsia="宋体" w:cs="Times New Roman"/>
                      <w:bCs/>
                      <w:color w:val="auto"/>
                      <w:kern w:val="2"/>
                      <w:sz w:val="18"/>
                      <w:szCs w:val="18"/>
                      <w:lang w:val="en-US" w:eastAsia="zh-CN"/>
                    </w:rPr>
                    <w:t>20</w:t>
                  </w:r>
                </w:p>
              </w:tc>
              <w:tc>
                <w:tcPr>
                  <w:tcW w:w="1107" w:type="dxa"/>
                  <w:vMerge w:val="continue"/>
                  <w:noWrap w:val="0"/>
                  <w:vAlign w:val="center"/>
                </w:tcPr>
                <w:p>
                  <w:pPr>
                    <w:jc w:val="center"/>
                    <w:rPr>
                      <w:rFonts w:hint="eastAsia"/>
                      <w:bCs/>
                      <w:color w:val="auto"/>
                      <w:sz w:val="18"/>
                      <w:szCs w:val="18"/>
                      <w:lang w:val="en-US" w:eastAsia="zh-CN"/>
                    </w:rPr>
                  </w:pPr>
                </w:p>
              </w:tc>
              <w:tc>
                <w:tcPr>
                  <w:tcW w:w="1070" w:type="dxa"/>
                  <w:noWrap w:val="0"/>
                  <w:vAlign w:val="center"/>
                </w:tcPr>
                <w:p>
                  <w:pPr>
                    <w:keepNext w:val="0"/>
                    <w:keepLines w:val="0"/>
                    <w:widowControl/>
                    <w:suppressLineNumbers w:val="0"/>
                    <w:jc w:val="center"/>
                    <w:textAlignment w:val="center"/>
                    <w:rPr>
                      <w:rFonts w:hint="eastAsia"/>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4.032</w:t>
                  </w:r>
                </w:p>
              </w:tc>
              <w:tc>
                <w:tcPr>
                  <w:tcW w:w="1240" w:type="dxa"/>
                  <w:noWrap w:val="0"/>
                  <w:vAlign w:val="center"/>
                </w:tcPr>
                <w:p>
                  <w:pPr>
                    <w:keepNext w:val="0"/>
                    <w:keepLines w:val="0"/>
                    <w:widowControl/>
                    <w:suppressLineNumbers w:val="0"/>
                    <w:jc w:val="center"/>
                    <w:textAlignment w:val="center"/>
                    <w:rPr>
                      <w:rFonts w:hint="eastAsia"/>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4.032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8" w:hRule="atLeast"/>
                <w:jc w:val="center"/>
              </w:trPr>
              <w:tc>
                <w:tcPr>
                  <w:tcW w:w="1118" w:type="dxa"/>
                  <w:vMerge w:val="restart"/>
                  <w:noWrap w:val="0"/>
                  <w:vAlign w:val="center"/>
                </w:tcPr>
                <w:p>
                  <w:pPr>
                    <w:jc w:val="center"/>
                    <w:rPr>
                      <w:rFonts w:hint="eastAsia"/>
                      <w:bCs/>
                      <w:color w:val="auto"/>
                      <w:sz w:val="18"/>
                      <w:szCs w:val="18"/>
                      <w:lang w:val="en-US" w:eastAsia="zh-CN"/>
                    </w:rPr>
                  </w:pPr>
                  <w:r>
                    <w:rPr>
                      <w:rFonts w:hint="eastAsia"/>
                      <w:bCs/>
                      <w:color w:val="auto"/>
                      <w:sz w:val="18"/>
                      <w:szCs w:val="18"/>
                      <w:lang w:val="en-US" w:eastAsia="zh-CN"/>
                    </w:rPr>
                    <w:t>DA008</w:t>
                  </w:r>
                </w:p>
              </w:tc>
              <w:tc>
                <w:tcPr>
                  <w:tcW w:w="1118" w:type="dxa"/>
                  <w:noWrap w:val="0"/>
                  <w:vAlign w:val="center"/>
                </w:tcPr>
                <w:p>
                  <w:pPr>
                    <w:pStyle w:val="49"/>
                    <w:ind w:firstLine="0" w:firstLineChars="0"/>
                    <w:jc w:val="center"/>
                    <w:rPr>
                      <w:rFonts w:hint="eastAsia"/>
                      <w:bCs/>
                      <w:color w:val="auto"/>
                      <w:sz w:val="18"/>
                      <w:szCs w:val="18"/>
                      <w:lang w:val="en-US" w:eastAsia="zh-CN"/>
                    </w:rPr>
                  </w:pPr>
                  <w:r>
                    <w:rPr>
                      <w:rFonts w:hint="eastAsia" w:ascii="Times New Roman" w:hAnsi="Times New Roman" w:cs="Times New Roman"/>
                      <w:color w:val="auto"/>
                      <w:sz w:val="18"/>
                      <w:szCs w:val="18"/>
                    </w:rPr>
                    <w:t>SO</w:t>
                  </w:r>
                  <w:r>
                    <w:rPr>
                      <w:rFonts w:hint="eastAsia" w:ascii="Times New Roman" w:hAnsi="Times New Roman" w:cs="Times New Roman"/>
                      <w:color w:val="auto"/>
                      <w:sz w:val="18"/>
                      <w:szCs w:val="18"/>
                      <w:vertAlign w:val="subscript"/>
                    </w:rPr>
                    <w:t>2</w:t>
                  </w:r>
                </w:p>
              </w:tc>
              <w:tc>
                <w:tcPr>
                  <w:tcW w:w="1162" w:type="dxa"/>
                  <w:vMerge w:val="restart"/>
                  <w:shd w:val="clear" w:color="auto" w:fill="auto"/>
                  <w:noWrap w:val="0"/>
                  <w:vAlign w:val="center"/>
                </w:tcPr>
                <w:p>
                  <w:pPr>
                    <w:jc w:val="center"/>
                    <w:textAlignment w:val="center"/>
                    <w:rPr>
                      <w:rFonts w:hint="eastAsia" w:ascii="Times New Roman" w:hAnsi="Times New Roman" w:eastAsia="宋体" w:cs="Times New Roman"/>
                      <w:bCs/>
                      <w:color w:val="auto"/>
                      <w:kern w:val="2"/>
                      <w:sz w:val="18"/>
                      <w:szCs w:val="18"/>
                      <w:lang w:val="en-US" w:eastAsia="zh-CN" w:bidi="ar-SA"/>
                    </w:rPr>
                  </w:pPr>
                  <w:r>
                    <w:rPr>
                      <w:rFonts w:hint="eastAsia"/>
                      <w:bCs/>
                      <w:color w:val="auto"/>
                      <w:sz w:val="18"/>
                      <w:szCs w:val="18"/>
                      <w:lang w:val="en-US" w:eastAsia="zh-CN"/>
                    </w:rPr>
                    <w:t>120</w:t>
                  </w:r>
                  <w:r>
                    <w:rPr>
                      <w:rFonts w:hint="eastAsia"/>
                      <w:bCs/>
                      <w:color w:val="auto"/>
                      <w:sz w:val="18"/>
                      <w:szCs w:val="18"/>
                    </w:rPr>
                    <w:t>00</w:t>
                  </w:r>
                </w:p>
              </w:tc>
              <w:tc>
                <w:tcPr>
                  <w:tcW w:w="1162" w:type="dxa"/>
                  <w:shd w:val="clear" w:color="auto" w:fill="auto"/>
                  <w:noWrap w:val="0"/>
                  <w:vAlign w:val="center"/>
                </w:tcPr>
                <w:p>
                  <w:pPr>
                    <w:pStyle w:val="30"/>
                    <w:keepNext w:val="0"/>
                    <w:keepLines w:val="0"/>
                    <w:pageBreakBefore w:val="0"/>
                    <w:widowControl/>
                    <w:kinsoku/>
                    <w:wordWrap/>
                    <w:overflowPunct/>
                    <w:topLinePunct w:val="0"/>
                    <w:autoSpaceDE/>
                    <w:autoSpaceDN/>
                    <w:bidi w:val="0"/>
                    <w:spacing w:line="240" w:lineRule="auto"/>
                    <w:ind w:firstLine="0" w:firstLineChars="0"/>
                    <w:textAlignment w:val="auto"/>
                    <w:rPr>
                      <w:rFonts w:hint="eastAsia" w:ascii="Times New Roman" w:hAnsi="Times New Roman" w:eastAsia="宋体" w:cs="Times New Roman"/>
                      <w:bCs/>
                      <w:color w:val="auto"/>
                      <w:kern w:val="0"/>
                      <w:sz w:val="18"/>
                      <w:szCs w:val="18"/>
                      <w:lang w:val="en-US" w:eastAsia="zh-CN" w:bidi="ar-SA"/>
                    </w:rPr>
                  </w:pPr>
                  <w:r>
                    <w:rPr>
                      <w:rFonts w:hint="eastAsia" w:ascii="Times New Roman" w:hAnsi="Times New Roman" w:eastAsia="宋体" w:cs="Times New Roman"/>
                      <w:color w:val="auto"/>
                      <w:kern w:val="2"/>
                      <w:sz w:val="18"/>
                      <w:szCs w:val="18"/>
                      <w:lang w:val="en-US" w:eastAsia="zh-CN"/>
                    </w:rPr>
                    <w:t>80</w:t>
                  </w:r>
                </w:p>
              </w:tc>
              <w:tc>
                <w:tcPr>
                  <w:tcW w:w="1107" w:type="dxa"/>
                  <w:vMerge w:val="restart"/>
                  <w:noWrap w:val="0"/>
                  <w:vAlign w:val="center"/>
                </w:tcPr>
                <w:p>
                  <w:pPr>
                    <w:jc w:val="center"/>
                    <w:rPr>
                      <w:rFonts w:hint="eastAsia"/>
                      <w:bCs/>
                      <w:color w:val="auto"/>
                      <w:sz w:val="18"/>
                      <w:szCs w:val="18"/>
                      <w:lang w:val="en-US" w:eastAsia="zh-CN"/>
                    </w:rPr>
                  </w:pPr>
                  <w:r>
                    <w:rPr>
                      <w:rFonts w:hint="eastAsia"/>
                      <w:bCs/>
                      <w:color w:val="auto"/>
                      <w:sz w:val="18"/>
                      <w:szCs w:val="18"/>
                      <w:lang w:val="en-US" w:eastAsia="zh-CN"/>
                    </w:rPr>
                    <w:t>7200</w:t>
                  </w:r>
                </w:p>
              </w:tc>
              <w:tc>
                <w:tcPr>
                  <w:tcW w:w="1070" w:type="dxa"/>
                  <w:noWrap w:val="0"/>
                  <w:vAlign w:val="center"/>
                </w:tcPr>
                <w:p>
                  <w:pPr>
                    <w:keepNext w:val="0"/>
                    <w:keepLines w:val="0"/>
                    <w:widowControl/>
                    <w:suppressLineNumbers w:val="0"/>
                    <w:jc w:val="center"/>
                    <w:textAlignment w:val="center"/>
                    <w:rPr>
                      <w:rFonts w:hint="eastAsia"/>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6.912</w:t>
                  </w:r>
                </w:p>
              </w:tc>
              <w:tc>
                <w:tcPr>
                  <w:tcW w:w="1240" w:type="dxa"/>
                  <w:noWrap w:val="0"/>
                  <w:vAlign w:val="center"/>
                </w:tcPr>
                <w:p>
                  <w:pPr>
                    <w:keepNext w:val="0"/>
                    <w:keepLines w:val="0"/>
                    <w:widowControl/>
                    <w:suppressLineNumbers w:val="0"/>
                    <w:jc w:val="center"/>
                    <w:textAlignment w:val="center"/>
                    <w:rPr>
                      <w:rFonts w:hint="eastAsia"/>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6.912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8" w:hRule="atLeast"/>
                <w:jc w:val="center"/>
              </w:trPr>
              <w:tc>
                <w:tcPr>
                  <w:tcW w:w="1118" w:type="dxa"/>
                  <w:vMerge w:val="continue"/>
                  <w:noWrap w:val="0"/>
                  <w:vAlign w:val="center"/>
                </w:tcPr>
                <w:p>
                  <w:pPr>
                    <w:jc w:val="center"/>
                    <w:rPr>
                      <w:rFonts w:hint="eastAsia"/>
                      <w:bCs/>
                      <w:color w:val="auto"/>
                      <w:sz w:val="18"/>
                      <w:szCs w:val="18"/>
                      <w:lang w:val="en-US" w:eastAsia="zh-CN"/>
                    </w:rPr>
                  </w:pPr>
                </w:p>
              </w:tc>
              <w:tc>
                <w:tcPr>
                  <w:tcW w:w="1118" w:type="dxa"/>
                  <w:noWrap w:val="0"/>
                  <w:vAlign w:val="center"/>
                </w:tcPr>
                <w:p>
                  <w:pPr>
                    <w:pStyle w:val="49"/>
                    <w:ind w:firstLine="0" w:firstLineChars="0"/>
                    <w:jc w:val="center"/>
                    <w:rPr>
                      <w:rFonts w:hint="eastAsia"/>
                      <w:bCs/>
                      <w:color w:val="auto"/>
                      <w:sz w:val="18"/>
                      <w:szCs w:val="18"/>
                      <w:lang w:val="en-US" w:eastAsia="zh-CN"/>
                    </w:rPr>
                  </w:pPr>
                  <w:r>
                    <w:rPr>
                      <w:rFonts w:hint="eastAsia" w:ascii="Times New Roman" w:hAnsi="Times New Roman" w:cs="Times New Roman"/>
                      <w:color w:val="auto"/>
                      <w:sz w:val="18"/>
                      <w:szCs w:val="18"/>
                    </w:rPr>
                    <w:t>NOx</w:t>
                  </w:r>
                </w:p>
              </w:tc>
              <w:tc>
                <w:tcPr>
                  <w:tcW w:w="1162" w:type="dxa"/>
                  <w:vMerge w:val="continue"/>
                  <w:noWrap w:val="0"/>
                  <w:vAlign w:val="center"/>
                </w:tcPr>
                <w:p>
                  <w:pPr>
                    <w:jc w:val="center"/>
                    <w:rPr>
                      <w:rFonts w:hint="eastAsia"/>
                      <w:bCs/>
                      <w:color w:val="auto"/>
                      <w:sz w:val="18"/>
                      <w:szCs w:val="18"/>
                      <w:lang w:val="en-US" w:eastAsia="zh-CN"/>
                    </w:rPr>
                  </w:pPr>
                </w:p>
              </w:tc>
              <w:tc>
                <w:tcPr>
                  <w:tcW w:w="1162" w:type="dxa"/>
                  <w:shd w:val="clear" w:color="auto" w:fill="auto"/>
                  <w:noWrap w:val="0"/>
                  <w:vAlign w:val="center"/>
                </w:tcPr>
                <w:p>
                  <w:pPr>
                    <w:pStyle w:val="30"/>
                    <w:keepNext w:val="0"/>
                    <w:keepLines w:val="0"/>
                    <w:pageBreakBefore w:val="0"/>
                    <w:widowControl/>
                    <w:kinsoku/>
                    <w:wordWrap/>
                    <w:overflowPunct/>
                    <w:topLinePunct w:val="0"/>
                    <w:autoSpaceDE/>
                    <w:autoSpaceDN/>
                    <w:bidi w:val="0"/>
                    <w:spacing w:line="240" w:lineRule="auto"/>
                    <w:ind w:firstLine="0" w:firstLineChars="0"/>
                    <w:textAlignment w:val="auto"/>
                    <w:rPr>
                      <w:rFonts w:hint="eastAsia" w:ascii="Times New Roman" w:hAnsi="Times New Roman" w:eastAsia="宋体" w:cs="Times New Roman"/>
                      <w:bCs/>
                      <w:color w:val="auto"/>
                      <w:kern w:val="0"/>
                      <w:sz w:val="18"/>
                      <w:szCs w:val="18"/>
                      <w:lang w:val="en-US" w:eastAsia="zh-CN" w:bidi="ar-SA"/>
                    </w:rPr>
                  </w:pPr>
                  <w:r>
                    <w:rPr>
                      <w:rFonts w:hint="eastAsia" w:ascii="Times New Roman" w:hAnsi="Times New Roman" w:eastAsia="宋体" w:cs="Times New Roman"/>
                      <w:color w:val="auto"/>
                      <w:kern w:val="2"/>
                      <w:sz w:val="18"/>
                      <w:szCs w:val="18"/>
                      <w:lang w:val="en-US" w:eastAsia="zh-CN"/>
                    </w:rPr>
                    <w:t>180</w:t>
                  </w:r>
                </w:p>
              </w:tc>
              <w:tc>
                <w:tcPr>
                  <w:tcW w:w="1107" w:type="dxa"/>
                  <w:vMerge w:val="continue"/>
                  <w:noWrap w:val="0"/>
                  <w:vAlign w:val="center"/>
                </w:tcPr>
                <w:p>
                  <w:pPr>
                    <w:jc w:val="center"/>
                    <w:rPr>
                      <w:rFonts w:hint="eastAsia"/>
                      <w:bCs/>
                      <w:color w:val="auto"/>
                      <w:sz w:val="18"/>
                      <w:szCs w:val="18"/>
                      <w:lang w:val="en-US" w:eastAsia="zh-CN"/>
                    </w:rPr>
                  </w:pPr>
                </w:p>
              </w:tc>
              <w:tc>
                <w:tcPr>
                  <w:tcW w:w="1070" w:type="dxa"/>
                  <w:noWrap w:val="0"/>
                  <w:vAlign w:val="center"/>
                </w:tcPr>
                <w:p>
                  <w:pPr>
                    <w:keepNext w:val="0"/>
                    <w:keepLines w:val="0"/>
                    <w:widowControl/>
                    <w:suppressLineNumbers w:val="0"/>
                    <w:jc w:val="center"/>
                    <w:textAlignment w:val="center"/>
                    <w:rPr>
                      <w:rFonts w:hint="eastAsia"/>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15.552</w:t>
                  </w:r>
                </w:p>
              </w:tc>
              <w:tc>
                <w:tcPr>
                  <w:tcW w:w="1240" w:type="dxa"/>
                  <w:noWrap w:val="0"/>
                  <w:vAlign w:val="center"/>
                </w:tcPr>
                <w:p>
                  <w:pPr>
                    <w:keepNext w:val="0"/>
                    <w:keepLines w:val="0"/>
                    <w:widowControl/>
                    <w:suppressLineNumbers w:val="0"/>
                    <w:jc w:val="center"/>
                    <w:textAlignment w:val="center"/>
                    <w:rPr>
                      <w:rFonts w:hint="eastAsia"/>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15.552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8" w:hRule="atLeast"/>
                <w:jc w:val="center"/>
              </w:trPr>
              <w:tc>
                <w:tcPr>
                  <w:tcW w:w="1118" w:type="dxa"/>
                  <w:vMerge w:val="continue"/>
                  <w:noWrap w:val="0"/>
                  <w:vAlign w:val="center"/>
                </w:tcPr>
                <w:p>
                  <w:pPr>
                    <w:jc w:val="center"/>
                    <w:rPr>
                      <w:rFonts w:hint="eastAsia"/>
                      <w:bCs/>
                      <w:color w:val="auto"/>
                      <w:sz w:val="18"/>
                      <w:szCs w:val="18"/>
                      <w:lang w:val="en-US" w:eastAsia="zh-CN"/>
                    </w:rPr>
                  </w:pPr>
                </w:p>
              </w:tc>
              <w:tc>
                <w:tcPr>
                  <w:tcW w:w="1118" w:type="dxa"/>
                  <w:noWrap w:val="0"/>
                  <w:vAlign w:val="center"/>
                </w:tcPr>
                <w:p>
                  <w:pPr>
                    <w:pStyle w:val="49"/>
                    <w:ind w:firstLine="0" w:firstLineChars="0"/>
                    <w:jc w:val="center"/>
                    <w:rPr>
                      <w:rFonts w:hint="eastAsia"/>
                      <w:bCs/>
                      <w:color w:val="auto"/>
                      <w:sz w:val="18"/>
                      <w:szCs w:val="18"/>
                      <w:lang w:val="en-US" w:eastAsia="zh-CN"/>
                    </w:rPr>
                  </w:pPr>
                  <w:r>
                    <w:rPr>
                      <w:rFonts w:hint="eastAsia" w:ascii="Times New Roman" w:hAnsi="Times New Roman" w:cs="Times New Roman"/>
                      <w:color w:val="auto"/>
                      <w:sz w:val="18"/>
                      <w:szCs w:val="18"/>
                    </w:rPr>
                    <w:t>颗粒物</w:t>
                  </w:r>
                </w:p>
              </w:tc>
              <w:tc>
                <w:tcPr>
                  <w:tcW w:w="1162" w:type="dxa"/>
                  <w:vMerge w:val="continue"/>
                  <w:noWrap w:val="0"/>
                  <w:vAlign w:val="center"/>
                </w:tcPr>
                <w:p>
                  <w:pPr>
                    <w:jc w:val="center"/>
                    <w:rPr>
                      <w:rFonts w:hint="eastAsia"/>
                      <w:bCs/>
                      <w:color w:val="auto"/>
                      <w:sz w:val="18"/>
                      <w:szCs w:val="18"/>
                      <w:lang w:val="en-US" w:eastAsia="zh-CN"/>
                    </w:rPr>
                  </w:pPr>
                </w:p>
              </w:tc>
              <w:tc>
                <w:tcPr>
                  <w:tcW w:w="1162" w:type="dxa"/>
                  <w:shd w:val="clear" w:color="auto" w:fill="auto"/>
                  <w:noWrap w:val="0"/>
                  <w:vAlign w:val="center"/>
                </w:tcPr>
                <w:p>
                  <w:pPr>
                    <w:pStyle w:val="30"/>
                    <w:keepNext w:val="0"/>
                    <w:keepLines w:val="0"/>
                    <w:pageBreakBefore w:val="0"/>
                    <w:widowControl/>
                    <w:kinsoku/>
                    <w:wordWrap/>
                    <w:overflowPunct/>
                    <w:topLinePunct w:val="0"/>
                    <w:autoSpaceDE/>
                    <w:autoSpaceDN/>
                    <w:bidi w:val="0"/>
                    <w:spacing w:line="240" w:lineRule="auto"/>
                    <w:ind w:firstLine="0" w:firstLineChars="0"/>
                    <w:textAlignment w:val="auto"/>
                    <w:rPr>
                      <w:rFonts w:hint="eastAsia" w:ascii="Times New Roman" w:hAnsi="Times New Roman" w:eastAsia="宋体" w:cs="Times New Roman"/>
                      <w:bCs/>
                      <w:color w:val="auto"/>
                      <w:kern w:val="0"/>
                      <w:sz w:val="18"/>
                      <w:szCs w:val="18"/>
                      <w:lang w:val="en-US" w:eastAsia="zh-CN" w:bidi="ar-SA"/>
                    </w:rPr>
                  </w:pPr>
                  <w:r>
                    <w:rPr>
                      <w:rFonts w:hint="eastAsia" w:ascii="Times New Roman" w:hAnsi="Times New Roman" w:eastAsia="宋体" w:cs="Times New Roman"/>
                      <w:bCs/>
                      <w:color w:val="auto"/>
                      <w:kern w:val="2"/>
                      <w:sz w:val="18"/>
                      <w:szCs w:val="18"/>
                      <w:lang w:val="en-US" w:eastAsia="zh-CN"/>
                    </w:rPr>
                    <w:t>20</w:t>
                  </w:r>
                </w:p>
              </w:tc>
              <w:tc>
                <w:tcPr>
                  <w:tcW w:w="1107" w:type="dxa"/>
                  <w:vMerge w:val="continue"/>
                  <w:noWrap w:val="0"/>
                  <w:vAlign w:val="center"/>
                </w:tcPr>
                <w:p>
                  <w:pPr>
                    <w:jc w:val="center"/>
                    <w:rPr>
                      <w:rFonts w:hint="eastAsia"/>
                      <w:bCs/>
                      <w:color w:val="auto"/>
                      <w:sz w:val="18"/>
                      <w:szCs w:val="18"/>
                      <w:lang w:val="en-US" w:eastAsia="zh-CN"/>
                    </w:rPr>
                  </w:pPr>
                </w:p>
              </w:tc>
              <w:tc>
                <w:tcPr>
                  <w:tcW w:w="1070" w:type="dxa"/>
                  <w:noWrap w:val="0"/>
                  <w:vAlign w:val="center"/>
                </w:tcPr>
                <w:p>
                  <w:pPr>
                    <w:keepNext w:val="0"/>
                    <w:keepLines w:val="0"/>
                    <w:widowControl/>
                    <w:suppressLineNumbers w:val="0"/>
                    <w:jc w:val="center"/>
                    <w:textAlignment w:val="center"/>
                    <w:rPr>
                      <w:rFonts w:hint="eastAsia"/>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1.728</w:t>
                  </w:r>
                </w:p>
              </w:tc>
              <w:tc>
                <w:tcPr>
                  <w:tcW w:w="1240" w:type="dxa"/>
                  <w:noWrap w:val="0"/>
                  <w:vAlign w:val="center"/>
                </w:tcPr>
                <w:p>
                  <w:pPr>
                    <w:keepNext w:val="0"/>
                    <w:keepLines w:val="0"/>
                    <w:widowControl/>
                    <w:suppressLineNumbers w:val="0"/>
                    <w:jc w:val="center"/>
                    <w:textAlignment w:val="center"/>
                    <w:rPr>
                      <w:rFonts w:hint="eastAsia"/>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1.728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8" w:hRule="atLeast"/>
                <w:jc w:val="center"/>
              </w:trPr>
              <w:tc>
                <w:tcPr>
                  <w:tcW w:w="1118" w:type="dxa"/>
                  <w:vMerge w:val="restart"/>
                  <w:noWrap w:val="0"/>
                  <w:vAlign w:val="center"/>
                </w:tcPr>
                <w:p>
                  <w:pPr>
                    <w:jc w:val="center"/>
                    <w:rPr>
                      <w:rFonts w:hint="eastAsia"/>
                      <w:bCs/>
                      <w:color w:val="auto"/>
                      <w:sz w:val="18"/>
                      <w:szCs w:val="18"/>
                      <w:lang w:val="en-US" w:eastAsia="zh-CN"/>
                    </w:rPr>
                  </w:pPr>
                  <w:r>
                    <w:rPr>
                      <w:rFonts w:hint="eastAsia"/>
                      <w:bCs/>
                      <w:color w:val="auto"/>
                      <w:sz w:val="18"/>
                      <w:szCs w:val="18"/>
                      <w:lang w:val="en-US" w:eastAsia="zh-CN"/>
                    </w:rPr>
                    <w:t>DA004</w:t>
                  </w:r>
                </w:p>
              </w:tc>
              <w:tc>
                <w:tcPr>
                  <w:tcW w:w="1118" w:type="dxa"/>
                  <w:shd w:val="clear" w:color="auto" w:fill="auto"/>
                  <w:noWrap w:val="0"/>
                  <w:vAlign w:val="center"/>
                </w:tcPr>
                <w:p>
                  <w:pPr>
                    <w:pStyle w:val="49"/>
                    <w:ind w:firstLine="0" w:firstLineChars="0"/>
                    <w:jc w:val="center"/>
                    <w:rPr>
                      <w:rFonts w:hint="eastAsia" w:ascii="Times New Roman" w:hAnsi="Times New Roman" w:eastAsia="宋体" w:cs="Times New Roman"/>
                      <w:bCs/>
                      <w:color w:val="auto"/>
                      <w:kern w:val="0"/>
                      <w:sz w:val="18"/>
                      <w:szCs w:val="18"/>
                      <w:lang w:val="en-US" w:eastAsia="zh-CN" w:bidi="ar-SA"/>
                    </w:rPr>
                  </w:pPr>
                  <w:r>
                    <w:rPr>
                      <w:rFonts w:hint="eastAsia" w:ascii="Times New Roman" w:hAnsi="Times New Roman" w:cs="Times New Roman"/>
                      <w:color w:val="auto"/>
                      <w:sz w:val="18"/>
                      <w:szCs w:val="18"/>
                    </w:rPr>
                    <w:t>SO</w:t>
                  </w:r>
                  <w:r>
                    <w:rPr>
                      <w:rFonts w:hint="eastAsia" w:ascii="Times New Roman" w:hAnsi="Times New Roman" w:cs="Times New Roman"/>
                      <w:color w:val="auto"/>
                      <w:sz w:val="18"/>
                      <w:szCs w:val="18"/>
                      <w:vertAlign w:val="subscript"/>
                    </w:rPr>
                    <w:t>2</w:t>
                  </w:r>
                </w:p>
              </w:tc>
              <w:tc>
                <w:tcPr>
                  <w:tcW w:w="1162" w:type="dxa"/>
                  <w:vMerge w:val="restart"/>
                  <w:shd w:val="clear" w:color="auto" w:fill="auto"/>
                  <w:noWrap w:val="0"/>
                  <w:vAlign w:val="center"/>
                </w:tcPr>
                <w:p>
                  <w:pPr>
                    <w:jc w:val="center"/>
                    <w:textAlignment w:val="center"/>
                    <w:rPr>
                      <w:rFonts w:hint="eastAsia" w:ascii="Times New Roman" w:hAnsi="Times New Roman" w:eastAsia="宋体" w:cs="Times New Roman"/>
                      <w:bCs/>
                      <w:color w:val="auto"/>
                      <w:kern w:val="2"/>
                      <w:sz w:val="18"/>
                      <w:szCs w:val="18"/>
                      <w:lang w:val="en-US" w:eastAsia="zh-CN" w:bidi="ar-SA"/>
                    </w:rPr>
                  </w:pPr>
                  <w:r>
                    <w:rPr>
                      <w:rFonts w:hint="eastAsia"/>
                      <w:bCs/>
                      <w:color w:val="auto"/>
                      <w:sz w:val="18"/>
                      <w:szCs w:val="18"/>
                      <w:lang w:val="en-US" w:eastAsia="zh-CN"/>
                    </w:rPr>
                    <w:t>180</w:t>
                  </w:r>
                  <w:r>
                    <w:rPr>
                      <w:rFonts w:hint="eastAsia"/>
                      <w:bCs/>
                      <w:color w:val="auto"/>
                      <w:sz w:val="18"/>
                      <w:szCs w:val="18"/>
                    </w:rPr>
                    <w:t>00</w:t>
                  </w:r>
                </w:p>
              </w:tc>
              <w:tc>
                <w:tcPr>
                  <w:tcW w:w="1162" w:type="dxa"/>
                  <w:shd w:val="clear" w:color="auto" w:fill="auto"/>
                  <w:noWrap w:val="0"/>
                  <w:vAlign w:val="center"/>
                </w:tcPr>
                <w:p>
                  <w:pPr>
                    <w:pStyle w:val="30"/>
                    <w:keepNext w:val="0"/>
                    <w:keepLines w:val="0"/>
                    <w:pageBreakBefore w:val="0"/>
                    <w:widowControl/>
                    <w:kinsoku/>
                    <w:wordWrap/>
                    <w:overflowPunct/>
                    <w:topLinePunct w:val="0"/>
                    <w:autoSpaceDE/>
                    <w:autoSpaceDN/>
                    <w:bidi w:val="0"/>
                    <w:spacing w:line="240" w:lineRule="auto"/>
                    <w:ind w:firstLine="0" w:firstLineChars="0"/>
                    <w:textAlignment w:val="auto"/>
                    <w:rPr>
                      <w:rFonts w:hint="eastAsia" w:ascii="Times New Roman" w:hAnsi="Times New Roman" w:eastAsia="宋体" w:cs="Times New Roman"/>
                      <w:bCs/>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rPr>
                    <w:t>80</w:t>
                  </w:r>
                </w:p>
              </w:tc>
              <w:tc>
                <w:tcPr>
                  <w:tcW w:w="1107" w:type="dxa"/>
                  <w:vMerge w:val="restart"/>
                  <w:noWrap w:val="0"/>
                  <w:vAlign w:val="center"/>
                </w:tcPr>
                <w:p>
                  <w:pPr>
                    <w:jc w:val="center"/>
                    <w:rPr>
                      <w:rFonts w:hint="eastAsia"/>
                      <w:bCs/>
                      <w:color w:val="auto"/>
                      <w:sz w:val="18"/>
                      <w:szCs w:val="18"/>
                      <w:lang w:val="en-US" w:eastAsia="zh-CN"/>
                    </w:rPr>
                  </w:pPr>
                  <w:r>
                    <w:rPr>
                      <w:rFonts w:hint="eastAsia"/>
                      <w:bCs/>
                      <w:color w:val="auto"/>
                      <w:sz w:val="18"/>
                      <w:szCs w:val="18"/>
                      <w:lang w:val="en-US" w:eastAsia="zh-CN"/>
                    </w:rPr>
                    <w:t>7200</w:t>
                  </w:r>
                </w:p>
              </w:tc>
              <w:tc>
                <w:tcPr>
                  <w:tcW w:w="1070" w:type="dxa"/>
                  <w:noWrap w:val="0"/>
                  <w:vAlign w:val="center"/>
                </w:tcPr>
                <w:p>
                  <w:pPr>
                    <w:keepNext w:val="0"/>
                    <w:keepLines w:val="0"/>
                    <w:widowControl/>
                    <w:suppressLineNumbers w:val="0"/>
                    <w:jc w:val="center"/>
                    <w:textAlignment w:val="center"/>
                    <w:rPr>
                      <w:rFonts w:hint="default"/>
                      <w:bCs/>
                      <w:color w:val="auto"/>
                      <w:sz w:val="18"/>
                      <w:szCs w:val="18"/>
                      <w:lang w:val="en-US" w:eastAsia="zh-CN"/>
                    </w:rPr>
                  </w:pPr>
                  <w:r>
                    <w:rPr>
                      <w:rFonts w:hint="eastAsia" w:cs="Times New Roman"/>
                      <w:i w:val="0"/>
                      <w:iCs w:val="0"/>
                      <w:color w:val="auto"/>
                      <w:kern w:val="0"/>
                      <w:sz w:val="18"/>
                      <w:szCs w:val="18"/>
                      <w:u w:val="none"/>
                      <w:lang w:val="en-US" w:eastAsia="zh-CN" w:bidi="ar"/>
                    </w:rPr>
                    <w:t>10.368</w:t>
                  </w:r>
                </w:p>
              </w:tc>
              <w:tc>
                <w:tcPr>
                  <w:tcW w:w="1240" w:type="dxa"/>
                  <w:noWrap w:val="0"/>
                  <w:vAlign w:val="center"/>
                </w:tcPr>
                <w:p>
                  <w:pPr>
                    <w:keepNext w:val="0"/>
                    <w:keepLines w:val="0"/>
                    <w:widowControl/>
                    <w:suppressLineNumbers w:val="0"/>
                    <w:jc w:val="center"/>
                    <w:textAlignment w:val="center"/>
                    <w:rPr>
                      <w:rFonts w:hint="eastAsia"/>
                      <w:bCs/>
                      <w:color w:val="auto"/>
                      <w:sz w:val="18"/>
                      <w:szCs w:val="18"/>
                      <w:lang w:val="en-US" w:eastAsia="zh-CN"/>
                    </w:rPr>
                  </w:pPr>
                  <w:r>
                    <w:rPr>
                      <w:rFonts w:hint="eastAsia" w:cs="Times New Roman"/>
                      <w:i w:val="0"/>
                      <w:iCs w:val="0"/>
                      <w:color w:val="auto"/>
                      <w:kern w:val="0"/>
                      <w:sz w:val="18"/>
                      <w:szCs w:val="18"/>
                      <w:u w:val="none"/>
                      <w:lang w:val="en-US" w:eastAsia="zh-CN" w:bidi="ar"/>
                    </w:rPr>
                    <w:t>10.368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01" w:hRule="atLeast"/>
                <w:jc w:val="center"/>
              </w:trPr>
              <w:tc>
                <w:tcPr>
                  <w:tcW w:w="1118" w:type="dxa"/>
                  <w:vMerge w:val="continue"/>
                  <w:noWrap w:val="0"/>
                  <w:vAlign w:val="center"/>
                </w:tcPr>
                <w:p>
                  <w:pPr>
                    <w:jc w:val="center"/>
                    <w:rPr>
                      <w:rFonts w:hint="eastAsia"/>
                      <w:bCs/>
                      <w:color w:val="auto"/>
                      <w:sz w:val="18"/>
                      <w:szCs w:val="18"/>
                      <w:lang w:val="en-US" w:eastAsia="zh-CN"/>
                    </w:rPr>
                  </w:pPr>
                </w:p>
              </w:tc>
              <w:tc>
                <w:tcPr>
                  <w:tcW w:w="1118" w:type="dxa"/>
                  <w:shd w:val="clear" w:color="auto" w:fill="auto"/>
                  <w:noWrap w:val="0"/>
                  <w:vAlign w:val="center"/>
                </w:tcPr>
                <w:p>
                  <w:pPr>
                    <w:pStyle w:val="49"/>
                    <w:ind w:firstLine="0" w:firstLineChars="0"/>
                    <w:jc w:val="center"/>
                    <w:rPr>
                      <w:rFonts w:hint="eastAsia" w:ascii="Times New Roman" w:hAnsi="Times New Roman" w:eastAsia="宋体" w:cs="Times New Roman"/>
                      <w:bCs/>
                      <w:color w:val="auto"/>
                      <w:kern w:val="0"/>
                      <w:sz w:val="18"/>
                      <w:szCs w:val="18"/>
                      <w:lang w:val="en-US" w:eastAsia="zh-CN" w:bidi="ar-SA"/>
                    </w:rPr>
                  </w:pPr>
                  <w:r>
                    <w:rPr>
                      <w:rFonts w:hint="eastAsia" w:ascii="Times New Roman" w:hAnsi="Times New Roman" w:cs="Times New Roman"/>
                      <w:color w:val="auto"/>
                      <w:sz w:val="18"/>
                      <w:szCs w:val="18"/>
                    </w:rPr>
                    <w:t>NOx</w:t>
                  </w:r>
                </w:p>
              </w:tc>
              <w:tc>
                <w:tcPr>
                  <w:tcW w:w="1162" w:type="dxa"/>
                  <w:vMerge w:val="continue"/>
                  <w:noWrap w:val="0"/>
                  <w:vAlign w:val="center"/>
                </w:tcPr>
                <w:p>
                  <w:pPr>
                    <w:jc w:val="center"/>
                    <w:rPr>
                      <w:rFonts w:hint="eastAsia"/>
                      <w:bCs/>
                      <w:color w:val="auto"/>
                      <w:sz w:val="18"/>
                      <w:szCs w:val="18"/>
                      <w:lang w:val="en-US" w:eastAsia="zh-CN"/>
                    </w:rPr>
                  </w:pPr>
                </w:p>
              </w:tc>
              <w:tc>
                <w:tcPr>
                  <w:tcW w:w="1162" w:type="dxa"/>
                  <w:shd w:val="clear" w:color="auto" w:fill="auto"/>
                  <w:noWrap w:val="0"/>
                  <w:vAlign w:val="center"/>
                </w:tcPr>
                <w:p>
                  <w:pPr>
                    <w:pStyle w:val="30"/>
                    <w:keepNext w:val="0"/>
                    <w:keepLines w:val="0"/>
                    <w:pageBreakBefore w:val="0"/>
                    <w:widowControl/>
                    <w:kinsoku/>
                    <w:wordWrap/>
                    <w:overflowPunct/>
                    <w:topLinePunct w:val="0"/>
                    <w:autoSpaceDE/>
                    <w:autoSpaceDN/>
                    <w:bidi w:val="0"/>
                    <w:spacing w:line="240" w:lineRule="auto"/>
                    <w:ind w:firstLine="0" w:firstLineChars="0"/>
                    <w:textAlignment w:val="auto"/>
                    <w:rPr>
                      <w:rFonts w:hint="eastAsia" w:ascii="Times New Roman" w:hAnsi="Times New Roman" w:eastAsia="宋体" w:cs="Times New Roman"/>
                      <w:bCs/>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rPr>
                    <w:t>180</w:t>
                  </w:r>
                </w:p>
              </w:tc>
              <w:tc>
                <w:tcPr>
                  <w:tcW w:w="1107" w:type="dxa"/>
                  <w:vMerge w:val="continue"/>
                  <w:noWrap w:val="0"/>
                  <w:vAlign w:val="center"/>
                </w:tcPr>
                <w:p>
                  <w:pPr>
                    <w:jc w:val="center"/>
                    <w:rPr>
                      <w:rFonts w:hint="eastAsia"/>
                      <w:bCs/>
                      <w:color w:val="auto"/>
                      <w:sz w:val="18"/>
                      <w:szCs w:val="18"/>
                      <w:lang w:val="en-US" w:eastAsia="zh-CN"/>
                    </w:rPr>
                  </w:pPr>
                </w:p>
              </w:tc>
              <w:tc>
                <w:tcPr>
                  <w:tcW w:w="1070" w:type="dxa"/>
                  <w:noWrap w:val="0"/>
                  <w:vAlign w:val="center"/>
                </w:tcPr>
                <w:p>
                  <w:pPr>
                    <w:keepNext w:val="0"/>
                    <w:keepLines w:val="0"/>
                    <w:widowControl/>
                    <w:suppressLineNumbers w:val="0"/>
                    <w:jc w:val="center"/>
                    <w:textAlignment w:val="center"/>
                    <w:rPr>
                      <w:rFonts w:hint="default"/>
                      <w:bCs/>
                      <w:color w:val="auto"/>
                      <w:sz w:val="18"/>
                      <w:szCs w:val="18"/>
                      <w:lang w:val="en-US" w:eastAsia="zh-CN"/>
                    </w:rPr>
                  </w:pPr>
                  <w:r>
                    <w:rPr>
                      <w:rFonts w:hint="eastAsia" w:cs="Times New Roman"/>
                      <w:i w:val="0"/>
                      <w:iCs w:val="0"/>
                      <w:color w:val="auto"/>
                      <w:kern w:val="0"/>
                      <w:sz w:val="18"/>
                      <w:szCs w:val="18"/>
                      <w:u w:val="none"/>
                      <w:lang w:val="en-US" w:eastAsia="zh-CN" w:bidi="ar"/>
                    </w:rPr>
                    <w:t>23.328</w:t>
                  </w:r>
                </w:p>
              </w:tc>
              <w:tc>
                <w:tcPr>
                  <w:tcW w:w="1240" w:type="dxa"/>
                  <w:noWrap w:val="0"/>
                  <w:vAlign w:val="center"/>
                </w:tcPr>
                <w:p>
                  <w:pPr>
                    <w:keepNext w:val="0"/>
                    <w:keepLines w:val="0"/>
                    <w:widowControl/>
                    <w:suppressLineNumbers w:val="0"/>
                    <w:jc w:val="center"/>
                    <w:textAlignment w:val="center"/>
                    <w:rPr>
                      <w:rFonts w:hint="eastAsia"/>
                      <w:bCs/>
                      <w:color w:val="auto"/>
                      <w:sz w:val="18"/>
                      <w:szCs w:val="18"/>
                      <w:lang w:val="en-US" w:eastAsia="zh-CN"/>
                    </w:rPr>
                  </w:pPr>
                  <w:r>
                    <w:rPr>
                      <w:rFonts w:hint="eastAsia" w:cs="Times New Roman"/>
                      <w:i w:val="0"/>
                      <w:iCs w:val="0"/>
                      <w:color w:val="auto"/>
                      <w:kern w:val="0"/>
                      <w:sz w:val="18"/>
                      <w:szCs w:val="18"/>
                      <w:u w:val="none"/>
                      <w:lang w:val="en-US" w:eastAsia="zh-CN" w:bidi="ar"/>
                    </w:rPr>
                    <w:t>23.328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8" w:hRule="atLeast"/>
                <w:jc w:val="center"/>
              </w:trPr>
              <w:tc>
                <w:tcPr>
                  <w:tcW w:w="1118" w:type="dxa"/>
                  <w:vMerge w:val="continue"/>
                  <w:noWrap w:val="0"/>
                  <w:vAlign w:val="center"/>
                </w:tcPr>
                <w:p>
                  <w:pPr>
                    <w:jc w:val="center"/>
                    <w:rPr>
                      <w:rFonts w:hint="eastAsia"/>
                      <w:bCs/>
                      <w:color w:val="auto"/>
                      <w:sz w:val="18"/>
                      <w:szCs w:val="18"/>
                      <w:lang w:val="en-US" w:eastAsia="zh-CN"/>
                    </w:rPr>
                  </w:pPr>
                </w:p>
              </w:tc>
              <w:tc>
                <w:tcPr>
                  <w:tcW w:w="1118" w:type="dxa"/>
                  <w:shd w:val="clear" w:color="auto" w:fill="auto"/>
                  <w:noWrap w:val="0"/>
                  <w:vAlign w:val="center"/>
                </w:tcPr>
                <w:p>
                  <w:pPr>
                    <w:pStyle w:val="49"/>
                    <w:ind w:firstLine="0" w:firstLineChars="0"/>
                    <w:jc w:val="center"/>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sz w:val="18"/>
                      <w:szCs w:val="18"/>
                    </w:rPr>
                    <w:t>颗粒物</w:t>
                  </w:r>
                </w:p>
              </w:tc>
              <w:tc>
                <w:tcPr>
                  <w:tcW w:w="1162" w:type="dxa"/>
                  <w:vMerge w:val="continue"/>
                  <w:noWrap w:val="0"/>
                  <w:vAlign w:val="center"/>
                </w:tcPr>
                <w:p>
                  <w:pPr>
                    <w:jc w:val="center"/>
                    <w:rPr>
                      <w:rFonts w:hint="eastAsia"/>
                      <w:bCs/>
                      <w:color w:val="auto"/>
                      <w:sz w:val="18"/>
                      <w:szCs w:val="18"/>
                      <w:lang w:val="en-US" w:eastAsia="zh-CN"/>
                    </w:rPr>
                  </w:pPr>
                </w:p>
              </w:tc>
              <w:tc>
                <w:tcPr>
                  <w:tcW w:w="1162" w:type="dxa"/>
                  <w:shd w:val="clear" w:color="auto" w:fill="auto"/>
                  <w:noWrap w:val="0"/>
                  <w:vAlign w:val="center"/>
                </w:tcPr>
                <w:p>
                  <w:pPr>
                    <w:pStyle w:val="30"/>
                    <w:keepNext w:val="0"/>
                    <w:keepLines w:val="0"/>
                    <w:pageBreakBefore w:val="0"/>
                    <w:widowControl/>
                    <w:kinsoku/>
                    <w:wordWrap/>
                    <w:overflowPunct/>
                    <w:topLinePunct w:val="0"/>
                    <w:autoSpaceDE/>
                    <w:autoSpaceDN/>
                    <w:bidi w:val="0"/>
                    <w:spacing w:line="240" w:lineRule="auto"/>
                    <w:ind w:firstLine="0" w:firstLineChars="0"/>
                    <w:textAlignment w:val="auto"/>
                    <w:rPr>
                      <w:rFonts w:hint="eastAsia" w:ascii="Times New Roman" w:hAnsi="Times New Roman" w:eastAsia="宋体" w:cs="Times New Roman"/>
                      <w:bCs/>
                      <w:color w:val="auto"/>
                      <w:kern w:val="2"/>
                      <w:sz w:val="18"/>
                      <w:szCs w:val="18"/>
                      <w:lang w:val="en-US" w:eastAsia="zh-CN" w:bidi="ar-SA"/>
                    </w:rPr>
                  </w:pPr>
                  <w:r>
                    <w:rPr>
                      <w:rFonts w:hint="eastAsia" w:ascii="Times New Roman" w:hAnsi="Times New Roman" w:eastAsia="宋体" w:cs="Times New Roman"/>
                      <w:bCs/>
                      <w:color w:val="auto"/>
                      <w:kern w:val="2"/>
                      <w:sz w:val="18"/>
                      <w:szCs w:val="18"/>
                      <w:lang w:val="en-US" w:eastAsia="zh-CN"/>
                    </w:rPr>
                    <w:t>20</w:t>
                  </w:r>
                </w:p>
              </w:tc>
              <w:tc>
                <w:tcPr>
                  <w:tcW w:w="1107" w:type="dxa"/>
                  <w:vMerge w:val="continue"/>
                  <w:noWrap w:val="0"/>
                  <w:vAlign w:val="center"/>
                </w:tcPr>
                <w:p>
                  <w:pPr>
                    <w:jc w:val="center"/>
                    <w:rPr>
                      <w:rFonts w:hint="eastAsia"/>
                      <w:bCs/>
                      <w:color w:val="auto"/>
                      <w:sz w:val="18"/>
                      <w:szCs w:val="18"/>
                      <w:lang w:val="en-US" w:eastAsia="zh-CN"/>
                    </w:rPr>
                  </w:pPr>
                </w:p>
              </w:tc>
              <w:tc>
                <w:tcPr>
                  <w:tcW w:w="1070" w:type="dxa"/>
                  <w:noWrap w:val="0"/>
                  <w:vAlign w:val="center"/>
                </w:tcPr>
                <w:p>
                  <w:pPr>
                    <w:keepNext w:val="0"/>
                    <w:keepLines w:val="0"/>
                    <w:widowControl/>
                    <w:suppressLineNumbers w:val="0"/>
                    <w:jc w:val="center"/>
                    <w:textAlignment w:val="center"/>
                    <w:rPr>
                      <w:rFonts w:hint="default"/>
                      <w:bCs/>
                      <w:color w:val="auto"/>
                      <w:sz w:val="18"/>
                      <w:szCs w:val="18"/>
                      <w:lang w:val="en-US" w:eastAsia="zh-CN"/>
                    </w:rPr>
                  </w:pPr>
                  <w:r>
                    <w:rPr>
                      <w:rFonts w:hint="eastAsia" w:cs="Times New Roman"/>
                      <w:i w:val="0"/>
                      <w:iCs w:val="0"/>
                      <w:color w:val="auto"/>
                      <w:kern w:val="0"/>
                      <w:sz w:val="18"/>
                      <w:szCs w:val="18"/>
                      <w:u w:val="none"/>
                      <w:lang w:val="en-US" w:eastAsia="zh-CN" w:bidi="ar"/>
                    </w:rPr>
                    <w:t>2.592</w:t>
                  </w:r>
                </w:p>
              </w:tc>
              <w:tc>
                <w:tcPr>
                  <w:tcW w:w="1240" w:type="dxa"/>
                  <w:noWrap w:val="0"/>
                  <w:vAlign w:val="center"/>
                </w:tcPr>
                <w:p>
                  <w:pPr>
                    <w:keepNext w:val="0"/>
                    <w:keepLines w:val="0"/>
                    <w:widowControl/>
                    <w:suppressLineNumbers w:val="0"/>
                    <w:jc w:val="center"/>
                    <w:textAlignment w:val="center"/>
                    <w:rPr>
                      <w:rFonts w:hint="eastAsia"/>
                      <w:bCs/>
                      <w:color w:val="auto"/>
                      <w:sz w:val="18"/>
                      <w:szCs w:val="18"/>
                      <w:lang w:val="en-US" w:eastAsia="zh-CN"/>
                    </w:rPr>
                  </w:pPr>
                  <w:r>
                    <w:rPr>
                      <w:rFonts w:hint="eastAsia" w:cs="Times New Roman"/>
                      <w:i w:val="0"/>
                      <w:iCs w:val="0"/>
                      <w:color w:val="auto"/>
                      <w:kern w:val="0"/>
                      <w:sz w:val="18"/>
                      <w:szCs w:val="18"/>
                      <w:u w:val="none"/>
                      <w:lang w:val="en-US" w:eastAsia="zh-CN" w:bidi="ar"/>
                    </w:rPr>
                    <w:t>2.592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01" w:hRule="atLeast"/>
                <w:jc w:val="center"/>
              </w:trPr>
              <w:tc>
                <w:tcPr>
                  <w:tcW w:w="1118" w:type="dxa"/>
                  <w:vMerge w:val="restart"/>
                  <w:noWrap w:val="0"/>
                  <w:vAlign w:val="center"/>
                </w:tcPr>
                <w:p>
                  <w:pPr>
                    <w:jc w:val="center"/>
                    <w:rPr>
                      <w:rFonts w:hint="eastAsia"/>
                      <w:bCs/>
                      <w:color w:val="auto"/>
                      <w:sz w:val="18"/>
                      <w:szCs w:val="18"/>
                      <w:lang w:val="en-US" w:eastAsia="zh-CN"/>
                    </w:rPr>
                  </w:pPr>
                  <w:r>
                    <w:rPr>
                      <w:rFonts w:hint="eastAsia"/>
                      <w:bCs/>
                      <w:color w:val="auto"/>
                      <w:sz w:val="18"/>
                      <w:szCs w:val="18"/>
                      <w:lang w:val="en-US" w:eastAsia="zh-CN"/>
                    </w:rPr>
                    <w:t>DA005</w:t>
                  </w:r>
                </w:p>
              </w:tc>
              <w:tc>
                <w:tcPr>
                  <w:tcW w:w="1118" w:type="dxa"/>
                  <w:noWrap w:val="0"/>
                  <w:vAlign w:val="center"/>
                </w:tcPr>
                <w:p>
                  <w:pPr>
                    <w:pStyle w:val="49"/>
                    <w:ind w:firstLine="0" w:firstLineChars="0"/>
                    <w:jc w:val="center"/>
                    <w:rPr>
                      <w:rFonts w:hint="eastAsia"/>
                      <w:bCs/>
                      <w:color w:val="auto"/>
                      <w:sz w:val="18"/>
                      <w:szCs w:val="18"/>
                      <w:lang w:val="en-US" w:eastAsia="zh-CN"/>
                    </w:rPr>
                  </w:pPr>
                  <w:r>
                    <w:rPr>
                      <w:rFonts w:hint="eastAsia" w:ascii="Times New Roman" w:hAnsi="Times New Roman" w:cs="Times New Roman"/>
                      <w:color w:val="auto"/>
                      <w:sz w:val="18"/>
                      <w:szCs w:val="18"/>
                    </w:rPr>
                    <w:t>SO</w:t>
                  </w:r>
                  <w:r>
                    <w:rPr>
                      <w:rFonts w:hint="eastAsia" w:ascii="Times New Roman" w:hAnsi="Times New Roman" w:cs="Times New Roman"/>
                      <w:color w:val="auto"/>
                      <w:sz w:val="18"/>
                      <w:szCs w:val="18"/>
                      <w:vertAlign w:val="subscript"/>
                    </w:rPr>
                    <w:t>2</w:t>
                  </w:r>
                </w:p>
              </w:tc>
              <w:tc>
                <w:tcPr>
                  <w:tcW w:w="1162" w:type="dxa"/>
                  <w:vMerge w:val="restart"/>
                  <w:shd w:val="clear" w:color="auto" w:fill="auto"/>
                  <w:noWrap w:val="0"/>
                  <w:vAlign w:val="center"/>
                </w:tcPr>
                <w:p>
                  <w:pPr>
                    <w:jc w:val="center"/>
                    <w:textAlignment w:val="center"/>
                    <w:rPr>
                      <w:rFonts w:hint="eastAsia" w:ascii="Times New Roman" w:hAnsi="Times New Roman" w:eastAsia="宋体" w:cs="Times New Roman"/>
                      <w:bCs/>
                      <w:color w:val="auto"/>
                      <w:kern w:val="2"/>
                      <w:sz w:val="18"/>
                      <w:szCs w:val="18"/>
                      <w:lang w:val="en-US" w:eastAsia="zh-CN" w:bidi="ar-SA"/>
                    </w:rPr>
                  </w:pPr>
                  <w:r>
                    <w:rPr>
                      <w:rFonts w:hint="eastAsia"/>
                      <w:bCs/>
                      <w:color w:val="auto"/>
                      <w:sz w:val="18"/>
                      <w:szCs w:val="18"/>
                      <w:lang w:val="en-US" w:eastAsia="zh-CN"/>
                    </w:rPr>
                    <w:t>150</w:t>
                  </w:r>
                  <w:r>
                    <w:rPr>
                      <w:rFonts w:hint="eastAsia"/>
                      <w:bCs/>
                      <w:color w:val="auto"/>
                      <w:sz w:val="18"/>
                      <w:szCs w:val="18"/>
                    </w:rPr>
                    <w:t>00</w:t>
                  </w:r>
                </w:p>
              </w:tc>
              <w:tc>
                <w:tcPr>
                  <w:tcW w:w="1162" w:type="dxa"/>
                  <w:shd w:val="clear" w:color="auto" w:fill="auto"/>
                  <w:noWrap w:val="0"/>
                  <w:vAlign w:val="center"/>
                </w:tcPr>
                <w:p>
                  <w:pPr>
                    <w:pStyle w:val="30"/>
                    <w:keepNext w:val="0"/>
                    <w:keepLines w:val="0"/>
                    <w:pageBreakBefore w:val="0"/>
                    <w:widowControl/>
                    <w:kinsoku/>
                    <w:wordWrap/>
                    <w:overflowPunct/>
                    <w:topLinePunct w:val="0"/>
                    <w:autoSpaceDE/>
                    <w:autoSpaceDN/>
                    <w:bidi w:val="0"/>
                    <w:spacing w:line="240" w:lineRule="auto"/>
                    <w:ind w:firstLine="0" w:firstLineChars="0"/>
                    <w:textAlignment w:val="auto"/>
                    <w:rPr>
                      <w:rFonts w:hint="eastAsia" w:ascii="Times New Roman" w:hAnsi="Times New Roman" w:eastAsia="宋体" w:cs="Times New Roman"/>
                      <w:bCs/>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rPr>
                    <w:t>80</w:t>
                  </w:r>
                </w:p>
              </w:tc>
              <w:tc>
                <w:tcPr>
                  <w:tcW w:w="1107" w:type="dxa"/>
                  <w:vMerge w:val="restart"/>
                  <w:noWrap w:val="0"/>
                  <w:vAlign w:val="center"/>
                </w:tcPr>
                <w:p>
                  <w:pPr>
                    <w:jc w:val="center"/>
                    <w:rPr>
                      <w:rFonts w:hint="eastAsia"/>
                      <w:bCs/>
                      <w:color w:val="auto"/>
                      <w:sz w:val="18"/>
                      <w:szCs w:val="18"/>
                      <w:lang w:val="en-US" w:eastAsia="zh-CN"/>
                    </w:rPr>
                  </w:pPr>
                  <w:r>
                    <w:rPr>
                      <w:rFonts w:hint="eastAsia"/>
                      <w:bCs/>
                      <w:color w:val="auto"/>
                      <w:sz w:val="18"/>
                      <w:szCs w:val="18"/>
                      <w:lang w:val="en-US" w:eastAsia="zh-CN"/>
                    </w:rPr>
                    <w:t>7200</w:t>
                  </w:r>
                </w:p>
              </w:tc>
              <w:tc>
                <w:tcPr>
                  <w:tcW w:w="1070" w:type="dxa"/>
                  <w:noWrap w:val="0"/>
                  <w:vAlign w:val="center"/>
                </w:tcPr>
                <w:p>
                  <w:pPr>
                    <w:keepNext w:val="0"/>
                    <w:keepLines w:val="0"/>
                    <w:widowControl/>
                    <w:suppressLineNumbers w:val="0"/>
                    <w:jc w:val="center"/>
                    <w:textAlignment w:val="center"/>
                    <w:rPr>
                      <w:rFonts w:hint="eastAsia"/>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8.64</w:t>
                  </w:r>
                </w:p>
              </w:tc>
              <w:tc>
                <w:tcPr>
                  <w:tcW w:w="1240" w:type="dxa"/>
                  <w:noWrap w:val="0"/>
                  <w:vAlign w:val="center"/>
                </w:tcPr>
                <w:p>
                  <w:pPr>
                    <w:keepNext w:val="0"/>
                    <w:keepLines w:val="0"/>
                    <w:widowControl/>
                    <w:suppressLineNumbers w:val="0"/>
                    <w:jc w:val="center"/>
                    <w:textAlignment w:val="center"/>
                    <w:rPr>
                      <w:rFonts w:hint="eastAsia"/>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8.64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8" w:hRule="atLeast"/>
                <w:jc w:val="center"/>
              </w:trPr>
              <w:tc>
                <w:tcPr>
                  <w:tcW w:w="1118" w:type="dxa"/>
                  <w:vMerge w:val="continue"/>
                  <w:noWrap w:val="0"/>
                  <w:vAlign w:val="center"/>
                </w:tcPr>
                <w:p>
                  <w:pPr>
                    <w:jc w:val="center"/>
                    <w:rPr>
                      <w:rFonts w:hint="eastAsia"/>
                      <w:bCs/>
                      <w:color w:val="auto"/>
                      <w:sz w:val="18"/>
                      <w:szCs w:val="18"/>
                      <w:lang w:val="en-US" w:eastAsia="zh-CN"/>
                    </w:rPr>
                  </w:pPr>
                </w:p>
              </w:tc>
              <w:tc>
                <w:tcPr>
                  <w:tcW w:w="1118" w:type="dxa"/>
                  <w:noWrap w:val="0"/>
                  <w:vAlign w:val="center"/>
                </w:tcPr>
                <w:p>
                  <w:pPr>
                    <w:pStyle w:val="49"/>
                    <w:ind w:firstLine="0" w:firstLineChars="0"/>
                    <w:jc w:val="center"/>
                    <w:rPr>
                      <w:rFonts w:hint="eastAsia"/>
                      <w:bCs/>
                      <w:color w:val="auto"/>
                      <w:sz w:val="18"/>
                      <w:szCs w:val="18"/>
                      <w:lang w:val="en-US" w:eastAsia="zh-CN"/>
                    </w:rPr>
                  </w:pPr>
                  <w:r>
                    <w:rPr>
                      <w:rFonts w:hint="eastAsia" w:ascii="Times New Roman" w:hAnsi="Times New Roman" w:cs="Times New Roman"/>
                      <w:color w:val="auto"/>
                      <w:sz w:val="18"/>
                      <w:szCs w:val="18"/>
                    </w:rPr>
                    <w:t>NOx</w:t>
                  </w:r>
                </w:p>
              </w:tc>
              <w:tc>
                <w:tcPr>
                  <w:tcW w:w="1162" w:type="dxa"/>
                  <w:vMerge w:val="continue"/>
                  <w:noWrap w:val="0"/>
                  <w:vAlign w:val="center"/>
                </w:tcPr>
                <w:p>
                  <w:pPr>
                    <w:jc w:val="center"/>
                    <w:rPr>
                      <w:rFonts w:hint="eastAsia"/>
                      <w:bCs/>
                      <w:color w:val="auto"/>
                      <w:sz w:val="18"/>
                      <w:szCs w:val="18"/>
                      <w:lang w:val="en-US" w:eastAsia="zh-CN"/>
                    </w:rPr>
                  </w:pPr>
                </w:p>
              </w:tc>
              <w:tc>
                <w:tcPr>
                  <w:tcW w:w="1162" w:type="dxa"/>
                  <w:shd w:val="clear" w:color="auto" w:fill="auto"/>
                  <w:noWrap w:val="0"/>
                  <w:vAlign w:val="center"/>
                </w:tcPr>
                <w:p>
                  <w:pPr>
                    <w:pStyle w:val="30"/>
                    <w:keepNext w:val="0"/>
                    <w:keepLines w:val="0"/>
                    <w:pageBreakBefore w:val="0"/>
                    <w:widowControl/>
                    <w:kinsoku/>
                    <w:wordWrap/>
                    <w:overflowPunct/>
                    <w:topLinePunct w:val="0"/>
                    <w:autoSpaceDE/>
                    <w:autoSpaceDN/>
                    <w:bidi w:val="0"/>
                    <w:spacing w:line="240" w:lineRule="auto"/>
                    <w:ind w:firstLine="0" w:firstLineChars="0"/>
                    <w:textAlignment w:val="auto"/>
                    <w:rPr>
                      <w:rFonts w:hint="eastAsia" w:ascii="Times New Roman" w:hAnsi="Times New Roman" w:eastAsia="宋体" w:cs="Times New Roman"/>
                      <w:bCs/>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rPr>
                    <w:t>180</w:t>
                  </w:r>
                </w:p>
              </w:tc>
              <w:tc>
                <w:tcPr>
                  <w:tcW w:w="1107" w:type="dxa"/>
                  <w:vMerge w:val="continue"/>
                  <w:noWrap w:val="0"/>
                  <w:vAlign w:val="center"/>
                </w:tcPr>
                <w:p>
                  <w:pPr>
                    <w:jc w:val="center"/>
                    <w:rPr>
                      <w:rFonts w:hint="eastAsia"/>
                      <w:bCs/>
                      <w:color w:val="auto"/>
                      <w:sz w:val="18"/>
                      <w:szCs w:val="18"/>
                      <w:lang w:val="en-US" w:eastAsia="zh-CN"/>
                    </w:rPr>
                  </w:pPr>
                </w:p>
              </w:tc>
              <w:tc>
                <w:tcPr>
                  <w:tcW w:w="1070" w:type="dxa"/>
                  <w:noWrap w:val="0"/>
                  <w:vAlign w:val="center"/>
                </w:tcPr>
                <w:p>
                  <w:pPr>
                    <w:keepNext w:val="0"/>
                    <w:keepLines w:val="0"/>
                    <w:widowControl/>
                    <w:suppressLineNumbers w:val="0"/>
                    <w:jc w:val="center"/>
                    <w:textAlignment w:val="center"/>
                    <w:rPr>
                      <w:rFonts w:hint="eastAsia"/>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19.44</w:t>
                  </w:r>
                </w:p>
              </w:tc>
              <w:tc>
                <w:tcPr>
                  <w:tcW w:w="1240" w:type="dxa"/>
                  <w:noWrap w:val="0"/>
                  <w:vAlign w:val="center"/>
                </w:tcPr>
                <w:p>
                  <w:pPr>
                    <w:keepNext w:val="0"/>
                    <w:keepLines w:val="0"/>
                    <w:widowControl/>
                    <w:suppressLineNumbers w:val="0"/>
                    <w:jc w:val="center"/>
                    <w:textAlignment w:val="center"/>
                    <w:rPr>
                      <w:rFonts w:hint="eastAsia"/>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19.44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8" w:hRule="atLeast"/>
                <w:jc w:val="center"/>
              </w:trPr>
              <w:tc>
                <w:tcPr>
                  <w:tcW w:w="1118" w:type="dxa"/>
                  <w:vMerge w:val="continue"/>
                  <w:noWrap w:val="0"/>
                  <w:vAlign w:val="center"/>
                </w:tcPr>
                <w:p>
                  <w:pPr>
                    <w:jc w:val="center"/>
                    <w:rPr>
                      <w:rFonts w:hint="eastAsia"/>
                      <w:bCs/>
                      <w:color w:val="auto"/>
                      <w:sz w:val="18"/>
                      <w:szCs w:val="18"/>
                      <w:lang w:val="en-US" w:eastAsia="zh-CN"/>
                    </w:rPr>
                  </w:pPr>
                </w:p>
              </w:tc>
              <w:tc>
                <w:tcPr>
                  <w:tcW w:w="1118" w:type="dxa"/>
                  <w:noWrap w:val="0"/>
                  <w:vAlign w:val="center"/>
                </w:tcPr>
                <w:p>
                  <w:pPr>
                    <w:pStyle w:val="49"/>
                    <w:ind w:firstLine="0" w:firstLineChars="0"/>
                    <w:jc w:val="center"/>
                    <w:rPr>
                      <w:rFonts w:hint="eastAsia"/>
                      <w:bCs/>
                      <w:color w:val="auto"/>
                      <w:sz w:val="18"/>
                      <w:szCs w:val="18"/>
                      <w:lang w:val="en-US" w:eastAsia="zh-CN"/>
                    </w:rPr>
                  </w:pPr>
                  <w:r>
                    <w:rPr>
                      <w:rFonts w:hint="eastAsia" w:ascii="Times New Roman" w:hAnsi="Times New Roman" w:cs="Times New Roman"/>
                      <w:color w:val="auto"/>
                      <w:sz w:val="18"/>
                      <w:szCs w:val="18"/>
                    </w:rPr>
                    <w:t>颗粒物</w:t>
                  </w:r>
                </w:p>
              </w:tc>
              <w:tc>
                <w:tcPr>
                  <w:tcW w:w="1162" w:type="dxa"/>
                  <w:vMerge w:val="continue"/>
                  <w:noWrap w:val="0"/>
                  <w:vAlign w:val="center"/>
                </w:tcPr>
                <w:p>
                  <w:pPr>
                    <w:jc w:val="center"/>
                    <w:rPr>
                      <w:rFonts w:hint="eastAsia"/>
                      <w:bCs/>
                      <w:color w:val="auto"/>
                      <w:sz w:val="18"/>
                      <w:szCs w:val="18"/>
                      <w:lang w:val="en-US" w:eastAsia="zh-CN"/>
                    </w:rPr>
                  </w:pPr>
                </w:p>
              </w:tc>
              <w:tc>
                <w:tcPr>
                  <w:tcW w:w="1162" w:type="dxa"/>
                  <w:shd w:val="clear" w:color="auto" w:fill="auto"/>
                  <w:noWrap w:val="0"/>
                  <w:vAlign w:val="center"/>
                </w:tcPr>
                <w:p>
                  <w:pPr>
                    <w:pStyle w:val="30"/>
                    <w:keepNext w:val="0"/>
                    <w:keepLines w:val="0"/>
                    <w:pageBreakBefore w:val="0"/>
                    <w:widowControl/>
                    <w:kinsoku/>
                    <w:wordWrap/>
                    <w:overflowPunct/>
                    <w:topLinePunct w:val="0"/>
                    <w:autoSpaceDE/>
                    <w:autoSpaceDN/>
                    <w:bidi w:val="0"/>
                    <w:spacing w:line="240" w:lineRule="auto"/>
                    <w:ind w:firstLine="0" w:firstLineChars="0"/>
                    <w:textAlignment w:val="auto"/>
                    <w:rPr>
                      <w:rFonts w:hint="eastAsia" w:ascii="Times New Roman" w:hAnsi="Times New Roman" w:eastAsia="宋体" w:cs="Times New Roman"/>
                      <w:bCs/>
                      <w:color w:val="auto"/>
                      <w:kern w:val="2"/>
                      <w:sz w:val="18"/>
                      <w:szCs w:val="18"/>
                      <w:lang w:val="en-US" w:eastAsia="zh-CN" w:bidi="ar-SA"/>
                    </w:rPr>
                  </w:pPr>
                  <w:r>
                    <w:rPr>
                      <w:rFonts w:hint="eastAsia" w:ascii="Times New Roman" w:hAnsi="Times New Roman" w:eastAsia="宋体" w:cs="Times New Roman"/>
                      <w:bCs/>
                      <w:color w:val="auto"/>
                      <w:kern w:val="2"/>
                      <w:sz w:val="18"/>
                      <w:szCs w:val="18"/>
                      <w:lang w:val="en-US" w:eastAsia="zh-CN"/>
                    </w:rPr>
                    <w:t>20</w:t>
                  </w:r>
                </w:p>
              </w:tc>
              <w:tc>
                <w:tcPr>
                  <w:tcW w:w="1107" w:type="dxa"/>
                  <w:vMerge w:val="continue"/>
                  <w:noWrap w:val="0"/>
                  <w:vAlign w:val="center"/>
                </w:tcPr>
                <w:p>
                  <w:pPr>
                    <w:jc w:val="center"/>
                    <w:rPr>
                      <w:rFonts w:hint="eastAsia"/>
                      <w:bCs/>
                      <w:color w:val="auto"/>
                      <w:sz w:val="18"/>
                      <w:szCs w:val="18"/>
                      <w:lang w:val="en-US" w:eastAsia="zh-CN"/>
                    </w:rPr>
                  </w:pPr>
                </w:p>
              </w:tc>
              <w:tc>
                <w:tcPr>
                  <w:tcW w:w="1070" w:type="dxa"/>
                  <w:noWrap w:val="0"/>
                  <w:vAlign w:val="center"/>
                </w:tcPr>
                <w:p>
                  <w:pPr>
                    <w:keepNext w:val="0"/>
                    <w:keepLines w:val="0"/>
                    <w:widowControl/>
                    <w:suppressLineNumbers w:val="0"/>
                    <w:jc w:val="center"/>
                    <w:textAlignment w:val="center"/>
                    <w:rPr>
                      <w:rFonts w:hint="eastAsia"/>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2.16</w:t>
                  </w:r>
                </w:p>
              </w:tc>
              <w:tc>
                <w:tcPr>
                  <w:tcW w:w="1240" w:type="dxa"/>
                  <w:noWrap w:val="0"/>
                  <w:vAlign w:val="center"/>
                </w:tcPr>
                <w:p>
                  <w:pPr>
                    <w:keepNext w:val="0"/>
                    <w:keepLines w:val="0"/>
                    <w:widowControl/>
                    <w:suppressLineNumbers w:val="0"/>
                    <w:jc w:val="center"/>
                    <w:textAlignment w:val="center"/>
                    <w:rPr>
                      <w:rFonts w:hint="eastAsia"/>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2.16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09" w:hRule="atLeast"/>
                <w:jc w:val="center"/>
              </w:trPr>
              <w:tc>
                <w:tcPr>
                  <w:tcW w:w="1118" w:type="dxa"/>
                  <w:noWrap w:val="0"/>
                  <w:vAlign w:val="center"/>
                </w:tcPr>
                <w:p>
                  <w:pPr>
                    <w:jc w:val="center"/>
                    <w:rPr>
                      <w:rFonts w:hint="eastAsia"/>
                      <w:bCs/>
                      <w:color w:val="auto"/>
                      <w:sz w:val="18"/>
                      <w:szCs w:val="18"/>
                      <w:lang w:val="en-US" w:eastAsia="zh-CN"/>
                    </w:rPr>
                  </w:pPr>
                  <w:r>
                    <w:rPr>
                      <w:rFonts w:hint="eastAsia"/>
                      <w:bCs/>
                      <w:color w:val="auto"/>
                      <w:sz w:val="18"/>
                      <w:szCs w:val="18"/>
                      <w:lang w:val="en-US" w:eastAsia="zh-CN"/>
                    </w:rPr>
                    <w:t>DA009</w:t>
                  </w:r>
                </w:p>
              </w:tc>
              <w:tc>
                <w:tcPr>
                  <w:tcW w:w="1118" w:type="dxa"/>
                  <w:shd w:val="clear" w:color="auto" w:fill="auto"/>
                  <w:noWrap w:val="0"/>
                  <w:vAlign w:val="center"/>
                </w:tcPr>
                <w:p>
                  <w:pPr>
                    <w:pStyle w:val="49"/>
                    <w:ind w:firstLine="0" w:firstLineChars="0"/>
                    <w:jc w:val="center"/>
                    <w:rPr>
                      <w:rFonts w:hint="eastAsia" w:ascii="Times New Roman" w:hAnsi="Times New Roman" w:eastAsia="宋体" w:cs="Times New Roman"/>
                      <w:bCs/>
                      <w:color w:val="auto"/>
                      <w:kern w:val="0"/>
                      <w:sz w:val="18"/>
                      <w:szCs w:val="18"/>
                      <w:lang w:val="en-US" w:eastAsia="zh-CN" w:bidi="ar-SA"/>
                    </w:rPr>
                  </w:pPr>
                  <w:r>
                    <w:rPr>
                      <w:rFonts w:hint="eastAsia" w:ascii="Times New Roman" w:hAnsi="Times New Roman" w:cs="Times New Roman"/>
                      <w:color w:val="auto"/>
                      <w:sz w:val="18"/>
                      <w:szCs w:val="18"/>
                    </w:rPr>
                    <w:t>颗粒物</w:t>
                  </w:r>
                </w:p>
              </w:tc>
              <w:tc>
                <w:tcPr>
                  <w:tcW w:w="1162" w:type="dxa"/>
                  <w:shd w:val="clear" w:color="auto" w:fill="auto"/>
                  <w:noWrap w:val="0"/>
                  <w:vAlign w:val="center"/>
                </w:tcPr>
                <w:p>
                  <w:pPr>
                    <w:jc w:val="center"/>
                    <w:textAlignment w:val="center"/>
                    <w:rPr>
                      <w:rFonts w:hint="eastAsia" w:ascii="Times New Roman" w:hAnsi="Times New Roman" w:eastAsia="宋体" w:cs="Times New Roman"/>
                      <w:bCs/>
                      <w:color w:val="auto"/>
                      <w:kern w:val="2"/>
                      <w:sz w:val="18"/>
                      <w:szCs w:val="18"/>
                      <w:lang w:val="en-US" w:eastAsia="zh-CN" w:bidi="ar-SA"/>
                    </w:rPr>
                  </w:pPr>
                  <w:r>
                    <w:rPr>
                      <w:rFonts w:hint="eastAsia" w:ascii="Times New Roman" w:hAnsi="Times New Roman" w:cs="Times New Roman"/>
                      <w:bCs/>
                      <w:color w:val="auto"/>
                      <w:sz w:val="18"/>
                      <w:szCs w:val="18"/>
                      <w:lang w:val="en-US" w:eastAsia="zh-CN"/>
                    </w:rPr>
                    <w:t>2</w:t>
                  </w:r>
                  <w:r>
                    <w:rPr>
                      <w:rFonts w:hint="eastAsia" w:cs="Times New Roman"/>
                      <w:bCs/>
                      <w:color w:val="auto"/>
                      <w:sz w:val="18"/>
                      <w:szCs w:val="18"/>
                      <w:lang w:val="en-US" w:eastAsia="zh-CN"/>
                    </w:rPr>
                    <w:t>0</w:t>
                  </w:r>
                  <w:r>
                    <w:rPr>
                      <w:rFonts w:hint="eastAsia" w:ascii="Times New Roman" w:hAnsi="Times New Roman" w:cs="Times New Roman"/>
                      <w:bCs/>
                      <w:color w:val="auto"/>
                      <w:sz w:val="18"/>
                      <w:szCs w:val="18"/>
                      <w:lang w:val="en-US" w:eastAsia="zh-CN"/>
                    </w:rPr>
                    <w:t>000</w:t>
                  </w:r>
                </w:p>
              </w:tc>
              <w:tc>
                <w:tcPr>
                  <w:tcW w:w="1162" w:type="dxa"/>
                  <w:shd w:val="clear" w:color="auto" w:fill="auto"/>
                  <w:noWrap w:val="0"/>
                  <w:vAlign w:val="center"/>
                </w:tcPr>
                <w:p>
                  <w:pPr>
                    <w:jc w:val="center"/>
                    <w:textAlignment w:val="center"/>
                    <w:rPr>
                      <w:rFonts w:hint="eastAsia" w:ascii="Times New Roman" w:hAnsi="Times New Roman" w:eastAsia="宋体" w:cs="Times New Roman"/>
                      <w:bCs/>
                      <w:color w:val="auto"/>
                      <w:kern w:val="2"/>
                      <w:sz w:val="18"/>
                      <w:szCs w:val="18"/>
                      <w:lang w:val="en-US" w:eastAsia="zh-CN" w:bidi="ar-SA"/>
                    </w:rPr>
                  </w:pPr>
                  <w:r>
                    <w:rPr>
                      <w:rFonts w:hint="eastAsia"/>
                      <w:bCs/>
                      <w:color w:val="auto"/>
                      <w:sz w:val="18"/>
                      <w:szCs w:val="18"/>
                      <w:lang w:val="en-US" w:eastAsia="zh-CN"/>
                    </w:rPr>
                    <w:t>20</w:t>
                  </w:r>
                </w:p>
              </w:tc>
              <w:tc>
                <w:tcPr>
                  <w:tcW w:w="1107" w:type="dxa"/>
                  <w:noWrap w:val="0"/>
                  <w:vAlign w:val="center"/>
                </w:tcPr>
                <w:p>
                  <w:pPr>
                    <w:jc w:val="center"/>
                    <w:rPr>
                      <w:rFonts w:hint="eastAsia"/>
                      <w:bCs/>
                      <w:color w:val="auto"/>
                      <w:sz w:val="18"/>
                      <w:szCs w:val="18"/>
                      <w:lang w:val="en-US" w:eastAsia="zh-CN"/>
                    </w:rPr>
                  </w:pPr>
                  <w:r>
                    <w:rPr>
                      <w:rFonts w:hint="eastAsia"/>
                      <w:bCs/>
                      <w:color w:val="auto"/>
                      <w:sz w:val="18"/>
                      <w:szCs w:val="18"/>
                      <w:lang w:val="en-US" w:eastAsia="zh-CN"/>
                    </w:rPr>
                    <w:t>7200</w:t>
                  </w:r>
                </w:p>
              </w:tc>
              <w:tc>
                <w:tcPr>
                  <w:tcW w:w="1070" w:type="dxa"/>
                  <w:noWrap w:val="0"/>
                  <w:vAlign w:val="center"/>
                </w:tcPr>
                <w:p>
                  <w:pPr>
                    <w:keepNext w:val="0"/>
                    <w:keepLines w:val="0"/>
                    <w:widowControl/>
                    <w:suppressLineNumbers w:val="0"/>
                    <w:jc w:val="center"/>
                    <w:textAlignment w:val="center"/>
                    <w:rPr>
                      <w:rFonts w:hint="eastAsia"/>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2.88</w:t>
                  </w:r>
                </w:p>
              </w:tc>
              <w:tc>
                <w:tcPr>
                  <w:tcW w:w="1240" w:type="dxa"/>
                  <w:noWrap w:val="0"/>
                  <w:vAlign w:val="center"/>
                </w:tcPr>
                <w:p>
                  <w:pPr>
                    <w:keepNext w:val="0"/>
                    <w:keepLines w:val="0"/>
                    <w:widowControl/>
                    <w:suppressLineNumbers w:val="0"/>
                    <w:jc w:val="center"/>
                    <w:textAlignment w:val="center"/>
                    <w:rPr>
                      <w:rFonts w:hint="eastAsia"/>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2.88</w:t>
                  </w:r>
                </w:p>
              </w:tc>
            </w:tr>
          </w:tbl>
          <w:p>
            <w:pPr>
              <w:keepNext w:val="0"/>
              <w:keepLines w:val="0"/>
              <w:pageBreakBefore w:val="0"/>
              <w:widowControl w:val="0"/>
              <w:kinsoku/>
              <w:wordWrap/>
              <w:overflowPunct/>
              <w:topLinePunct w:val="0"/>
              <w:autoSpaceDE/>
              <w:autoSpaceDN/>
              <w:bidi w:val="0"/>
              <w:adjustRightInd/>
              <w:snapToGrid/>
              <w:spacing w:line="500" w:lineRule="exact"/>
              <w:ind w:firstLine="411" w:firstLineChars="196"/>
              <w:jc w:val="left"/>
              <w:textAlignment w:val="auto"/>
              <w:rPr>
                <w:rFonts w:hint="eastAsia" w:ascii="Times New Roman" w:hAnsi="Times New Roman" w:eastAsia="宋体" w:cs="Times New Roman"/>
                <w:color w:val="auto"/>
              </w:rPr>
            </w:pPr>
            <w:r>
              <w:rPr>
                <w:rFonts w:hint="eastAsia" w:ascii="Times New Roman" w:hAnsi="Times New Roman" w:eastAsia="宋体" w:cs="Times New Roman"/>
                <w:color w:val="auto"/>
              </w:rPr>
              <w:t>经对照，本项目废气排放量环评中计算量小于根据排污许可证申请与核发技术规范中计算量，故本项目有组织废气污染物排放量取环评计算量，具体见下表。</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Times New Roman" w:hAnsi="Times New Roman" w:eastAsia="宋体" w:cs="Times New Roman"/>
                <w:b/>
                <w:bCs/>
                <w:color w:val="auto"/>
              </w:rPr>
            </w:pPr>
            <w:r>
              <w:rPr>
                <w:rFonts w:hint="eastAsia" w:ascii="Times New Roman" w:hAnsi="Times New Roman" w:eastAsia="宋体" w:cs="Times New Roman"/>
                <w:b/>
                <w:bCs/>
                <w:color w:val="auto"/>
              </w:rPr>
              <w:t>表</w:t>
            </w:r>
            <w:r>
              <w:rPr>
                <w:rFonts w:hint="eastAsia" w:ascii="Times New Roman" w:hAnsi="Times New Roman" w:eastAsia="宋体" w:cs="Times New Roman"/>
                <w:b/>
                <w:bCs/>
                <w:color w:val="auto"/>
                <w:lang w:val="en-US" w:eastAsia="zh-CN"/>
              </w:rPr>
              <w:t>3-16</w:t>
            </w:r>
            <w:r>
              <w:rPr>
                <w:rFonts w:hint="eastAsia" w:ascii="Times New Roman" w:hAnsi="Times New Roman" w:eastAsia="宋体" w:cs="Times New Roman"/>
                <w:b/>
                <w:bCs/>
                <w:color w:val="auto"/>
              </w:rPr>
              <w:t>本项目一般废气排放口废气排放量</w:t>
            </w:r>
          </w:p>
          <w:tbl>
            <w:tblPr>
              <w:tblStyle w:val="21"/>
              <w:tblW w:w="809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55"/>
              <w:gridCol w:w="1157"/>
              <w:gridCol w:w="2314"/>
              <w:gridCol w:w="1739"/>
              <w:gridCol w:w="17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713" w:type="pct"/>
                  <w:noWrap w:val="0"/>
                  <w:vAlign w:val="center"/>
                </w:tcPr>
                <w:p>
                  <w:pPr>
                    <w:adjustRightInd w:val="0"/>
                    <w:snapToGrid w:val="0"/>
                    <w:jc w:val="center"/>
                    <w:rPr>
                      <w:rFonts w:hint="default" w:eastAsia="宋体"/>
                      <w:b/>
                      <w:color w:val="auto"/>
                      <w:kern w:val="0"/>
                      <w:sz w:val="21"/>
                      <w:szCs w:val="21"/>
                      <w:lang w:val="en-US" w:eastAsia="zh-CN"/>
                    </w:rPr>
                  </w:pPr>
                  <w:r>
                    <w:rPr>
                      <w:rFonts w:hint="eastAsia"/>
                      <w:b/>
                      <w:color w:val="auto"/>
                      <w:kern w:val="0"/>
                      <w:sz w:val="21"/>
                      <w:szCs w:val="21"/>
                      <w:lang w:val="en-US" w:eastAsia="zh-CN"/>
                    </w:rPr>
                    <w:t>排气筒编号</w:t>
                  </w:r>
                </w:p>
              </w:tc>
              <w:tc>
                <w:tcPr>
                  <w:tcW w:w="714" w:type="pct"/>
                  <w:noWrap w:val="0"/>
                  <w:vAlign w:val="center"/>
                </w:tcPr>
                <w:p>
                  <w:pPr>
                    <w:adjustRightInd w:val="0"/>
                    <w:snapToGrid w:val="0"/>
                    <w:jc w:val="center"/>
                    <w:rPr>
                      <w:b/>
                      <w:color w:val="auto"/>
                      <w:kern w:val="0"/>
                      <w:sz w:val="21"/>
                      <w:szCs w:val="21"/>
                    </w:rPr>
                  </w:pPr>
                  <w:r>
                    <w:rPr>
                      <w:b/>
                      <w:color w:val="auto"/>
                      <w:kern w:val="0"/>
                      <w:sz w:val="21"/>
                      <w:szCs w:val="21"/>
                    </w:rPr>
                    <w:t>污染物项目</w:t>
                  </w:r>
                </w:p>
              </w:tc>
              <w:tc>
                <w:tcPr>
                  <w:tcW w:w="1428" w:type="pct"/>
                  <w:noWrap w:val="0"/>
                  <w:vAlign w:val="center"/>
                </w:tcPr>
                <w:p>
                  <w:pPr>
                    <w:adjustRightInd w:val="0"/>
                    <w:snapToGrid w:val="0"/>
                    <w:jc w:val="center"/>
                    <w:rPr>
                      <w:b/>
                      <w:color w:val="auto"/>
                      <w:kern w:val="0"/>
                      <w:sz w:val="21"/>
                      <w:szCs w:val="21"/>
                    </w:rPr>
                  </w:pPr>
                  <w:r>
                    <w:rPr>
                      <w:b/>
                      <w:color w:val="auto"/>
                      <w:kern w:val="0"/>
                      <w:sz w:val="21"/>
                      <w:szCs w:val="21"/>
                    </w:rPr>
                    <w:t>按</w:t>
                  </w:r>
                  <w:r>
                    <w:rPr>
                      <w:rFonts w:hint="eastAsia"/>
                      <w:b/>
                      <w:color w:val="auto"/>
                      <w:kern w:val="0"/>
                      <w:sz w:val="21"/>
                      <w:szCs w:val="21"/>
                    </w:rPr>
                    <w:t>排污</w:t>
                  </w:r>
                  <w:r>
                    <w:rPr>
                      <w:b/>
                      <w:color w:val="auto"/>
                      <w:kern w:val="0"/>
                      <w:sz w:val="21"/>
                      <w:szCs w:val="21"/>
                    </w:rPr>
                    <w:t>许可证技术规范</w:t>
                  </w:r>
                  <w:r>
                    <w:rPr>
                      <w:rFonts w:hint="eastAsia"/>
                      <w:b/>
                      <w:color w:val="auto"/>
                      <w:kern w:val="0"/>
                      <w:sz w:val="21"/>
                      <w:szCs w:val="21"/>
                    </w:rPr>
                    <w:t>核算</w:t>
                  </w:r>
                  <w:r>
                    <w:rPr>
                      <w:b/>
                      <w:color w:val="auto"/>
                      <w:kern w:val="0"/>
                      <w:sz w:val="21"/>
                      <w:szCs w:val="21"/>
                    </w:rPr>
                    <w:t>的排放量(t/a)</w:t>
                  </w:r>
                </w:p>
              </w:tc>
              <w:tc>
                <w:tcPr>
                  <w:tcW w:w="1073" w:type="pct"/>
                  <w:noWrap w:val="0"/>
                  <w:vAlign w:val="center"/>
                </w:tcPr>
                <w:p>
                  <w:pPr>
                    <w:adjustRightInd w:val="0"/>
                    <w:snapToGrid w:val="0"/>
                    <w:jc w:val="center"/>
                    <w:rPr>
                      <w:b/>
                      <w:color w:val="auto"/>
                      <w:kern w:val="0"/>
                      <w:sz w:val="21"/>
                      <w:szCs w:val="21"/>
                    </w:rPr>
                  </w:pPr>
                  <w:r>
                    <w:rPr>
                      <w:b/>
                      <w:color w:val="auto"/>
                      <w:kern w:val="0"/>
                      <w:sz w:val="21"/>
                      <w:szCs w:val="21"/>
                    </w:rPr>
                    <w:t>环评计算的排放量（t/a）</w:t>
                  </w:r>
                </w:p>
              </w:tc>
              <w:tc>
                <w:tcPr>
                  <w:tcW w:w="1069" w:type="pct"/>
                  <w:noWrap w:val="0"/>
                  <w:vAlign w:val="center"/>
                </w:tcPr>
                <w:p>
                  <w:pPr>
                    <w:adjustRightInd w:val="0"/>
                    <w:snapToGrid w:val="0"/>
                    <w:jc w:val="center"/>
                    <w:rPr>
                      <w:b/>
                      <w:color w:val="auto"/>
                      <w:kern w:val="0"/>
                      <w:sz w:val="21"/>
                      <w:szCs w:val="21"/>
                    </w:rPr>
                  </w:pPr>
                  <w:r>
                    <w:rPr>
                      <w:b/>
                      <w:color w:val="auto"/>
                      <w:kern w:val="0"/>
                      <w:sz w:val="21"/>
                      <w:szCs w:val="21"/>
                    </w:rPr>
                    <w:t>本项目申请排放量(t/a)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713" w:type="pct"/>
                  <w:vMerge w:val="restart"/>
                  <w:shd w:val="clear" w:color="auto" w:fill="auto"/>
                  <w:noWrap w:val="0"/>
                  <w:vAlign w:val="center"/>
                </w:tcPr>
                <w:p>
                  <w:pPr>
                    <w:jc w:val="center"/>
                    <w:rPr>
                      <w:rFonts w:hint="default" w:ascii="Times New Roman" w:hAnsi="Times New Roman" w:eastAsia="宋体" w:cs="Times New Roman"/>
                      <w:bCs/>
                      <w:color w:val="auto"/>
                      <w:kern w:val="2"/>
                      <w:sz w:val="18"/>
                      <w:szCs w:val="18"/>
                      <w:lang w:val="en-US" w:eastAsia="zh-CN" w:bidi="ar-SA"/>
                    </w:rPr>
                  </w:pPr>
                  <w:r>
                    <w:rPr>
                      <w:rFonts w:hint="eastAsia"/>
                      <w:bCs/>
                      <w:color w:val="auto"/>
                      <w:sz w:val="18"/>
                      <w:szCs w:val="18"/>
                      <w:lang w:val="en-US" w:eastAsia="zh-CN"/>
                    </w:rPr>
                    <w:t>DA001</w:t>
                  </w:r>
                </w:p>
              </w:tc>
              <w:tc>
                <w:tcPr>
                  <w:tcW w:w="714" w:type="pct"/>
                  <w:shd w:val="clear" w:color="auto" w:fill="auto"/>
                  <w:noWrap w:val="0"/>
                  <w:vAlign w:val="center"/>
                </w:tcPr>
                <w:p>
                  <w:pPr>
                    <w:pStyle w:val="49"/>
                    <w:ind w:firstLine="0" w:firstLineChars="0"/>
                    <w:jc w:val="center"/>
                    <w:rPr>
                      <w:rFonts w:hint="eastAsia" w:ascii="Times New Roman" w:hAnsi="Times New Roman" w:eastAsia="宋体" w:cs="Times New Roman"/>
                      <w:bCs/>
                      <w:color w:val="auto"/>
                      <w:kern w:val="0"/>
                      <w:sz w:val="18"/>
                      <w:szCs w:val="18"/>
                      <w:lang w:val="en-US" w:eastAsia="zh-CN" w:bidi="ar-SA"/>
                    </w:rPr>
                  </w:pPr>
                  <w:r>
                    <w:rPr>
                      <w:rFonts w:hint="eastAsia" w:ascii="Times New Roman" w:hAnsi="Times New Roman" w:cs="Times New Roman"/>
                      <w:color w:val="auto"/>
                      <w:sz w:val="18"/>
                      <w:szCs w:val="18"/>
                    </w:rPr>
                    <w:t>SO</w:t>
                  </w:r>
                  <w:r>
                    <w:rPr>
                      <w:rFonts w:hint="eastAsia" w:ascii="Times New Roman" w:hAnsi="Times New Roman" w:cs="Times New Roman"/>
                      <w:color w:val="auto"/>
                      <w:sz w:val="18"/>
                      <w:szCs w:val="18"/>
                      <w:vertAlign w:val="subscript"/>
                    </w:rPr>
                    <w:t>2</w:t>
                  </w:r>
                </w:p>
              </w:tc>
              <w:tc>
                <w:tcPr>
                  <w:tcW w:w="1428" w:type="pct"/>
                  <w:shd w:val="clear" w:color="auto" w:fill="auto"/>
                  <w:noWrap w:val="0"/>
                  <w:vAlign w:val="center"/>
                </w:tcPr>
                <w:p>
                  <w:pPr>
                    <w:keepNext w:val="0"/>
                    <w:keepLines w:val="0"/>
                    <w:widowControl/>
                    <w:suppressLineNumbers w:val="0"/>
                    <w:jc w:val="center"/>
                    <w:textAlignment w:val="center"/>
                    <w:rPr>
                      <w:rFonts w:ascii="Times New Roman" w:hAnsi="Times New Roman" w:eastAsia="宋体" w:cs="Times New Roman"/>
                      <w:bCs/>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6.912</w:t>
                  </w:r>
                </w:p>
              </w:tc>
              <w:tc>
                <w:tcPr>
                  <w:tcW w:w="1073" w:type="pct"/>
                  <w:shd w:val="clear" w:color="auto" w:fill="auto"/>
                  <w:noWrap w:val="0"/>
                  <w:vAlign w:val="center"/>
                </w:tcPr>
                <w:p>
                  <w:pPr>
                    <w:adjustRightInd w:val="0"/>
                    <w:snapToGrid w:val="0"/>
                    <w:jc w:val="center"/>
                    <w:rPr>
                      <w:rFonts w:hint="default" w:ascii="Times New Roman" w:hAnsi="Times New Roman" w:eastAsia="宋体" w:cs="Times New Roman"/>
                      <w:bCs/>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0.7776</w:t>
                  </w:r>
                </w:p>
              </w:tc>
              <w:tc>
                <w:tcPr>
                  <w:tcW w:w="1069" w:type="pct"/>
                  <w:shd w:val="clear" w:color="auto" w:fill="auto"/>
                  <w:noWrap w:val="0"/>
                  <w:vAlign w:val="center"/>
                </w:tcPr>
                <w:p>
                  <w:pPr>
                    <w:adjustRightInd w:val="0"/>
                    <w:snapToGrid w:val="0"/>
                    <w:jc w:val="center"/>
                    <w:rPr>
                      <w:rFonts w:hint="default" w:ascii="Times New Roman" w:hAnsi="Times New Roman" w:eastAsia="宋体" w:cs="Times New Roman"/>
                      <w:bCs/>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0.7776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713" w:type="pct"/>
                  <w:vMerge w:val="continue"/>
                  <w:noWrap w:val="0"/>
                  <w:vAlign w:val="center"/>
                </w:tcPr>
                <w:p>
                  <w:pPr>
                    <w:jc w:val="center"/>
                    <w:rPr>
                      <w:rFonts w:hint="eastAsia"/>
                      <w:bCs/>
                      <w:color w:val="auto"/>
                      <w:sz w:val="21"/>
                      <w:szCs w:val="21"/>
                    </w:rPr>
                  </w:pPr>
                </w:p>
              </w:tc>
              <w:tc>
                <w:tcPr>
                  <w:tcW w:w="714" w:type="pct"/>
                  <w:shd w:val="clear" w:color="auto" w:fill="auto"/>
                  <w:noWrap w:val="0"/>
                  <w:vAlign w:val="center"/>
                </w:tcPr>
                <w:p>
                  <w:pPr>
                    <w:pStyle w:val="49"/>
                    <w:ind w:firstLine="0" w:firstLineChars="0"/>
                    <w:jc w:val="center"/>
                    <w:rPr>
                      <w:rFonts w:hint="eastAsia" w:ascii="Times New Roman" w:hAnsi="Times New Roman" w:eastAsia="宋体" w:cs="Times New Roman"/>
                      <w:bCs/>
                      <w:color w:val="auto"/>
                      <w:kern w:val="0"/>
                      <w:sz w:val="18"/>
                      <w:szCs w:val="18"/>
                      <w:lang w:val="en-US" w:eastAsia="zh-CN" w:bidi="ar-SA"/>
                    </w:rPr>
                  </w:pPr>
                  <w:r>
                    <w:rPr>
                      <w:rFonts w:hint="eastAsia" w:ascii="Times New Roman" w:hAnsi="Times New Roman" w:cs="Times New Roman"/>
                      <w:color w:val="auto"/>
                      <w:sz w:val="18"/>
                      <w:szCs w:val="18"/>
                    </w:rPr>
                    <w:t>NOx</w:t>
                  </w:r>
                </w:p>
              </w:tc>
              <w:tc>
                <w:tcPr>
                  <w:tcW w:w="1428" w:type="pct"/>
                  <w:shd w:val="clear" w:color="auto" w:fill="auto"/>
                  <w:noWrap/>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15.552</w:t>
                  </w:r>
                </w:p>
              </w:tc>
              <w:tc>
                <w:tcPr>
                  <w:tcW w:w="1073" w:type="pct"/>
                  <w:shd w:val="clear" w:color="auto" w:fill="auto"/>
                  <w:noWrap w:val="0"/>
                  <w:vAlign w:val="center"/>
                </w:tcPr>
                <w:p>
                  <w:pPr>
                    <w:adjustRightInd w:val="0"/>
                    <w:snapToGrid w:val="0"/>
                    <w:jc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 xml:space="preserve">3.6353 </w:t>
                  </w:r>
                </w:p>
              </w:tc>
              <w:tc>
                <w:tcPr>
                  <w:tcW w:w="1069" w:type="pct"/>
                  <w:shd w:val="clear" w:color="auto" w:fill="auto"/>
                  <w:noWrap w:val="0"/>
                  <w:vAlign w:val="center"/>
                </w:tcPr>
                <w:p>
                  <w:pPr>
                    <w:adjustRightInd w:val="0"/>
                    <w:snapToGrid w:val="0"/>
                    <w:jc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 xml:space="preserve">3.6353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713" w:type="pct"/>
                  <w:vMerge w:val="continue"/>
                  <w:noWrap w:val="0"/>
                  <w:vAlign w:val="center"/>
                </w:tcPr>
                <w:p>
                  <w:pPr>
                    <w:jc w:val="center"/>
                    <w:rPr>
                      <w:rFonts w:hint="default" w:eastAsia="宋体"/>
                      <w:bCs/>
                      <w:color w:val="auto"/>
                      <w:sz w:val="21"/>
                      <w:szCs w:val="21"/>
                      <w:lang w:val="en-US" w:eastAsia="zh-CN"/>
                    </w:rPr>
                  </w:pPr>
                </w:p>
              </w:tc>
              <w:tc>
                <w:tcPr>
                  <w:tcW w:w="714" w:type="pct"/>
                  <w:shd w:val="clear" w:color="auto" w:fill="auto"/>
                  <w:noWrap w:val="0"/>
                  <w:vAlign w:val="center"/>
                </w:tcPr>
                <w:p>
                  <w:pPr>
                    <w:pStyle w:val="49"/>
                    <w:ind w:firstLine="0" w:firstLineChars="0"/>
                    <w:jc w:val="center"/>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sz w:val="18"/>
                      <w:szCs w:val="18"/>
                    </w:rPr>
                    <w:t>颗粒物</w:t>
                  </w:r>
                </w:p>
              </w:tc>
              <w:tc>
                <w:tcPr>
                  <w:tcW w:w="1428" w:type="pct"/>
                  <w:shd w:val="clear" w:color="auto" w:fill="auto"/>
                  <w:noWrap/>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1.728</w:t>
                  </w:r>
                </w:p>
              </w:tc>
              <w:tc>
                <w:tcPr>
                  <w:tcW w:w="1073" w:type="pct"/>
                  <w:shd w:val="clear" w:color="auto" w:fill="auto"/>
                  <w:noWrap w:val="0"/>
                  <w:vAlign w:val="center"/>
                </w:tcPr>
                <w:p>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1.1120</w:t>
                  </w:r>
                </w:p>
              </w:tc>
              <w:tc>
                <w:tcPr>
                  <w:tcW w:w="1069" w:type="pct"/>
                  <w:shd w:val="clear" w:color="auto" w:fill="auto"/>
                  <w:noWrap w:val="0"/>
                  <w:vAlign w:val="center"/>
                </w:tcPr>
                <w:p>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1.1120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713" w:type="pct"/>
                  <w:vMerge w:val="restart"/>
                  <w:shd w:val="clear" w:color="auto" w:fill="auto"/>
                  <w:noWrap w:val="0"/>
                  <w:vAlign w:val="center"/>
                </w:tcPr>
                <w:p>
                  <w:pPr>
                    <w:jc w:val="center"/>
                    <w:rPr>
                      <w:rFonts w:hint="eastAsia" w:ascii="Times New Roman" w:hAnsi="Times New Roman" w:eastAsia="宋体" w:cs="Times New Roman"/>
                      <w:bCs/>
                      <w:color w:val="auto"/>
                      <w:kern w:val="2"/>
                      <w:sz w:val="18"/>
                      <w:szCs w:val="18"/>
                      <w:lang w:val="en-US" w:eastAsia="zh-CN" w:bidi="ar-SA"/>
                    </w:rPr>
                  </w:pPr>
                  <w:r>
                    <w:rPr>
                      <w:rFonts w:hint="eastAsia"/>
                      <w:bCs/>
                      <w:color w:val="auto"/>
                      <w:sz w:val="18"/>
                      <w:szCs w:val="18"/>
                      <w:lang w:val="en-US" w:eastAsia="zh-CN"/>
                    </w:rPr>
                    <w:t>DA007</w:t>
                  </w:r>
                </w:p>
              </w:tc>
              <w:tc>
                <w:tcPr>
                  <w:tcW w:w="714" w:type="pct"/>
                  <w:shd w:val="clear" w:color="auto" w:fill="auto"/>
                  <w:noWrap w:val="0"/>
                  <w:vAlign w:val="center"/>
                </w:tcPr>
                <w:p>
                  <w:pPr>
                    <w:pStyle w:val="49"/>
                    <w:ind w:firstLine="0" w:firstLineChars="0"/>
                    <w:jc w:val="center"/>
                    <w:rPr>
                      <w:rFonts w:hint="eastAsia" w:ascii="Times New Roman" w:hAnsi="Times New Roman" w:eastAsia="宋体" w:cs="Times New Roman"/>
                      <w:bCs/>
                      <w:color w:val="auto"/>
                      <w:kern w:val="0"/>
                      <w:sz w:val="18"/>
                      <w:szCs w:val="18"/>
                      <w:lang w:val="en-US" w:eastAsia="zh-CN" w:bidi="ar-SA"/>
                    </w:rPr>
                  </w:pPr>
                  <w:r>
                    <w:rPr>
                      <w:rFonts w:hint="eastAsia" w:ascii="Times New Roman" w:hAnsi="Times New Roman" w:cs="Times New Roman"/>
                      <w:color w:val="auto"/>
                      <w:sz w:val="18"/>
                      <w:szCs w:val="18"/>
                    </w:rPr>
                    <w:t>SO</w:t>
                  </w:r>
                  <w:r>
                    <w:rPr>
                      <w:rFonts w:hint="eastAsia" w:ascii="Times New Roman" w:hAnsi="Times New Roman" w:cs="Times New Roman"/>
                      <w:color w:val="auto"/>
                      <w:sz w:val="18"/>
                      <w:szCs w:val="18"/>
                      <w:vertAlign w:val="subscript"/>
                    </w:rPr>
                    <w:t>2</w:t>
                  </w:r>
                </w:p>
              </w:tc>
              <w:tc>
                <w:tcPr>
                  <w:tcW w:w="1428" w:type="pct"/>
                  <w:shd w:val="clear" w:color="auto" w:fill="auto"/>
                  <w:noWrap/>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8.64</w:t>
                  </w:r>
                </w:p>
              </w:tc>
              <w:tc>
                <w:tcPr>
                  <w:tcW w:w="1073" w:type="pct"/>
                  <w:shd w:val="clear" w:color="auto" w:fill="auto"/>
                  <w:noWrap w:val="0"/>
                  <w:vAlign w:val="center"/>
                </w:tcPr>
                <w:p>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 xml:space="preserve">1.4232 </w:t>
                  </w:r>
                </w:p>
              </w:tc>
              <w:tc>
                <w:tcPr>
                  <w:tcW w:w="1069" w:type="pct"/>
                  <w:shd w:val="clear" w:color="auto" w:fill="auto"/>
                  <w:noWrap w:val="0"/>
                  <w:vAlign w:val="center"/>
                </w:tcPr>
                <w:p>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 xml:space="preserve">1.4232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713" w:type="pct"/>
                  <w:vMerge w:val="continue"/>
                  <w:noWrap w:val="0"/>
                  <w:vAlign w:val="center"/>
                </w:tcPr>
                <w:p>
                  <w:pPr>
                    <w:jc w:val="center"/>
                    <w:rPr>
                      <w:rFonts w:hint="eastAsia"/>
                      <w:bCs/>
                      <w:color w:val="auto"/>
                      <w:sz w:val="21"/>
                      <w:szCs w:val="21"/>
                      <w:lang w:val="en-US" w:eastAsia="zh-CN"/>
                    </w:rPr>
                  </w:pPr>
                </w:p>
              </w:tc>
              <w:tc>
                <w:tcPr>
                  <w:tcW w:w="714" w:type="pct"/>
                  <w:shd w:val="clear" w:color="auto" w:fill="auto"/>
                  <w:noWrap w:val="0"/>
                  <w:vAlign w:val="center"/>
                </w:tcPr>
                <w:p>
                  <w:pPr>
                    <w:pStyle w:val="49"/>
                    <w:ind w:firstLine="0" w:firstLineChars="0"/>
                    <w:jc w:val="center"/>
                    <w:rPr>
                      <w:rFonts w:hint="eastAsia" w:ascii="Times New Roman" w:hAnsi="Times New Roman" w:eastAsia="宋体" w:cs="Times New Roman"/>
                      <w:bCs/>
                      <w:color w:val="auto"/>
                      <w:kern w:val="0"/>
                      <w:sz w:val="18"/>
                      <w:szCs w:val="18"/>
                      <w:lang w:val="en-US" w:eastAsia="zh-CN" w:bidi="ar-SA"/>
                    </w:rPr>
                  </w:pPr>
                  <w:r>
                    <w:rPr>
                      <w:rFonts w:hint="eastAsia" w:ascii="Times New Roman" w:hAnsi="Times New Roman" w:cs="Times New Roman"/>
                      <w:color w:val="auto"/>
                      <w:sz w:val="18"/>
                      <w:szCs w:val="18"/>
                    </w:rPr>
                    <w:t>NOx</w:t>
                  </w:r>
                </w:p>
              </w:tc>
              <w:tc>
                <w:tcPr>
                  <w:tcW w:w="1428" w:type="pct"/>
                  <w:shd w:val="clear" w:color="auto" w:fill="auto"/>
                  <w:noWrap/>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19.44</w:t>
                  </w:r>
                </w:p>
              </w:tc>
              <w:tc>
                <w:tcPr>
                  <w:tcW w:w="1073" w:type="pct"/>
                  <w:shd w:val="clear" w:color="auto" w:fill="auto"/>
                  <w:noWrap w:val="0"/>
                  <w:vAlign w:val="center"/>
                </w:tcPr>
                <w:p>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 xml:space="preserve">6.6535 </w:t>
                  </w:r>
                </w:p>
              </w:tc>
              <w:tc>
                <w:tcPr>
                  <w:tcW w:w="1069" w:type="pct"/>
                  <w:shd w:val="clear" w:color="auto" w:fill="auto"/>
                  <w:noWrap w:val="0"/>
                  <w:vAlign w:val="center"/>
                </w:tcPr>
                <w:p>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 xml:space="preserve">6.6535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713" w:type="pct"/>
                  <w:vMerge w:val="continue"/>
                  <w:noWrap w:val="0"/>
                  <w:vAlign w:val="center"/>
                </w:tcPr>
                <w:p>
                  <w:pPr>
                    <w:jc w:val="center"/>
                    <w:rPr>
                      <w:rFonts w:hint="eastAsia"/>
                      <w:bCs/>
                      <w:color w:val="auto"/>
                      <w:sz w:val="21"/>
                      <w:szCs w:val="21"/>
                      <w:lang w:val="en-US" w:eastAsia="zh-CN"/>
                    </w:rPr>
                  </w:pPr>
                </w:p>
              </w:tc>
              <w:tc>
                <w:tcPr>
                  <w:tcW w:w="714" w:type="pct"/>
                  <w:shd w:val="clear" w:color="auto" w:fill="auto"/>
                  <w:noWrap w:val="0"/>
                  <w:vAlign w:val="center"/>
                </w:tcPr>
                <w:p>
                  <w:pPr>
                    <w:pStyle w:val="49"/>
                    <w:ind w:firstLine="0" w:firstLineChars="0"/>
                    <w:jc w:val="center"/>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sz w:val="18"/>
                      <w:szCs w:val="18"/>
                    </w:rPr>
                    <w:t>颗粒物</w:t>
                  </w:r>
                </w:p>
              </w:tc>
              <w:tc>
                <w:tcPr>
                  <w:tcW w:w="1428" w:type="pct"/>
                  <w:shd w:val="clear" w:color="auto" w:fill="auto"/>
                  <w:noWrap/>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2.16</w:t>
                  </w:r>
                </w:p>
              </w:tc>
              <w:tc>
                <w:tcPr>
                  <w:tcW w:w="1073" w:type="pct"/>
                  <w:shd w:val="clear" w:color="auto" w:fill="auto"/>
                  <w:noWrap w:val="0"/>
                  <w:vAlign w:val="center"/>
                </w:tcPr>
                <w:p>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 xml:space="preserve">2.0352 </w:t>
                  </w:r>
                </w:p>
              </w:tc>
              <w:tc>
                <w:tcPr>
                  <w:tcW w:w="1069" w:type="pct"/>
                  <w:shd w:val="clear" w:color="auto" w:fill="auto"/>
                  <w:noWrap w:val="0"/>
                  <w:vAlign w:val="center"/>
                </w:tcPr>
                <w:p>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 xml:space="preserve">2.0352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713" w:type="pct"/>
                  <w:vMerge w:val="restart"/>
                  <w:shd w:val="clear" w:color="auto" w:fill="auto"/>
                  <w:noWrap w:val="0"/>
                  <w:vAlign w:val="center"/>
                </w:tcPr>
                <w:p>
                  <w:pPr>
                    <w:jc w:val="center"/>
                    <w:rPr>
                      <w:rFonts w:hint="eastAsia" w:ascii="Times New Roman" w:hAnsi="Times New Roman" w:eastAsia="宋体" w:cs="Times New Roman"/>
                      <w:bCs/>
                      <w:color w:val="auto"/>
                      <w:kern w:val="2"/>
                      <w:sz w:val="18"/>
                      <w:szCs w:val="18"/>
                      <w:lang w:val="en-US" w:eastAsia="zh-CN" w:bidi="ar-SA"/>
                    </w:rPr>
                  </w:pPr>
                  <w:r>
                    <w:rPr>
                      <w:rFonts w:hint="eastAsia"/>
                      <w:bCs/>
                      <w:color w:val="auto"/>
                      <w:sz w:val="18"/>
                      <w:szCs w:val="18"/>
                      <w:lang w:val="en-US" w:eastAsia="zh-CN"/>
                    </w:rPr>
                    <w:t>DA003</w:t>
                  </w:r>
                </w:p>
              </w:tc>
              <w:tc>
                <w:tcPr>
                  <w:tcW w:w="714" w:type="pct"/>
                  <w:shd w:val="clear" w:color="auto" w:fill="auto"/>
                  <w:noWrap w:val="0"/>
                  <w:vAlign w:val="center"/>
                </w:tcPr>
                <w:p>
                  <w:pPr>
                    <w:pStyle w:val="49"/>
                    <w:ind w:firstLine="0" w:firstLineChars="0"/>
                    <w:jc w:val="center"/>
                    <w:rPr>
                      <w:rFonts w:hint="eastAsia" w:ascii="Times New Roman" w:hAnsi="Times New Roman" w:eastAsia="宋体" w:cs="Times New Roman"/>
                      <w:bCs/>
                      <w:color w:val="auto"/>
                      <w:kern w:val="0"/>
                      <w:sz w:val="18"/>
                      <w:szCs w:val="18"/>
                      <w:lang w:val="en-US" w:eastAsia="zh-CN" w:bidi="ar-SA"/>
                    </w:rPr>
                  </w:pPr>
                  <w:r>
                    <w:rPr>
                      <w:rFonts w:hint="eastAsia" w:ascii="Times New Roman" w:hAnsi="Times New Roman" w:cs="Times New Roman"/>
                      <w:color w:val="auto"/>
                      <w:sz w:val="18"/>
                      <w:szCs w:val="18"/>
                    </w:rPr>
                    <w:t>SO</w:t>
                  </w:r>
                  <w:r>
                    <w:rPr>
                      <w:rFonts w:hint="eastAsia" w:ascii="Times New Roman" w:hAnsi="Times New Roman" w:cs="Times New Roman"/>
                      <w:color w:val="auto"/>
                      <w:sz w:val="18"/>
                      <w:szCs w:val="18"/>
                      <w:vertAlign w:val="subscript"/>
                    </w:rPr>
                    <w:t>2</w:t>
                  </w:r>
                </w:p>
              </w:tc>
              <w:tc>
                <w:tcPr>
                  <w:tcW w:w="1428" w:type="pct"/>
                  <w:shd w:val="clear" w:color="auto" w:fill="auto"/>
                  <w:noWrap/>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16.128</w:t>
                  </w:r>
                </w:p>
              </w:tc>
              <w:tc>
                <w:tcPr>
                  <w:tcW w:w="1073" w:type="pct"/>
                  <w:shd w:val="clear" w:color="auto" w:fill="auto"/>
                  <w:noWrap w:val="0"/>
                  <w:vAlign w:val="center"/>
                </w:tcPr>
                <w:p>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 xml:space="preserve">2.6784 </w:t>
                  </w:r>
                </w:p>
              </w:tc>
              <w:tc>
                <w:tcPr>
                  <w:tcW w:w="1069" w:type="pct"/>
                  <w:shd w:val="clear" w:color="auto" w:fill="auto"/>
                  <w:noWrap w:val="0"/>
                  <w:vAlign w:val="center"/>
                </w:tcPr>
                <w:p>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 xml:space="preserve">2.6784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713" w:type="pct"/>
                  <w:vMerge w:val="continue"/>
                  <w:noWrap w:val="0"/>
                  <w:vAlign w:val="center"/>
                </w:tcPr>
                <w:p>
                  <w:pPr>
                    <w:jc w:val="center"/>
                    <w:rPr>
                      <w:rFonts w:hint="eastAsia"/>
                      <w:bCs/>
                      <w:color w:val="auto"/>
                      <w:sz w:val="21"/>
                      <w:szCs w:val="21"/>
                      <w:lang w:val="en-US" w:eastAsia="zh-CN"/>
                    </w:rPr>
                  </w:pPr>
                </w:p>
              </w:tc>
              <w:tc>
                <w:tcPr>
                  <w:tcW w:w="714" w:type="pct"/>
                  <w:shd w:val="clear" w:color="auto" w:fill="auto"/>
                  <w:noWrap w:val="0"/>
                  <w:vAlign w:val="center"/>
                </w:tcPr>
                <w:p>
                  <w:pPr>
                    <w:pStyle w:val="49"/>
                    <w:ind w:firstLine="0" w:firstLineChars="0"/>
                    <w:jc w:val="center"/>
                    <w:rPr>
                      <w:rFonts w:hint="eastAsia" w:ascii="Times New Roman" w:hAnsi="Times New Roman" w:eastAsia="宋体" w:cs="Times New Roman"/>
                      <w:bCs/>
                      <w:color w:val="auto"/>
                      <w:kern w:val="0"/>
                      <w:sz w:val="18"/>
                      <w:szCs w:val="18"/>
                      <w:lang w:val="en-US" w:eastAsia="zh-CN" w:bidi="ar-SA"/>
                    </w:rPr>
                  </w:pPr>
                  <w:r>
                    <w:rPr>
                      <w:rFonts w:hint="eastAsia" w:ascii="Times New Roman" w:hAnsi="Times New Roman" w:cs="Times New Roman"/>
                      <w:color w:val="auto"/>
                      <w:sz w:val="18"/>
                      <w:szCs w:val="18"/>
                    </w:rPr>
                    <w:t>NOx</w:t>
                  </w:r>
                </w:p>
              </w:tc>
              <w:tc>
                <w:tcPr>
                  <w:tcW w:w="1428" w:type="pct"/>
                  <w:shd w:val="clear" w:color="auto" w:fill="auto"/>
                  <w:noWrap/>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36.288</w:t>
                  </w:r>
                </w:p>
              </w:tc>
              <w:tc>
                <w:tcPr>
                  <w:tcW w:w="1073" w:type="pct"/>
                  <w:shd w:val="clear" w:color="auto" w:fill="auto"/>
                  <w:noWrap w:val="0"/>
                  <w:vAlign w:val="center"/>
                </w:tcPr>
                <w:p>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 xml:space="preserve">12.5215 </w:t>
                  </w:r>
                </w:p>
              </w:tc>
              <w:tc>
                <w:tcPr>
                  <w:tcW w:w="1069" w:type="pct"/>
                  <w:shd w:val="clear" w:color="auto" w:fill="auto"/>
                  <w:noWrap w:val="0"/>
                  <w:vAlign w:val="center"/>
                </w:tcPr>
                <w:p>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 xml:space="preserve">12.5215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713" w:type="pct"/>
                  <w:vMerge w:val="continue"/>
                  <w:noWrap w:val="0"/>
                  <w:vAlign w:val="center"/>
                </w:tcPr>
                <w:p>
                  <w:pPr>
                    <w:jc w:val="center"/>
                    <w:rPr>
                      <w:rFonts w:hint="eastAsia"/>
                      <w:bCs/>
                      <w:color w:val="auto"/>
                      <w:sz w:val="21"/>
                      <w:szCs w:val="21"/>
                      <w:lang w:val="en-US" w:eastAsia="zh-CN"/>
                    </w:rPr>
                  </w:pPr>
                </w:p>
              </w:tc>
              <w:tc>
                <w:tcPr>
                  <w:tcW w:w="714" w:type="pct"/>
                  <w:shd w:val="clear" w:color="auto" w:fill="auto"/>
                  <w:noWrap w:val="0"/>
                  <w:vAlign w:val="center"/>
                </w:tcPr>
                <w:p>
                  <w:pPr>
                    <w:pStyle w:val="49"/>
                    <w:ind w:firstLine="0" w:firstLineChars="0"/>
                    <w:jc w:val="center"/>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sz w:val="18"/>
                      <w:szCs w:val="18"/>
                    </w:rPr>
                    <w:t>颗粒物</w:t>
                  </w:r>
                </w:p>
              </w:tc>
              <w:tc>
                <w:tcPr>
                  <w:tcW w:w="1428" w:type="pct"/>
                  <w:shd w:val="clear" w:color="auto" w:fill="auto"/>
                  <w:noWrap/>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4.032</w:t>
                  </w:r>
                </w:p>
              </w:tc>
              <w:tc>
                <w:tcPr>
                  <w:tcW w:w="1073" w:type="pct"/>
                  <w:shd w:val="clear" w:color="auto" w:fill="auto"/>
                  <w:noWrap w:val="0"/>
                  <w:vAlign w:val="center"/>
                </w:tcPr>
                <w:p>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 xml:space="preserve">3.8301 </w:t>
                  </w:r>
                </w:p>
              </w:tc>
              <w:tc>
                <w:tcPr>
                  <w:tcW w:w="1069" w:type="pct"/>
                  <w:shd w:val="clear" w:color="auto" w:fill="auto"/>
                  <w:noWrap w:val="0"/>
                  <w:vAlign w:val="center"/>
                </w:tcPr>
                <w:p>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 xml:space="preserve">3.8301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713" w:type="pct"/>
                  <w:vMerge w:val="restart"/>
                  <w:shd w:val="clear" w:color="auto" w:fill="auto"/>
                  <w:noWrap w:val="0"/>
                  <w:vAlign w:val="center"/>
                </w:tcPr>
                <w:p>
                  <w:pPr>
                    <w:jc w:val="center"/>
                    <w:rPr>
                      <w:rFonts w:hint="eastAsia" w:ascii="Times New Roman" w:hAnsi="Times New Roman" w:eastAsia="宋体" w:cs="Times New Roman"/>
                      <w:bCs/>
                      <w:color w:val="auto"/>
                      <w:kern w:val="2"/>
                      <w:sz w:val="18"/>
                      <w:szCs w:val="18"/>
                      <w:lang w:val="en-US" w:eastAsia="zh-CN" w:bidi="ar-SA"/>
                    </w:rPr>
                  </w:pPr>
                  <w:r>
                    <w:rPr>
                      <w:rFonts w:hint="eastAsia"/>
                      <w:bCs/>
                      <w:color w:val="auto"/>
                      <w:sz w:val="18"/>
                      <w:szCs w:val="18"/>
                      <w:lang w:val="en-US" w:eastAsia="zh-CN"/>
                    </w:rPr>
                    <w:t>DA008</w:t>
                  </w:r>
                </w:p>
              </w:tc>
              <w:tc>
                <w:tcPr>
                  <w:tcW w:w="714" w:type="pct"/>
                  <w:shd w:val="clear" w:color="auto" w:fill="auto"/>
                  <w:noWrap w:val="0"/>
                  <w:vAlign w:val="center"/>
                </w:tcPr>
                <w:p>
                  <w:pPr>
                    <w:pStyle w:val="49"/>
                    <w:ind w:firstLine="0" w:firstLineChars="0"/>
                    <w:jc w:val="center"/>
                    <w:rPr>
                      <w:rFonts w:hint="eastAsia" w:ascii="Times New Roman" w:hAnsi="Times New Roman" w:eastAsia="宋体" w:cs="宋体"/>
                      <w:bCs/>
                      <w:color w:val="auto"/>
                      <w:kern w:val="0"/>
                      <w:sz w:val="18"/>
                      <w:szCs w:val="18"/>
                      <w:lang w:val="en-US" w:eastAsia="zh-CN" w:bidi="ar-SA"/>
                    </w:rPr>
                  </w:pPr>
                  <w:r>
                    <w:rPr>
                      <w:rFonts w:hint="eastAsia" w:ascii="Times New Roman" w:hAnsi="Times New Roman" w:cs="Times New Roman"/>
                      <w:color w:val="auto"/>
                      <w:sz w:val="18"/>
                      <w:szCs w:val="18"/>
                    </w:rPr>
                    <w:t>SO</w:t>
                  </w:r>
                  <w:r>
                    <w:rPr>
                      <w:rFonts w:hint="eastAsia" w:ascii="Times New Roman" w:hAnsi="Times New Roman" w:cs="Times New Roman"/>
                      <w:color w:val="auto"/>
                      <w:sz w:val="18"/>
                      <w:szCs w:val="18"/>
                      <w:vertAlign w:val="subscript"/>
                    </w:rPr>
                    <w:t>2</w:t>
                  </w:r>
                </w:p>
              </w:tc>
              <w:tc>
                <w:tcPr>
                  <w:tcW w:w="1428" w:type="pct"/>
                  <w:shd w:val="clear" w:color="auto" w:fill="auto"/>
                  <w:noWrap/>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6.912</w:t>
                  </w:r>
                </w:p>
              </w:tc>
              <w:tc>
                <w:tcPr>
                  <w:tcW w:w="1073" w:type="pct"/>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0.4608 </w:t>
                  </w:r>
                </w:p>
              </w:tc>
              <w:tc>
                <w:tcPr>
                  <w:tcW w:w="1069" w:type="pct"/>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0.4608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713" w:type="pct"/>
                  <w:vMerge w:val="continue"/>
                  <w:noWrap w:val="0"/>
                  <w:vAlign w:val="center"/>
                </w:tcPr>
                <w:p>
                  <w:pPr>
                    <w:jc w:val="center"/>
                    <w:rPr>
                      <w:rFonts w:hint="eastAsia"/>
                      <w:bCs/>
                      <w:color w:val="auto"/>
                      <w:sz w:val="21"/>
                      <w:szCs w:val="21"/>
                      <w:lang w:val="en-US" w:eastAsia="zh-CN"/>
                    </w:rPr>
                  </w:pPr>
                </w:p>
              </w:tc>
              <w:tc>
                <w:tcPr>
                  <w:tcW w:w="714" w:type="pct"/>
                  <w:shd w:val="clear" w:color="auto" w:fill="auto"/>
                  <w:noWrap w:val="0"/>
                  <w:vAlign w:val="center"/>
                </w:tcPr>
                <w:p>
                  <w:pPr>
                    <w:pStyle w:val="49"/>
                    <w:ind w:firstLine="0" w:firstLineChars="0"/>
                    <w:jc w:val="center"/>
                    <w:rPr>
                      <w:rFonts w:hint="eastAsia" w:ascii="Times New Roman" w:hAnsi="Times New Roman" w:eastAsia="宋体" w:cs="宋体"/>
                      <w:bCs/>
                      <w:color w:val="auto"/>
                      <w:kern w:val="0"/>
                      <w:sz w:val="18"/>
                      <w:szCs w:val="18"/>
                      <w:lang w:val="en-US" w:eastAsia="zh-CN" w:bidi="ar-SA"/>
                    </w:rPr>
                  </w:pPr>
                  <w:r>
                    <w:rPr>
                      <w:rFonts w:hint="eastAsia" w:ascii="Times New Roman" w:hAnsi="Times New Roman" w:cs="Times New Roman"/>
                      <w:color w:val="auto"/>
                      <w:sz w:val="18"/>
                      <w:szCs w:val="18"/>
                    </w:rPr>
                    <w:t>NOx</w:t>
                  </w:r>
                </w:p>
              </w:tc>
              <w:tc>
                <w:tcPr>
                  <w:tcW w:w="1428" w:type="pct"/>
                  <w:shd w:val="clear" w:color="auto" w:fill="auto"/>
                  <w:noWrap/>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15.552</w:t>
                  </w:r>
                </w:p>
              </w:tc>
              <w:tc>
                <w:tcPr>
                  <w:tcW w:w="1073" w:type="pct"/>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2.1543</w:t>
                  </w:r>
                </w:p>
              </w:tc>
              <w:tc>
                <w:tcPr>
                  <w:tcW w:w="1069" w:type="pct"/>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2.1543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713" w:type="pct"/>
                  <w:vMerge w:val="continue"/>
                  <w:noWrap w:val="0"/>
                  <w:vAlign w:val="center"/>
                </w:tcPr>
                <w:p>
                  <w:pPr>
                    <w:jc w:val="center"/>
                    <w:rPr>
                      <w:rFonts w:hint="eastAsia"/>
                      <w:bCs/>
                      <w:color w:val="auto"/>
                      <w:sz w:val="21"/>
                      <w:szCs w:val="21"/>
                      <w:lang w:val="en-US" w:eastAsia="zh-CN"/>
                    </w:rPr>
                  </w:pPr>
                </w:p>
              </w:tc>
              <w:tc>
                <w:tcPr>
                  <w:tcW w:w="714" w:type="pct"/>
                  <w:shd w:val="clear" w:color="auto" w:fill="auto"/>
                  <w:noWrap w:val="0"/>
                  <w:vAlign w:val="center"/>
                </w:tcPr>
                <w:p>
                  <w:pPr>
                    <w:pStyle w:val="49"/>
                    <w:ind w:firstLine="0" w:firstLineChars="0"/>
                    <w:jc w:val="center"/>
                    <w:rPr>
                      <w:rFonts w:hint="eastAsia" w:ascii="Times New Roman" w:hAnsi="Times New Roman" w:eastAsia="宋体" w:cs="宋体"/>
                      <w:bCs/>
                      <w:color w:val="auto"/>
                      <w:kern w:val="0"/>
                      <w:sz w:val="18"/>
                      <w:szCs w:val="18"/>
                      <w:lang w:val="en-US" w:eastAsia="zh-CN" w:bidi="ar-SA"/>
                    </w:rPr>
                  </w:pPr>
                  <w:r>
                    <w:rPr>
                      <w:rFonts w:hint="eastAsia" w:ascii="Times New Roman" w:hAnsi="Times New Roman" w:cs="Times New Roman"/>
                      <w:color w:val="auto"/>
                      <w:sz w:val="18"/>
                      <w:szCs w:val="18"/>
                    </w:rPr>
                    <w:t>颗粒物</w:t>
                  </w:r>
                </w:p>
              </w:tc>
              <w:tc>
                <w:tcPr>
                  <w:tcW w:w="1428" w:type="pct"/>
                  <w:shd w:val="clear" w:color="auto" w:fill="auto"/>
                  <w:noWrap/>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1.728</w:t>
                  </w:r>
                </w:p>
              </w:tc>
              <w:tc>
                <w:tcPr>
                  <w:tcW w:w="1073" w:type="pct"/>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0.6589 </w:t>
                  </w:r>
                </w:p>
              </w:tc>
              <w:tc>
                <w:tcPr>
                  <w:tcW w:w="1069" w:type="pct"/>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0.6589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713" w:type="pct"/>
                  <w:vMerge w:val="restart"/>
                  <w:shd w:val="clear" w:color="auto" w:fill="auto"/>
                  <w:noWrap w:val="0"/>
                  <w:vAlign w:val="center"/>
                </w:tcPr>
                <w:p>
                  <w:pPr>
                    <w:jc w:val="center"/>
                    <w:rPr>
                      <w:rFonts w:hint="eastAsia" w:ascii="Times New Roman" w:hAnsi="Times New Roman" w:eastAsia="宋体" w:cs="Times New Roman"/>
                      <w:bCs/>
                      <w:color w:val="auto"/>
                      <w:kern w:val="2"/>
                      <w:sz w:val="18"/>
                      <w:szCs w:val="18"/>
                      <w:lang w:val="en-US" w:eastAsia="zh-CN" w:bidi="ar-SA"/>
                    </w:rPr>
                  </w:pPr>
                  <w:r>
                    <w:rPr>
                      <w:rFonts w:hint="eastAsia"/>
                      <w:bCs/>
                      <w:color w:val="auto"/>
                      <w:sz w:val="18"/>
                      <w:szCs w:val="18"/>
                      <w:lang w:val="en-US" w:eastAsia="zh-CN"/>
                    </w:rPr>
                    <w:t>DA004</w:t>
                  </w:r>
                </w:p>
              </w:tc>
              <w:tc>
                <w:tcPr>
                  <w:tcW w:w="714" w:type="pct"/>
                  <w:shd w:val="clear" w:color="auto" w:fill="auto"/>
                  <w:noWrap w:val="0"/>
                  <w:vAlign w:val="center"/>
                </w:tcPr>
                <w:p>
                  <w:pPr>
                    <w:pStyle w:val="49"/>
                    <w:ind w:firstLine="0" w:firstLineChars="0"/>
                    <w:jc w:val="center"/>
                    <w:rPr>
                      <w:rFonts w:hint="eastAsia" w:ascii="Times New Roman" w:hAnsi="Times New Roman" w:eastAsia="宋体" w:cs="Times New Roman"/>
                      <w:bCs/>
                      <w:color w:val="auto"/>
                      <w:kern w:val="0"/>
                      <w:sz w:val="18"/>
                      <w:szCs w:val="18"/>
                      <w:lang w:val="en-US" w:eastAsia="zh-CN" w:bidi="ar-SA"/>
                    </w:rPr>
                  </w:pPr>
                  <w:r>
                    <w:rPr>
                      <w:rFonts w:hint="eastAsia" w:ascii="Times New Roman" w:hAnsi="Times New Roman" w:cs="Times New Roman"/>
                      <w:color w:val="auto"/>
                      <w:sz w:val="18"/>
                      <w:szCs w:val="18"/>
                    </w:rPr>
                    <w:t>SO</w:t>
                  </w:r>
                  <w:r>
                    <w:rPr>
                      <w:rFonts w:hint="eastAsia" w:ascii="Times New Roman" w:hAnsi="Times New Roman" w:cs="Times New Roman"/>
                      <w:color w:val="auto"/>
                      <w:sz w:val="18"/>
                      <w:szCs w:val="18"/>
                      <w:vertAlign w:val="subscript"/>
                    </w:rPr>
                    <w:t>2</w:t>
                  </w:r>
                </w:p>
              </w:tc>
              <w:tc>
                <w:tcPr>
                  <w:tcW w:w="1428" w:type="pct"/>
                  <w:shd w:val="clear" w:color="auto" w:fill="auto"/>
                  <w:noWrap/>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8.64</w:t>
                  </w:r>
                </w:p>
              </w:tc>
              <w:tc>
                <w:tcPr>
                  <w:tcW w:w="1073" w:type="pct"/>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1.584</w:t>
                  </w:r>
                </w:p>
              </w:tc>
              <w:tc>
                <w:tcPr>
                  <w:tcW w:w="1069" w:type="pct"/>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1.584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713" w:type="pct"/>
                  <w:vMerge w:val="continue"/>
                  <w:noWrap w:val="0"/>
                  <w:vAlign w:val="center"/>
                </w:tcPr>
                <w:p>
                  <w:pPr>
                    <w:jc w:val="center"/>
                    <w:rPr>
                      <w:rFonts w:hint="eastAsia"/>
                      <w:bCs/>
                      <w:color w:val="auto"/>
                      <w:sz w:val="21"/>
                      <w:szCs w:val="21"/>
                      <w:lang w:val="en-US" w:eastAsia="zh-CN"/>
                    </w:rPr>
                  </w:pPr>
                </w:p>
              </w:tc>
              <w:tc>
                <w:tcPr>
                  <w:tcW w:w="714" w:type="pct"/>
                  <w:shd w:val="clear" w:color="auto" w:fill="auto"/>
                  <w:noWrap w:val="0"/>
                  <w:vAlign w:val="center"/>
                </w:tcPr>
                <w:p>
                  <w:pPr>
                    <w:pStyle w:val="49"/>
                    <w:ind w:firstLine="0" w:firstLineChars="0"/>
                    <w:jc w:val="center"/>
                    <w:rPr>
                      <w:rFonts w:hint="eastAsia" w:ascii="Times New Roman" w:hAnsi="Times New Roman" w:eastAsia="宋体" w:cs="Times New Roman"/>
                      <w:bCs/>
                      <w:color w:val="auto"/>
                      <w:kern w:val="0"/>
                      <w:sz w:val="18"/>
                      <w:szCs w:val="18"/>
                      <w:lang w:val="en-US" w:eastAsia="zh-CN" w:bidi="ar-SA"/>
                    </w:rPr>
                  </w:pPr>
                  <w:r>
                    <w:rPr>
                      <w:rFonts w:hint="eastAsia" w:ascii="Times New Roman" w:hAnsi="Times New Roman" w:cs="Times New Roman"/>
                      <w:color w:val="auto"/>
                      <w:sz w:val="18"/>
                      <w:szCs w:val="18"/>
                    </w:rPr>
                    <w:t>NOx</w:t>
                  </w:r>
                </w:p>
              </w:tc>
              <w:tc>
                <w:tcPr>
                  <w:tcW w:w="1428" w:type="pct"/>
                  <w:shd w:val="clear" w:color="auto" w:fill="auto"/>
                  <w:noWrap/>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19.44</w:t>
                  </w:r>
                </w:p>
              </w:tc>
              <w:tc>
                <w:tcPr>
                  <w:tcW w:w="1073" w:type="pct"/>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7.4052</w:t>
                  </w:r>
                </w:p>
              </w:tc>
              <w:tc>
                <w:tcPr>
                  <w:tcW w:w="1069" w:type="pct"/>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7.4052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713" w:type="pct"/>
                  <w:vMerge w:val="continue"/>
                  <w:noWrap w:val="0"/>
                  <w:vAlign w:val="center"/>
                </w:tcPr>
                <w:p>
                  <w:pPr>
                    <w:jc w:val="center"/>
                    <w:rPr>
                      <w:rFonts w:hint="eastAsia"/>
                      <w:bCs/>
                      <w:color w:val="auto"/>
                      <w:sz w:val="21"/>
                      <w:szCs w:val="21"/>
                      <w:lang w:val="en-US" w:eastAsia="zh-CN"/>
                    </w:rPr>
                  </w:pPr>
                </w:p>
              </w:tc>
              <w:tc>
                <w:tcPr>
                  <w:tcW w:w="714" w:type="pct"/>
                  <w:shd w:val="clear" w:color="auto" w:fill="auto"/>
                  <w:noWrap w:val="0"/>
                  <w:vAlign w:val="center"/>
                </w:tcPr>
                <w:p>
                  <w:pPr>
                    <w:pStyle w:val="49"/>
                    <w:ind w:firstLine="0" w:firstLineChars="0"/>
                    <w:jc w:val="center"/>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sz w:val="18"/>
                      <w:szCs w:val="18"/>
                    </w:rPr>
                    <w:t>颗粒物</w:t>
                  </w:r>
                </w:p>
              </w:tc>
              <w:tc>
                <w:tcPr>
                  <w:tcW w:w="1428" w:type="pct"/>
                  <w:shd w:val="clear" w:color="auto" w:fill="auto"/>
                  <w:noWrap/>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2.16</w:t>
                  </w:r>
                </w:p>
              </w:tc>
              <w:tc>
                <w:tcPr>
                  <w:tcW w:w="1073" w:type="pct"/>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2.26512</w:t>
                  </w:r>
                </w:p>
              </w:tc>
              <w:tc>
                <w:tcPr>
                  <w:tcW w:w="1069" w:type="pct"/>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2.26512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713" w:type="pct"/>
                  <w:vMerge w:val="restart"/>
                  <w:shd w:val="clear" w:color="auto" w:fill="auto"/>
                  <w:noWrap w:val="0"/>
                  <w:vAlign w:val="center"/>
                </w:tcPr>
                <w:p>
                  <w:pPr>
                    <w:jc w:val="center"/>
                    <w:rPr>
                      <w:rFonts w:hint="eastAsia" w:ascii="Times New Roman" w:hAnsi="Times New Roman" w:eastAsia="宋体" w:cs="Times New Roman"/>
                      <w:bCs/>
                      <w:color w:val="auto"/>
                      <w:kern w:val="2"/>
                      <w:sz w:val="18"/>
                      <w:szCs w:val="18"/>
                      <w:lang w:val="en-US" w:eastAsia="zh-CN" w:bidi="ar-SA"/>
                    </w:rPr>
                  </w:pPr>
                  <w:r>
                    <w:rPr>
                      <w:rFonts w:hint="eastAsia"/>
                      <w:bCs/>
                      <w:color w:val="auto"/>
                      <w:sz w:val="18"/>
                      <w:szCs w:val="18"/>
                      <w:lang w:val="en-US" w:eastAsia="zh-CN"/>
                    </w:rPr>
                    <w:t>DA005</w:t>
                  </w:r>
                </w:p>
              </w:tc>
              <w:tc>
                <w:tcPr>
                  <w:tcW w:w="714" w:type="pct"/>
                  <w:shd w:val="clear" w:color="auto" w:fill="auto"/>
                  <w:noWrap w:val="0"/>
                  <w:vAlign w:val="center"/>
                </w:tcPr>
                <w:p>
                  <w:pPr>
                    <w:pStyle w:val="49"/>
                    <w:ind w:firstLine="0" w:firstLineChars="0"/>
                    <w:jc w:val="center"/>
                    <w:rPr>
                      <w:rFonts w:hint="eastAsia" w:ascii="Times New Roman" w:hAnsi="Times New Roman" w:eastAsia="宋体" w:cs="宋体"/>
                      <w:bCs/>
                      <w:color w:val="auto"/>
                      <w:kern w:val="0"/>
                      <w:sz w:val="18"/>
                      <w:szCs w:val="18"/>
                      <w:lang w:val="en-US" w:eastAsia="zh-CN" w:bidi="ar-SA"/>
                    </w:rPr>
                  </w:pPr>
                  <w:r>
                    <w:rPr>
                      <w:rFonts w:hint="eastAsia" w:ascii="Times New Roman" w:hAnsi="Times New Roman" w:cs="Times New Roman"/>
                      <w:color w:val="auto"/>
                      <w:sz w:val="18"/>
                      <w:szCs w:val="18"/>
                    </w:rPr>
                    <w:t>SO</w:t>
                  </w:r>
                  <w:r>
                    <w:rPr>
                      <w:rFonts w:hint="eastAsia" w:ascii="Times New Roman" w:hAnsi="Times New Roman" w:cs="Times New Roman"/>
                      <w:color w:val="auto"/>
                      <w:sz w:val="18"/>
                      <w:szCs w:val="18"/>
                      <w:vertAlign w:val="subscript"/>
                    </w:rPr>
                    <w:t>2</w:t>
                  </w:r>
                </w:p>
              </w:tc>
              <w:tc>
                <w:tcPr>
                  <w:tcW w:w="1428" w:type="pct"/>
                  <w:shd w:val="clear" w:color="auto" w:fill="auto"/>
                  <w:noWrap/>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8.64</w:t>
                  </w:r>
                </w:p>
              </w:tc>
              <w:tc>
                <w:tcPr>
                  <w:tcW w:w="1073" w:type="pct"/>
                  <w:shd w:val="clear" w:color="auto" w:fill="auto"/>
                  <w:noWrap w:val="0"/>
                  <w:vAlign w:val="center"/>
                </w:tcPr>
                <w:p>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 xml:space="preserve">1.2960 </w:t>
                  </w:r>
                </w:p>
              </w:tc>
              <w:tc>
                <w:tcPr>
                  <w:tcW w:w="1069" w:type="pct"/>
                  <w:shd w:val="clear" w:color="auto" w:fill="auto"/>
                  <w:noWrap w:val="0"/>
                  <w:vAlign w:val="center"/>
                </w:tcPr>
                <w:p>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 xml:space="preserve">1.2960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713" w:type="pct"/>
                  <w:vMerge w:val="continue"/>
                  <w:noWrap w:val="0"/>
                  <w:vAlign w:val="center"/>
                </w:tcPr>
                <w:p>
                  <w:pPr>
                    <w:jc w:val="center"/>
                    <w:rPr>
                      <w:rFonts w:hint="eastAsia"/>
                      <w:bCs/>
                      <w:color w:val="auto"/>
                      <w:sz w:val="21"/>
                      <w:szCs w:val="21"/>
                      <w:lang w:val="en-US" w:eastAsia="zh-CN"/>
                    </w:rPr>
                  </w:pPr>
                </w:p>
              </w:tc>
              <w:tc>
                <w:tcPr>
                  <w:tcW w:w="714" w:type="pct"/>
                  <w:shd w:val="clear" w:color="auto" w:fill="auto"/>
                  <w:noWrap w:val="0"/>
                  <w:vAlign w:val="center"/>
                </w:tcPr>
                <w:p>
                  <w:pPr>
                    <w:pStyle w:val="49"/>
                    <w:ind w:firstLine="0" w:firstLineChars="0"/>
                    <w:jc w:val="center"/>
                    <w:rPr>
                      <w:rFonts w:hint="eastAsia" w:ascii="Times New Roman" w:hAnsi="Times New Roman" w:eastAsia="宋体" w:cs="宋体"/>
                      <w:bCs/>
                      <w:color w:val="auto"/>
                      <w:kern w:val="0"/>
                      <w:sz w:val="18"/>
                      <w:szCs w:val="18"/>
                      <w:lang w:val="en-US" w:eastAsia="zh-CN" w:bidi="ar-SA"/>
                    </w:rPr>
                  </w:pPr>
                  <w:r>
                    <w:rPr>
                      <w:rFonts w:hint="eastAsia" w:ascii="Times New Roman" w:hAnsi="Times New Roman" w:cs="Times New Roman"/>
                      <w:color w:val="auto"/>
                      <w:sz w:val="18"/>
                      <w:szCs w:val="18"/>
                    </w:rPr>
                    <w:t>NOx</w:t>
                  </w:r>
                </w:p>
              </w:tc>
              <w:tc>
                <w:tcPr>
                  <w:tcW w:w="1428" w:type="pct"/>
                  <w:shd w:val="clear" w:color="auto" w:fill="auto"/>
                  <w:noWrap/>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19.44</w:t>
                  </w:r>
                </w:p>
              </w:tc>
              <w:tc>
                <w:tcPr>
                  <w:tcW w:w="1073" w:type="pct"/>
                  <w:shd w:val="clear" w:color="auto" w:fill="auto"/>
                  <w:noWrap w:val="0"/>
                  <w:vAlign w:val="center"/>
                </w:tcPr>
                <w:p>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 xml:space="preserve">6.0588 </w:t>
                  </w:r>
                </w:p>
              </w:tc>
              <w:tc>
                <w:tcPr>
                  <w:tcW w:w="1069" w:type="pct"/>
                  <w:shd w:val="clear" w:color="auto" w:fill="auto"/>
                  <w:noWrap w:val="0"/>
                  <w:vAlign w:val="center"/>
                </w:tcPr>
                <w:p>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 xml:space="preserve">6.0588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713" w:type="pct"/>
                  <w:vMerge w:val="continue"/>
                  <w:noWrap w:val="0"/>
                  <w:vAlign w:val="center"/>
                </w:tcPr>
                <w:p>
                  <w:pPr>
                    <w:jc w:val="center"/>
                    <w:rPr>
                      <w:rFonts w:hint="eastAsia"/>
                      <w:bCs/>
                      <w:color w:val="auto"/>
                      <w:sz w:val="21"/>
                      <w:szCs w:val="21"/>
                      <w:lang w:val="en-US" w:eastAsia="zh-CN"/>
                    </w:rPr>
                  </w:pPr>
                </w:p>
              </w:tc>
              <w:tc>
                <w:tcPr>
                  <w:tcW w:w="714" w:type="pct"/>
                  <w:shd w:val="clear" w:color="auto" w:fill="auto"/>
                  <w:noWrap w:val="0"/>
                  <w:vAlign w:val="center"/>
                </w:tcPr>
                <w:p>
                  <w:pPr>
                    <w:pStyle w:val="49"/>
                    <w:ind w:firstLine="0" w:firstLineChars="0"/>
                    <w:jc w:val="center"/>
                    <w:rPr>
                      <w:rFonts w:hint="eastAsia" w:ascii="Times New Roman" w:hAnsi="Times New Roman" w:eastAsia="宋体" w:cs="宋体"/>
                      <w:bCs/>
                      <w:color w:val="auto"/>
                      <w:kern w:val="0"/>
                      <w:sz w:val="18"/>
                      <w:szCs w:val="18"/>
                      <w:lang w:val="en-US" w:eastAsia="zh-CN" w:bidi="ar-SA"/>
                    </w:rPr>
                  </w:pPr>
                  <w:r>
                    <w:rPr>
                      <w:rFonts w:hint="eastAsia" w:ascii="Times New Roman" w:hAnsi="Times New Roman" w:cs="Times New Roman"/>
                      <w:color w:val="auto"/>
                      <w:sz w:val="18"/>
                      <w:szCs w:val="18"/>
                    </w:rPr>
                    <w:t>颗粒物</w:t>
                  </w:r>
                </w:p>
              </w:tc>
              <w:tc>
                <w:tcPr>
                  <w:tcW w:w="1428" w:type="pct"/>
                  <w:shd w:val="clear" w:color="auto" w:fill="auto"/>
                  <w:noWrap/>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2.16</w:t>
                  </w:r>
                </w:p>
              </w:tc>
              <w:tc>
                <w:tcPr>
                  <w:tcW w:w="1073" w:type="pct"/>
                  <w:shd w:val="clear" w:color="auto" w:fill="auto"/>
                  <w:noWrap w:val="0"/>
                  <w:vAlign w:val="center"/>
                </w:tcPr>
                <w:p>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 xml:space="preserve">1.8533 </w:t>
                  </w:r>
                </w:p>
              </w:tc>
              <w:tc>
                <w:tcPr>
                  <w:tcW w:w="1069" w:type="pct"/>
                  <w:shd w:val="clear" w:color="auto" w:fill="auto"/>
                  <w:noWrap w:val="0"/>
                  <w:vAlign w:val="center"/>
                </w:tcPr>
                <w:p>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 xml:space="preserve">1.8533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713" w:type="pct"/>
                  <w:shd w:val="clear" w:color="auto" w:fill="auto"/>
                  <w:noWrap w:val="0"/>
                  <w:vAlign w:val="center"/>
                </w:tcPr>
                <w:p>
                  <w:pPr>
                    <w:jc w:val="center"/>
                    <w:rPr>
                      <w:rFonts w:hint="eastAsia" w:ascii="Times New Roman" w:hAnsi="Times New Roman" w:eastAsia="宋体" w:cs="Times New Roman"/>
                      <w:bCs/>
                      <w:color w:val="auto"/>
                      <w:kern w:val="2"/>
                      <w:sz w:val="18"/>
                      <w:szCs w:val="18"/>
                      <w:lang w:val="en-US" w:eastAsia="zh-CN" w:bidi="ar-SA"/>
                    </w:rPr>
                  </w:pPr>
                  <w:r>
                    <w:rPr>
                      <w:rFonts w:hint="eastAsia"/>
                      <w:bCs/>
                      <w:color w:val="auto"/>
                      <w:sz w:val="18"/>
                      <w:szCs w:val="18"/>
                      <w:lang w:val="en-US" w:eastAsia="zh-CN"/>
                    </w:rPr>
                    <w:t>DA009</w:t>
                  </w:r>
                </w:p>
              </w:tc>
              <w:tc>
                <w:tcPr>
                  <w:tcW w:w="714" w:type="pct"/>
                  <w:shd w:val="clear" w:color="auto" w:fill="auto"/>
                  <w:noWrap w:val="0"/>
                  <w:vAlign w:val="center"/>
                </w:tcPr>
                <w:p>
                  <w:pPr>
                    <w:pStyle w:val="49"/>
                    <w:ind w:firstLine="0" w:firstLineChars="0"/>
                    <w:jc w:val="center"/>
                    <w:rPr>
                      <w:rFonts w:hint="eastAsia" w:ascii="Times New Roman" w:hAnsi="Times New Roman" w:eastAsia="宋体" w:cs="Times New Roman"/>
                      <w:bCs/>
                      <w:color w:val="auto"/>
                      <w:kern w:val="0"/>
                      <w:sz w:val="18"/>
                      <w:szCs w:val="18"/>
                      <w:lang w:val="en-US" w:eastAsia="zh-CN" w:bidi="ar-SA"/>
                    </w:rPr>
                  </w:pPr>
                  <w:r>
                    <w:rPr>
                      <w:rFonts w:hint="eastAsia" w:ascii="Times New Roman" w:hAnsi="Times New Roman" w:cs="Times New Roman"/>
                      <w:color w:val="auto"/>
                      <w:sz w:val="18"/>
                      <w:szCs w:val="18"/>
                    </w:rPr>
                    <w:t>颗粒物</w:t>
                  </w:r>
                </w:p>
              </w:tc>
              <w:tc>
                <w:tcPr>
                  <w:tcW w:w="1428" w:type="pct"/>
                  <w:shd w:val="clear" w:color="auto" w:fill="auto"/>
                  <w:noWrap/>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2.88</w:t>
                  </w:r>
                </w:p>
              </w:tc>
              <w:tc>
                <w:tcPr>
                  <w:tcW w:w="1073" w:type="pct"/>
                  <w:shd w:val="clear" w:color="auto" w:fill="auto"/>
                  <w:noWrap w:val="0"/>
                  <w:vAlign w:val="center"/>
                </w:tcPr>
                <w:p>
                  <w:pPr>
                    <w:jc w:val="center"/>
                    <w:textAlignment w:val="center"/>
                    <w:rPr>
                      <w:rFonts w:hint="eastAsia" w:ascii="Times New Roman" w:hAnsi="Times New Roman" w:eastAsia="宋体" w:cs="Times New Roman"/>
                      <w:color w:val="auto"/>
                      <w:kern w:val="2"/>
                      <w:sz w:val="18"/>
                      <w:szCs w:val="18"/>
                      <w:lang w:val="en-US" w:eastAsia="zh-CN" w:bidi="ar-SA"/>
                    </w:rPr>
                  </w:pPr>
                  <w:r>
                    <w:rPr>
                      <w:rFonts w:hint="eastAsia" w:cs="Times New Roman"/>
                      <w:i w:val="0"/>
                      <w:iCs w:val="0"/>
                      <w:color w:val="auto"/>
                      <w:kern w:val="0"/>
                      <w:sz w:val="18"/>
                      <w:szCs w:val="18"/>
                      <w:u w:val="none"/>
                      <w:lang w:val="en-US" w:eastAsia="zh-CN" w:bidi="ar"/>
                    </w:rPr>
                    <w:t>1.1925</w:t>
                  </w:r>
                </w:p>
              </w:tc>
              <w:tc>
                <w:tcPr>
                  <w:tcW w:w="1069" w:type="pct"/>
                  <w:shd w:val="clear" w:color="auto" w:fill="auto"/>
                  <w:noWrap w:val="0"/>
                  <w:vAlign w:val="center"/>
                </w:tcPr>
                <w:p>
                  <w:pPr>
                    <w:jc w:val="center"/>
                    <w:textAlignment w:val="center"/>
                    <w:rPr>
                      <w:rFonts w:hint="eastAsia" w:ascii="Times New Roman" w:hAnsi="Times New Roman" w:eastAsia="宋体" w:cs="Times New Roman"/>
                      <w:color w:val="auto"/>
                      <w:kern w:val="2"/>
                      <w:sz w:val="18"/>
                      <w:szCs w:val="18"/>
                      <w:lang w:val="en-US" w:eastAsia="zh-CN" w:bidi="ar-SA"/>
                    </w:rPr>
                  </w:pPr>
                  <w:r>
                    <w:rPr>
                      <w:rFonts w:hint="eastAsia" w:cs="Times New Roman"/>
                      <w:i w:val="0"/>
                      <w:iCs w:val="0"/>
                      <w:color w:val="auto"/>
                      <w:kern w:val="0"/>
                      <w:sz w:val="18"/>
                      <w:szCs w:val="18"/>
                      <w:u w:val="none"/>
                      <w:lang w:val="en-US" w:eastAsia="zh-CN" w:bidi="ar"/>
                    </w:rPr>
                    <w:t>1.1925</w:t>
                  </w:r>
                </w:p>
              </w:tc>
            </w:tr>
          </w:tbl>
          <w:p>
            <w:pPr>
              <w:spacing w:before="120" w:beforeLines="50" w:line="360" w:lineRule="auto"/>
              <w:ind w:firstLine="510"/>
              <w:rPr>
                <w:rFonts w:hint="eastAsia" w:hAnsi="宋体"/>
                <w:color w:val="auto"/>
                <w:szCs w:val="21"/>
              </w:rPr>
            </w:pPr>
            <w:r>
              <w:rPr>
                <w:rFonts w:hint="eastAsia" w:hAnsi="宋体"/>
                <w:color w:val="auto"/>
                <w:szCs w:val="21"/>
              </w:rPr>
              <w:t>（2）无组织废气排放量核算</w:t>
            </w:r>
          </w:p>
          <w:p>
            <w:pPr>
              <w:spacing w:line="360" w:lineRule="auto"/>
              <w:ind w:firstLine="510"/>
              <w:rPr>
                <w:rFonts w:hint="eastAsia"/>
                <w:color w:val="auto"/>
                <w:szCs w:val="21"/>
              </w:rPr>
            </w:pPr>
            <w:r>
              <w:rPr>
                <w:rFonts w:hint="eastAsia" w:hAnsi="宋体"/>
                <w:color w:val="auto"/>
                <w:szCs w:val="21"/>
              </w:rPr>
              <w:t>对照</w:t>
            </w:r>
            <w:r>
              <w:rPr>
                <w:rFonts w:hint="eastAsia"/>
                <w:color w:val="auto"/>
                <w:szCs w:val="21"/>
              </w:rPr>
              <w:t>《排污许可证申请与核发技术规范 总则》（HJ942-2018），均未规定无组织废气排放量的核算方法。本项目无组织VOCs</w:t>
            </w:r>
            <w:r>
              <w:rPr>
                <w:rFonts w:hint="eastAsia"/>
                <w:color w:val="auto"/>
                <w:szCs w:val="21"/>
                <w:lang w:eastAsia="zh-CN"/>
              </w:rPr>
              <w:t>、</w:t>
            </w:r>
            <w:r>
              <w:rPr>
                <w:rFonts w:hint="eastAsia"/>
                <w:color w:val="auto"/>
                <w:szCs w:val="21"/>
                <w:lang w:val="en-US" w:eastAsia="zh-CN"/>
              </w:rPr>
              <w:t>颗粒物</w:t>
            </w:r>
            <w:r>
              <w:rPr>
                <w:rFonts w:hint="eastAsia"/>
                <w:color w:val="auto"/>
                <w:szCs w:val="21"/>
              </w:rPr>
              <w:t>仍以环评中计算的未捕集到的量为排放量，</w:t>
            </w:r>
            <w:r>
              <w:rPr>
                <w:rFonts w:hint="eastAsia"/>
                <w:color w:val="auto"/>
                <w:szCs w:val="21"/>
                <w:lang w:val="en-US" w:eastAsia="zh-CN"/>
              </w:rPr>
              <w:t>颗粒物无组织</w:t>
            </w:r>
            <w:r>
              <w:rPr>
                <w:rFonts w:hint="eastAsia"/>
                <w:color w:val="auto"/>
                <w:szCs w:val="21"/>
              </w:rPr>
              <w:t>排放量为</w:t>
            </w:r>
            <w:r>
              <w:rPr>
                <w:rFonts w:hint="eastAsia"/>
                <w:color w:val="auto"/>
                <w:szCs w:val="21"/>
                <w:lang w:val="en-US" w:eastAsia="zh-CN"/>
              </w:rPr>
              <w:t>3.1851</w:t>
            </w:r>
            <w:r>
              <w:rPr>
                <w:rFonts w:hint="eastAsia"/>
                <w:color w:val="auto"/>
                <w:szCs w:val="21"/>
              </w:rPr>
              <w:t>t/a</w:t>
            </w:r>
            <w:r>
              <w:rPr>
                <w:rFonts w:hint="eastAsia"/>
                <w:color w:val="auto"/>
                <w:szCs w:val="21"/>
                <w:lang w:eastAsia="zh-CN"/>
              </w:rPr>
              <w:t>，</w:t>
            </w:r>
            <w:r>
              <w:rPr>
                <w:rFonts w:hint="eastAsia"/>
                <w:color w:val="auto"/>
                <w:szCs w:val="21"/>
              </w:rPr>
              <w:t>VOCs</w:t>
            </w:r>
            <w:r>
              <w:rPr>
                <w:rFonts w:hint="eastAsia"/>
                <w:color w:val="auto"/>
                <w:szCs w:val="21"/>
                <w:lang w:val="en-US" w:eastAsia="zh-CN"/>
              </w:rPr>
              <w:t>无组织</w:t>
            </w:r>
            <w:r>
              <w:rPr>
                <w:rFonts w:hint="eastAsia"/>
                <w:color w:val="auto"/>
                <w:szCs w:val="21"/>
              </w:rPr>
              <w:t>排放量为0.</w:t>
            </w:r>
            <w:r>
              <w:rPr>
                <w:rFonts w:hint="eastAsia"/>
                <w:color w:val="auto"/>
                <w:szCs w:val="21"/>
                <w:lang w:val="en-US" w:eastAsia="zh-CN"/>
              </w:rPr>
              <w:t>0011</w:t>
            </w:r>
            <w:r>
              <w:rPr>
                <w:rFonts w:hint="eastAsia"/>
                <w:color w:val="auto"/>
                <w:szCs w:val="21"/>
              </w:rPr>
              <w:t>t/a。</w:t>
            </w:r>
          </w:p>
          <w:p>
            <w:pPr>
              <w:numPr>
                <w:ilvl w:val="0"/>
                <w:numId w:val="0"/>
              </w:numPr>
              <w:autoSpaceDE w:val="0"/>
              <w:autoSpaceDN w:val="0"/>
              <w:adjustRightInd w:val="0"/>
              <w:spacing w:line="360" w:lineRule="auto"/>
              <w:ind w:firstLine="420" w:firstLineChars="200"/>
              <w:jc w:val="left"/>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2、</w:t>
            </w:r>
            <w:r>
              <w:rPr>
                <w:rFonts w:hint="default" w:ascii="Times New Roman" w:hAnsi="Times New Roman" w:eastAsia="宋体" w:cs="Times New Roman"/>
                <w:color w:val="auto"/>
                <w:kern w:val="0"/>
                <w:sz w:val="21"/>
                <w:szCs w:val="21"/>
                <w:lang w:val="en-US" w:eastAsia="zh-CN" w:bidi="ar-SA"/>
              </w:rPr>
              <w:t>废水核算标准</w:t>
            </w:r>
          </w:p>
          <w:p>
            <w:pPr>
              <w:numPr>
                <w:ilvl w:val="0"/>
                <w:numId w:val="0"/>
              </w:numPr>
              <w:autoSpaceDE w:val="0"/>
              <w:autoSpaceDN w:val="0"/>
              <w:adjustRightInd w:val="0"/>
              <w:spacing w:line="360" w:lineRule="auto"/>
              <w:ind w:firstLine="420" w:firstLineChars="200"/>
              <w:jc w:val="left"/>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根据《排污许可证申请与核发技术规范 总则》（HJ942-2018）中无规定的基准排水量，也可按照许可排放浓度、排水量、年生产时间确定，核算方法按下列公式计算。</w:t>
            </w:r>
          </w:p>
          <w:p>
            <w:pPr>
              <w:numPr>
                <w:ilvl w:val="0"/>
                <w:numId w:val="0"/>
              </w:numPr>
              <w:autoSpaceDE w:val="0"/>
              <w:autoSpaceDN w:val="0"/>
              <w:adjustRightInd w:val="0"/>
              <w:spacing w:line="36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E</w:t>
            </w:r>
            <w:r>
              <w:rPr>
                <w:rFonts w:hint="default" w:ascii="Times New Roman" w:hAnsi="Times New Roman" w:eastAsia="宋体" w:cs="Times New Roman"/>
                <w:color w:val="auto"/>
                <w:kern w:val="0"/>
                <w:sz w:val="21"/>
                <w:szCs w:val="21"/>
                <w:vertAlign w:val="subscript"/>
                <w:lang w:val="en-US" w:eastAsia="zh-CN" w:bidi="ar-SA"/>
              </w:rPr>
              <w:t>年许可</w:t>
            </w:r>
            <w:r>
              <w:rPr>
                <w:rFonts w:hint="default" w:ascii="Times New Roman" w:hAnsi="Times New Roman" w:eastAsia="宋体" w:cs="Times New Roman"/>
                <w:color w:val="auto"/>
                <w:kern w:val="0"/>
                <w:sz w:val="21"/>
                <w:szCs w:val="21"/>
                <w:lang w:val="en-US" w:eastAsia="zh-CN" w:bidi="ar-SA"/>
              </w:rPr>
              <w:t>=Q×C×T×10</w:t>
            </w:r>
            <w:r>
              <w:rPr>
                <w:rFonts w:hint="default" w:ascii="Times New Roman" w:hAnsi="Times New Roman" w:eastAsia="宋体" w:cs="Times New Roman"/>
                <w:color w:val="auto"/>
                <w:kern w:val="0"/>
                <w:sz w:val="21"/>
                <w:szCs w:val="21"/>
                <w:vertAlign w:val="superscript"/>
                <w:lang w:val="en-US" w:eastAsia="zh-CN" w:bidi="ar-SA"/>
              </w:rPr>
              <w:t>-6</w:t>
            </w:r>
          </w:p>
          <w:p>
            <w:pPr>
              <w:numPr>
                <w:ilvl w:val="0"/>
                <w:numId w:val="0"/>
              </w:numPr>
              <w:autoSpaceDE w:val="0"/>
              <w:autoSpaceDN w:val="0"/>
              <w:adjustRightInd w:val="0"/>
              <w:spacing w:line="360" w:lineRule="auto"/>
              <w:ind w:firstLine="420" w:firstLineChars="200"/>
              <w:jc w:val="left"/>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式中：E</w:t>
            </w:r>
            <w:r>
              <w:rPr>
                <w:rFonts w:hint="default" w:ascii="Times New Roman" w:hAnsi="Times New Roman" w:eastAsia="宋体" w:cs="Times New Roman"/>
                <w:color w:val="auto"/>
                <w:kern w:val="0"/>
                <w:sz w:val="21"/>
                <w:szCs w:val="21"/>
                <w:vertAlign w:val="subscript"/>
                <w:lang w:val="en-US" w:eastAsia="zh-CN" w:bidi="ar-SA"/>
              </w:rPr>
              <w:t>年许可</w:t>
            </w:r>
            <w:r>
              <w:rPr>
                <w:rFonts w:hint="default" w:ascii="Times New Roman" w:hAnsi="Times New Roman" w:eastAsia="宋体" w:cs="Times New Roman"/>
                <w:color w:val="auto"/>
                <w:kern w:val="0"/>
                <w:sz w:val="21"/>
                <w:szCs w:val="21"/>
                <w:lang w:val="en-US" w:eastAsia="zh-CN" w:bidi="ar-SA"/>
              </w:rPr>
              <w:t xml:space="preserve">=污染物年许可排放量，t/a； </w:t>
            </w:r>
          </w:p>
          <w:p>
            <w:pPr>
              <w:numPr>
                <w:ilvl w:val="0"/>
                <w:numId w:val="0"/>
              </w:numPr>
              <w:autoSpaceDE w:val="0"/>
              <w:autoSpaceDN w:val="0"/>
              <w:adjustRightInd w:val="0"/>
              <w:spacing w:line="360" w:lineRule="auto"/>
              <w:ind w:firstLine="1050" w:firstLineChars="500"/>
              <w:jc w:val="left"/>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Q--排水量，m</w:t>
            </w:r>
            <w:r>
              <w:rPr>
                <w:rFonts w:hint="default" w:ascii="Times New Roman" w:hAnsi="Times New Roman" w:eastAsia="宋体" w:cs="Times New Roman"/>
                <w:color w:val="auto"/>
                <w:kern w:val="0"/>
                <w:sz w:val="21"/>
                <w:szCs w:val="21"/>
                <w:vertAlign w:val="superscript"/>
                <w:lang w:val="en-US" w:eastAsia="zh-CN" w:bidi="ar-SA"/>
              </w:rPr>
              <w:t>3</w:t>
            </w:r>
            <w:r>
              <w:rPr>
                <w:rFonts w:hint="default" w:ascii="Times New Roman" w:hAnsi="Times New Roman" w:eastAsia="宋体" w:cs="Times New Roman"/>
                <w:color w:val="auto"/>
                <w:kern w:val="0"/>
                <w:sz w:val="21"/>
                <w:szCs w:val="21"/>
                <w:lang w:val="en-US" w:eastAsia="zh-CN" w:bidi="ar-SA"/>
              </w:rPr>
              <w:t>/</w:t>
            </w:r>
            <w:r>
              <w:rPr>
                <w:rFonts w:hint="eastAsia" w:ascii="Times New Roman" w:hAnsi="Times New Roman" w:cs="Times New Roman"/>
                <w:color w:val="auto"/>
                <w:kern w:val="0"/>
                <w:sz w:val="21"/>
                <w:szCs w:val="21"/>
                <w:lang w:val="en-US" w:eastAsia="zh-CN" w:bidi="ar-SA"/>
              </w:rPr>
              <w:t>d</w:t>
            </w:r>
            <w:r>
              <w:rPr>
                <w:rFonts w:hint="default" w:ascii="Times New Roman" w:hAnsi="Times New Roman" w:eastAsia="宋体" w:cs="Times New Roman"/>
                <w:color w:val="auto"/>
                <w:kern w:val="0"/>
                <w:sz w:val="21"/>
                <w:szCs w:val="21"/>
                <w:lang w:val="en-US" w:eastAsia="zh-CN" w:bidi="ar-SA"/>
              </w:rPr>
              <w:t xml:space="preserve">； </w:t>
            </w:r>
          </w:p>
          <w:p>
            <w:pPr>
              <w:numPr>
                <w:ilvl w:val="0"/>
                <w:numId w:val="0"/>
              </w:numPr>
              <w:autoSpaceDE w:val="0"/>
              <w:autoSpaceDN w:val="0"/>
              <w:adjustRightInd w:val="0"/>
              <w:spacing w:line="360" w:lineRule="auto"/>
              <w:ind w:firstLine="1050" w:firstLineChars="500"/>
              <w:jc w:val="left"/>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 xml:space="preserve">C--污染物许可排放浓度，mg/L； </w:t>
            </w:r>
          </w:p>
          <w:p>
            <w:pPr>
              <w:numPr>
                <w:ilvl w:val="0"/>
                <w:numId w:val="0"/>
              </w:numPr>
              <w:autoSpaceDE w:val="0"/>
              <w:autoSpaceDN w:val="0"/>
              <w:adjustRightInd w:val="0"/>
              <w:spacing w:line="360" w:lineRule="auto"/>
              <w:ind w:firstLine="1050" w:firstLineChars="500"/>
              <w:jc w:val="left"/>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T--设计年生产时间，d。</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rPr>
              <w:t>表</w:t>
            </w:r>
            <w:r>
              <w:rPr>
                <w:rFonts w:hint="eastAsia" w:ascii="Times New Roman" w:hAnsi="Times New Roman" w:eastAsia="宋体" w:cs="Times New Roman"/>
                <w:b/>
                <w:bCs/>
                <w:color w:val="auto"/>
                <w:lang w:val="en-US" w:eastAsia="zh-CN"/>
              </w:rPr>
              <w:t>3-17</w:t>
            </w:r>
            <w:r>
              <w:rPr>
                <w:rFonts w:hint="eastAsia" w:ascii="Times New Roman" w:hAnsi="Times New Roman" w:eastAsia="宋体" w:cs="Times New Roman"/>
                <w:b/>
                <w:bCs/>
                <w:color w:val="auto"/>
              </w:rPr>
              <w:t>根据技术规范计算的</w:t>
            </w:r>
            <w:r>
              <w:rPr>
                <w:rFonts w:hint="eastAsia" w:ascii="Times New Roman" w:hAnsi="Times New Roman" w:eastAsia="宋体" w:cs="Times New Roman"/>
                <w:b/>
                <w:bCs/>
                <w:color w:val="auto"/>
                <w:lang w:val="en-US" w:eastAsia="zh-CN"/>
              </w:rPr>
              <w:t>废水</w:t>
            </w:r>
            <w:r>
              <w:rPr>
                <w:rFonts w:hint="eastAsia" w:ascii="Times New Roman" w:hAnsi="Times New Roman" w:eastAsia="宋体" w:cs="Times New Roman"/>
                <w:b/>
                <w:bCs/>
                <w:color w:val="auto"/>
              </w:rPr>
              <w:t>允许排放量</w:t>
            </w:r>
          </w:p>
          <w:tbl>
            <w:tblPr>
              <w:tblStyle w:val="22"/>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17"/>
              <w:gridCol w:w="1635"/>
              <w:gridCol w:w="1639"/>
              <w:gridCol w:w="1619"/>
              <w:gridCol w:w="16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18" w:type="dxa"/>
                  <w:tcBorders>
                    <w:tl2br w:val="nil"/>
                    <w:tr2bl w:val="nil"/>
                  </w:tcBorders>
                  <w:noWrap w:val="0"/>
                  <w:vAlign w:val="top"/>
                </w:tcPr>
                <w:p>
                  <w:pPr>
                    <w:jc w:val="center"/>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污染因子</w:t>
                  </w:r>
                </w:p>
              </w:tc>
              <w:tc>
                <w:tcPr>
                  <w:tcW w:w="1636" w:type="dxa"/>
                  <w:tcBorders>
                    <w:tl2br w:val="nil"/>
                    <w:tr2bl w:val="nil"/>
                  </w:tcBorders>
                  <w:noWrap w:val="0"/>
                  <w:vAlign w:val="top"/>
                </w:tcPr>
                <w:p>
                  <w:pPr>
                    <w:jc w:val="center"/>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Q（</w:t>
                  </w:r>
                  <w:r>
                    <w:rPr>
                      <w:rFonts w:hint="default" w:ascii="Times New Roman" w:hAnsi="Times New Roman" w:eastAsia="宋体" w:cs="Times New Roman"/>
                      <w:b/>
                      <w:bCs/>
                      <w:color w:val="auto"/>
                      <w:kern w:val="0"/>
                      <w:sz w:val="18"/>
                      <w:szCs w:val="18"/>
                      <w:lang w:val="en-US" w:eastAsia="zh-CN" w:bidi="ar-SA"/>
                    </w:rPr>
                    <w:t>m</w:t>
                  </w:r>
                  <w:r>
                    <w:rPr>
                      <w:rFonts w:hint="default" w:ascii="Times New Roman" w:hAnsi="Times New Roman" w:eastAsia="宋体" w:cs="Times New Roman"/>
                      <w:b/>
                      <w:bCs/>
                      <w:color w:val="auto"/>
                      <w:kern w:val="0"/>
                      <w:sz w:val="18"/>
                      <w:szCs w:val="18"/>
                      <w:vertAlign w:val="superscript"/>
                      <w:lang w:val="en-US" w:eastAsia="zh-CN" w:bidi="ar-SA"/>
                    </w:rPr>
                    <w:t>3</w:t>
                  </w:r>
                  <w:r>
                    <w:rPr>
                      <w:rFonts w:hint="default" w:ascii="Times New Roman" w:hAnsi="Times New Roman" w:eastAsia="宋体" w:cs="Times New Roman"/>
                      <w:b/>
                      <w:bCs/>
                      <w:color w:val="auto"/>
                      <w:kern w:val="0"/>
                      <w:sz w:val="18"/>
                      <w:szCs w:val="18"/>
                      <w:lang w:val="en-US" w:eastAsia="zh-CN" w:bidi="ar-SA"/>
                    </w:rPr>
                    <w:t>/</w:t>
                  </w:r>
                  <w:r>
                    <w:rPr>
                      <w:rFonts w:hint="eastAsia" w:ascii="Times New Roman" w:hAnsi="Times New Roman" w:cs="Times New Roman"/>
                      <w:b/>
                      <w:bCs/>
                      <w:color w:val="auto"/>
                      <w:kern w:val="0"/>
                      <w:sz w:val="18"/>
                      <w:szCs w:val="18"/>
                      <w:lang w:val="en-US" w:eastAsia="zh-CN" w:bidi="ar-SA"/>
                    </w:rPr>
                    <w:t>d</w:t>
                  </w:r>
                  <w:r>
                    <w:rPr>
                      <w:rFonts w:hint="default" w:ascii="Times New Roman" w:hAnsi="Times New Roman" w:eastAsia="宋体" w:cs="Times New Roman"/>
                      <w:b/>
                      <w:bCs/>
                      <w:color w:val="auto"/>
                      <w:sz w:val="18"/>
                      <w:szCs w:val="18"/>
                      <w:lang w:val="en-US" w:eastAsia="zh-CN"/>
                    </w:rPr>
                    <w:t>）</w:t>
                  </w:r>
                </w:p>
              </w:tc>
              <w:tc>
                <w:tcPr>
                  <w:tcW w:w="1640" w:type="dxa"/>
                  <w:tcBorders>
                    <w:tl2br w:val="nil"/>
                    <w:tr2bl w:val="nil"/>
                  </w:tcBorders>
                  <w:noWrap w:val="0"/>
                  <w:vAlign w:val="top"/>
                </w:tcPr>
                <w:p>
                  <w:pPr>
                    <w:jc w:val="center"/>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C（</w:t>
                  </w:r>
                  <w:r>
                    <w:rPr>
                      <w:rFonts w:hint="default" w:ascii="Times New Roman" w:hAnsi="Times New Roman" w:eastAsia="宋体" w:cs="Times New Roman"/>
                      <w:b/>
                      <w:bCs/>
                      <w:color w:val="auto"/>
                      <w:kern w:val="0"/>
                      <w:sz w:val="18"/>
                      <w:szCs w:val="18"/>
                      <w:lang w:val="en-US" w:eastAsia="zh-CN" w:bidi="ar-SA"/>
                    </w:rPr>
                    <w:t>mg/L</w:t>
                  </w:r>
                  <w:r>
                    <w:rPr>
                      <w:rFonts w:hint="default" w:ascii="Times New Roman" w:hAnsi="Times New Roman" w:eastAsia="宋体" w:cs="Times New Roman"/>
                      <w:b/>
                      <w:bCs/>
                      <w:color w:val="auto"/>
                      <w:sz w:val="18"/>
                      <w:szCs w:val="18"/>
                      <w:lang w:val="en-US" w:eastAsia="zh-CN"/>
                    </w:rPr>
                    <w:t>）</w:t>
                  </w:r>
                </w:p>
              </w:tc>
              <w:tc>
                <w:tcPr>
                  <w:tcW w:w="1620" w:type="dxa"/>
                  <w:tcBorders>
                    <w:tl2br w:val="nil"/>
                    <w:tr2bl w:val="nil"/>
                  </w:tcBorders>
                  <w:noWrap w:val="0"/>
                  <w:vAlign w:val="top"/>
                </w:tcPr>
                <w:p>
                  <w:pPr>
                    <w:jc w:val="center"/>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T（</w:t>
                  </w:r>
                  <w:r>
                    <w:rPr>
                      <w:rFonts w:hint="default" w:ascii="Times New Roman" w:hAnsi="Times New Roman" w:eastAsia="宋体" w:cs="Times New Roman"/>
                      <w:b/>
                      <w:bCs/>
                      <w:color w:val="auto"/>
                      <w:kern w:val="0"/>
                      <w:sz w:val="18"/>
                      <w:szCs w:val="18"/>
                      <w:lang w:val="en-US" w:eastAsia="zh-CN" w:bidi="ar-SA"/>
                    </w:rPr>
                    <w:t>d</w:t>
                  </w:r>
                  <w:r>
                    <w:rPr>
                      <w:rFonts w:hint="default" w:ascii="Times New Roman" w:hAnsi="Times New Roman" w:eastAsia="宋体" w:cs="Times New Roman"/>
                      <w:b/>
                      <w:bCs/>
                      <w:color w:val="auto"/>
                      <w:sz w:val="18"/>
                      <w:szCs w:val="18"/>
                      <w:lang w:val="en-US" w:eastAsia="zh-CN"/>
                    </w:rPr>
                    <w:t>）</w:t>
                  </w:r>
                </w:p>
              </w:tc>
              <w:tc>
                <w:tcPr>
                  <w:tcW w:w="1628" w:type="dxa"/>
                  <w:tcBorders>
                    <w:tl2br w:val="nil"/>
                    <w:tr2bl w:val="nil"/>
                  </w:tcBorders>
                  <w:noWrap w:val="0"/>
                  <w:vAlign w:val="top"/>
                </w:tcPr>
                <w:p>
                  <w:pPr>
                    <w:jc w:val="center"/>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E</w:t>
                  </w:r>
                  <w:r>
                    <w:rPr>
                      <w:rFonts w:hint="default" w:ascii="Times New Roman" w:hAnsi="Times New Roman" w:eastAsia="宋体" w:cs="Times New Roman"/>
                      <w:b/>
                      <w:bCs/>
                      <w:color w:val="auto"/>
                      <w:kern w:val="0"/>
                      <w:sz w:val="18"/>
                      <w:szCs w:val="18"/>
                      <w:vertAlign w:val="subscript"/>
                      <w:lang w:val="en-US" w:eastAsia="zh-CN" w:bidi="ar-SA"/>
                    </w:rPr>
                    <w:t>年许可</w:t>
                  </w:r>
                  <w:r>
                    <w:rPr>
                      <w:rFonts w:hint="default" w:ascii="Times New Roman" w:hAnsi="Times New Roman" w:eastAsia="宋体" w:cs="Times New Roman"/>
                      <w:b/>
                      <w:bCs/>
                      <w:color w:val="auto"/>
                      <w:sz w:val="18"/>
                      <w:szCs w:val="18"/>
                      <w:lang w:val="en-US" w:eastAsia="zh-CN"/>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18" w:type="dxa"/>
                  <w:tcBorders>
                    <w:tl2br w:val="nil"/>
                    <w:tr2bl w:val="nil"/>
                  </w:tcBorders>
                  <w:shd w:val="clear" w:color="auto" w:fill="auto"/>
                  <w:noWrap w:val="0"/>
                  <w:vAlign w:val="center"/>
                </w:tcPr>
                <w:p>
                  <w:pPr>
                    <w:jc w:val="center"/>
                    <w:rPr>
                      <w:rFonts w:hint="default" w:ascii="Times New Roman" w:hAnsi="宋体" w:eastAsia="宋体" w:cs="Times New Roman"/>
                      <w:color w:val="auto"/>
                      <w:kern w:val="2"/>
                      <w:sz w:val="18"/>
                      <w:szCs w:val="18"/>
                      <w:lang w:val="en-US" w:eastAsia="zh-CN" w:bidi="ar-SA"/>
                    </w:rPr>
                  </w:pPr>
                  <w:r>
                    <w:rPr>
                      <w:color w:val="auto"/>
                      <w:kern w:val="0"/>
                      <w:sz w:val="18"/>
                      <w:szCs w:val="18"/>
                    </w:rPr>
                    <w:t>COD</w:t>
                  </w:r>
                </w:p>
              </w:tc>
              <w:tc>
                <w:tcPr>
                  <w:tcW w:w="1636" w:type="dxa"/>
                  <w:tcBorders>
                    <w:tl2br w:val="nil"/>
                    <w:tr2bl w:val="nil"/>
                  </w:tcBorders>
                  <w:noWrap w:val="0"/>
                  <w:vAlign w:val="top"/>
                </w:tcPr>
                <w:p>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10.72</w:t>
                  </w:r>
                </w:p>
              </w:tc>
              <w:tc>
                <w:tcPr>
                  <w:tcW w:w="1640" w:type="dxa"/>
                  <w:tcBorders>
                    <w:tl2br w:val="nil"/>
                    <w:tr2bl w:val="nil"/>
                  </w:tcBorders>
                  <w:noWrap w:val="0"/>
                  <w:vAlign w:val="top"/>
                </w:tcPr>
                <w:p>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500</w:t>
                  </w:r>
                </w:p>
              </w:tc>
              <w:tc>
                <w:tcPr>
                  <w:tcW w:w="1620" w:type="dxa"/>
                  <w:tcBorders>
                    <w:tl2br w:val="nil"/>
                    <w:tr2bl w:val="nil"/>
                  </w:tcBorders>
                  <w:noWrap w:val="0"/>
                  <w:vAlign w:val="top"/>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300</w:t>
                  </w:r>
                </w:p>
              </w:tc>
              <w:tc>
                <w:tcPr>
                  <w:tcW w:w="1628" w:type="dxa"/>
                  <w:tcBorders>
                    <w:tl2br w:val="nil"/>
                    <w:tr2bl w:val="nil"/>
                  </w:tcBorders>
                  <w:noWrap w:val="0"/>
                  <w:vAlign w:val="center"/>
                </w:tcPr>
                <w:p>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1.6080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18" w:type="dxa"/>
                  <w:tcBorders>
                    <w:tl2br w:val="nil"/>
                    <w:tr2bl w:val="nil"/>
                  </w:tcBorders>
                  <w:shd w:val="clear" w:color="auto" w:fill="auto"/>
                  <w:noWrap w:val="0"/>
                  <w:vAlign w:val="center"/>
                </w:tcPr>
                <w:p>
                  <w:pPr>
                    <w:jc w:val="center"/>
                    <w:rPr>
                      <w:rFonts w:hint="default" w:ascii="Times New Roman" w:hAnsi="宋体" w:eastAsia="宋体" w:cs="Times New Roman"/>
                      <w:color w:val="auto"/>
                      <w:kern w:val="2"/>
                      <w:sz w:val="18"/>
                      <w:szCs w:val="18"/>
                      <w:lang w:val="en-US" w:eastAsia="zh-CN" w:bidi="ar-SA"/>
                    </w:rPr>
                  </w:pPr>
                  <w:r>
                    <w:rPr>
                      <w:color w:val="auto"/>
                      <w:kern w:val="0"/>
                      <w:sz w:val="18"/>
                      <w:szCs w:val="18"/>
                    </w:rPr>
                    <w:t>NH</w:t>
                  </w:r>
                  <w:r>
                    <w:rPr>
                      <w:color w:val="auto"/>
                      <w:kern w:val="0"/>
                      <w:sz w:val="18"/>
                      <w:szCs w:val="18"/>
                      <w:vertAlign w:val="subscript"/>
                    </w:rPr>
                    <w:t>3</w:t>
                  </w:r>
                  <w:r>
                    <w:rPr>
                      <w:color w:val="auto"/>
                      <w:kern w:val="0"/>
                      <w:sz w:val="18"/>
                      <w:szCs w:val="18"/>
                    </w:rPr>
                    <w:t>-N</w:t>
                  </w:r>
                </w:p>
              </w:tc>
              <w:tc>
                <w:tcPr>
                  <w:tcW w:w="1636" w:type="dxa"/>
                  <w:tcBorders>
                    <w:tl2br w:val="nil"/>
                    <w:tr2bl w:val="nil"/>
                  </w:tcBorders>
                  <w:noWrap w:val="0"/>
                  <w:vAlign w:val="top"/>
                </w:tcPr>
                <w:p>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10.72</w:t>
                  </w:r>
                </w:p>
              </w:tc>
              <w:tc>
                <w:tcPr>
                  <w:tcW w:w="1640" w:type="dxa"/>
                  <w:tcBorders>
                    <w:tl2br w:val="nil"/>
                    <w:tr2bl w:val="nil"/>
                  </w:tcBorders>
                  <w:noWrap w:val="0"/>
                  <w:vAlign w:val="top"/>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45</w:t>
                  </w:r>
                </w:p>
              </w:tc>
              <w:tc>
                <w:tcPr>
                  <w:tcW w:w="1620" w:type="dxa"/>
                  <w:tcBorders>
                    <w:tl2br w:val="nil"/>
                    <w:tr2bl w:val="nil"/>
                  </w:tcBorders>
                  <w:noWrap w:val="0"/>
                  <w:vAlign w:val="top"/>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300</w:t>
                  </w:r>
                </w:p>
              </w:tc>
              <w:tc>
                <w:tcPr>
                  <w:tcW w:w="1628" w:type="dxa"/>
                  <w:tcBorders>
                    <w:tl2br w:val="nil"/>
                    <w:tr2bl w:val="nil"/>
                  </w:tcBorders>
                  <w:noWrap w:val="0"/>
                  <w:vAlign w:val="center"/>
                </w:tcPr>
                <w:p>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0.1447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18" w:type="dxa"/>
                  <w:tcBorders>
                    <w:tl2br w:val="nil"/>
                    <w:tr2bl w:val="nil"/>
                  </w:tcBorders>
                  <w:shd w:val="clear" w:color="auto" w:fill="auto"/>
                  <w:noWrap w:val="0"/>
                  <w:vAlign w:val="center"/>
                </w:tcPr>
                <w:p>
                  <w:pPr>
                    <w:jc w:val="center"/>
                    <w:rPr>
                      <w:rFonts w:hint="default" w:ascii="Times New Roman" w:hAnsi="宋体" w:eastAsia="宋体" w:cs="Times New Roman"/>
                      <w:color w:val="auto"/>
                      <w:kern w:val="2"/>
                      <w:sz w:val="18"/>
                      <w:szCs w:val="18"/>
                      <w:lang w:val="en-US" w:eastAsia="zh-CN" w:bidi="ar-SA"/>
                    </w:rPr>
                  </w:pPr>
                  <w:r>
                    <w:rPr>
                      <w:color w:val="auto"/>
                      <w:kern w:val="0"/>
                      <w:sz w:val="18"/>
                      <w:szCs w:val="18"/>
                    </w:rPr>
                    <w:t>TP</w:t>
                  </w:r>
                </w:p>
              </w:tc>
              <w:tc>
                <w:tcPr>
                  <w:tcW w:w="1636" w:type="dxa"/>
                  <w:tcBorders>
                    <w:tl2br w:val="nil"/>
                    <w:tr2bl w:val="nil"/>
                  </w:tcBorders>
                  <w:noWrap w:val="0"/>
                  <w:vAlign w:val="top"/>
                </w:tcPr>
                <w:p>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10.72</w:t>
                  </w:r>
                </w:p>
              </w:tc>
              <w:tc>
                <w:tcPr>
                  <w:tcW w:w="1640" w:type="dxa"/>
                  <w:tcBorders>
                    <w:tl2br w:val="nil"/>
                    <w:tr2bl w:val="nil"/>
                  </w:tcBorders>
                  <w:noWrap w:val="0"/>
                  <w:vAlign w:val="top"/>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8</w:t>
                  </w:r>
                </w:p>
              </w:tc>
              <w:tc>
                <w:tcPr>
                  <w:tcW w:w="1620" w:type="dxa"/>
                  <w:tcBorders>
                    <w:tl2br w:val="nil"/>
                    <w:tr2bl w:val="nil"/>
                  </w:tcBorders>
                  <w:noWrap w:val="0"/>
                  <w:vAlign w:val="top"/>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300</w:t>
                  </w:r>
                </w:p>
              </w:tc>
              <w:tc>
                <w:tcPr>
                  <w:tcW w:w="1628" w:type="dxa"/>
                  <w:tcBorders>
                    <w:tl2br w:val="nil"/>
                    <w:tr2bl w:val="nil"/>
                  </w:tcBorders>
                  <w:noWrap w:val="0"/>
                  <w:vAlign w:val="center"/>
                </w:tcPr>
                <w:p>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0.0257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18" w:type="dxa"/>
                  <w:tcBorders>
                    <w:tl2br w:val="nil"/>
                    <w:tr2bl w:val="nil"/>
                  </w:tcBorders>
                  <w:shd w:val="clear" w:color="auto" w:fill="auto"/>
                  <w:noWrap w:val="0"/>
                  <w:vAlign w:val="center"/>
                </w:tcPr>
                <w:p>
                  <w:pPr>
                    <w:jc w:val="center"/>
                    <w:rPr>
                      <w:rFonts w:hint="default" w:ascii="Times New Roman" w:hAnsi="宋体" w:eastAsia="宋体" w:cs="Times New Roman"/>
                      <w:color w:val="auto"/>
                      <w:kern w:val="2"/>
                      <w:sz w:val="18"/>
                      <w:szCs w:val="18"/>
                      <w:lang w:val="en-US" w:eastAsia="zh-CN" w:bidi="ar-SA"/>
                    </w:rPr>
                  </w:pPr>
                  <w:r>
                    <w:rPr>
                      <w:color w:val="auto"/>
                      <w:kern w:val="0"/>
                      <w:sz w:val="18"/>
                      <w:szCs w:val="18"/>
                    </w:rPr>
                    <w:t>TN</w:t>
                  </w:r>
                </w:p>
              </w:tc>
              <w:tc>
                <w:tcPr>
                  <w:tcW w:w="1636" w:type="dxa"/>
                  <w:tcBorders>
                    <w:tl2br w:val="nil"/>
                    <w:tr2bl w:val="nil"/>
                  </w:tcBorders>
                  <w:noWrap w:val="0"/>
                  <w:vAlign w:val="top"/>
                </w:tcPr>
                <w:p>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10.72</w:t>
                  </w:r>
                </w:p>
              </w:tc>
              <w:tc>
                <w:tcPr>
                  <w:tcW w:w="1640" w:type="dxa"/>
                  <w:tcBorders>
                    <w:tl2br w:val="nil"/>
                    <w:tr2bl w:val="nil"/>
                  </w:tcBorders>
                  <w:noWrap w:val="0"/>
                  <w:vAlign w:val="top"/>
                </w:tcPr>
                <w:p>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70</w:t>
                  </w:r>
                </w:p>
              </w:tc>
              <w:tc>
                <w:tcPr>
                  <w:tcW w:w="1620" w:type="dxa"/>
                  <w:tcBorders>
                    <w:tl2br w:val="nil"/>
                    <w:tr2bl w:val="nil"/>
                  </w:tcBorders>
                  <w:noWrap w:val="0"/>
                  <w:vAlign w:val="top"/>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300</w:t>
                  </w:r>
                </w:p>
              </w:tc>
              <w:tc>
                <w:tcPr>
                  <w:tcW w:w="1628" w:type="dxa"/>
                  <w:tcBorders>
                    <w:tl2br w:val="nil"/>
                    <w:tr2bl w:val="nil"/>
                  </w:tcBorders>
                  <w:noWrap w:val="0"/>
                  <w:vAlign w:val="center"/>
                </w:tcPr>
                <w:p>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0.2251</w:t>
                  </w:r>
                </w:p>
              </w:tc>
            </w:tr>
          </w:tbl>
          <w:p>
            <w:pPr>
              <w:numPr>
                <w:ilvl w:val="0"/>
                <w:numId w:val="0"/>
              </w:numPr>
              <w:ind w:leftChars="200"/>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3、</w:t>
            </w:r>
            <w:r>
              <w:rPr>
                <w:rFonts w:hint="default" w:ascii="Times New Roman" w:hAnsi="Times New Roman" w:eastAsia="宋体" w:cs="Times New Roman"/>
                <w:color w:val="auto"/>
                <w:kern w:val="0"/>
                <w:sz w:val="21"/>
                <w:szCs w:val="21"/>
                <w:lang w:val="en-US" w:eastAsia="zh-CN" w:bidi="ar-SA"/>
              </w:rPr>
              <w:t>总量核算对比</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表3-1</w:t>
            </w:r>
            <w:r>
              <w:rPr>
                <w:rFonts w:hint="eastAsia" w:ascii="Times New Roman" w:hAnsi="Times New Roman" w:eastAsia="宋体" w:cs="Times New Roman"/>
                <w:b/>
                <w:bCs/>
                <w:color w:val="auto"/>
                <w:lang w:val="en-US" w:eastAsia="zh-CN"/>
              </w:rPr>
              <w:t>8</w:t>
            </w:r>
            <w:r>
              <w:rPr>
                <w:rFonts w:hint="default" w:ascii="Times New Roman" w:hAnsi="Times New Roman" w:eastAsia="宋体" w:cs="Times New Roman"/>
                <w:b/>
                <w:bCs/>
                <w:color w:val="auto"/>
                <w:lang w:val="en-US" w:eastAsia="zh-CN"/>
              </w:rPr>
              <w:t xml:space="preserve"> 本项目主要污染物申报总量核算统计（t/a）</w:t>
            </w:r>
          </w:p>
          <w:tbl>
            <w:tblPr>
              <w:tblStyle w:val="22"/>
              <w:tblW w:w="822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44"/>
              <w:gridCol w:w="1643"/>
              <w:gridCol w:w="1645"/>
              <w:gridCol w:w="1643"/>
              <w:gridCol w:w="16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tcBorders>
                    <w:tl2br w:val="nil"/>
                    <w:tr2bl w:val="nil"/>
                  </w:tcBorders>
                  <w:noWrap w:val="0"/>
                  <w:vAlign w:val="center"/>
                </w:tcPr>
                <w:p>
                  <w:pPr>
                    <w:jc w:val="center"/>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污染物类型</w:t>
                  </w:r>
                </w:p>
              </w:tc>
              <w:tc>
                <w:tcPr>
                  <w:tcW w:w="1643" w:type="dxa"/>
                  <w:tcBorders>
                    <w:tl2br w:val="nil"/>
                    <w:tr2bl w:val="nil"/>
                  </w:tcBorders>
                  <w:noWrap w:val="0"/>
                  <w:vAlign w:val="center"/>
                </w:tcPr>
                <w:p>
                  <w:pPr>
                    <w:jc w:val="center"/>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污染物</w:t>
                  </w:r>
                </w:p>
              </w:tc>
              <w:tc>
                <w:tcPr>
                  <w:tcW w:w="1645" w:type="dxa"/>
                  <w:tcBorders>
                    <w:tl2br w:val="nil"/>
                    <w:tr2bl w:val="nil"/>
                  </w:tcBorders>
                  <w:noWrap w:val="0"/>
                  <w:vAlign w:val="center"/>
                </w:tcPr>
                <w:p>
                  <w:pPr>
                    <w:jc w:val="center"/>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报告表核算排放量</w:t>
                  </w:r>
                </w:p>
              </w:tc>
              <w:tc>
                <w:tcPr>
                  <w:tcW w:w="1643" w:type="dxa"/>
                  <w:tcBorders>
                    <w:tl2br w:val="nil"/>
                    <w:tr2bl w:val="nil"/>
                  </w:tcBorders>
                  <w:noWrap w:val="0"/>
                  <w:vAlign w:val="center"/>
                </w:tcPr>
                <w:p>
                  <w:pPr>
                    <w:jc w:val="center"/>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按技术规划核算许可总量</w:t>
                  </w:r>
                </w:p>
              </w:tc>
              <w:tc>
                <w:tcPr>
                  <w:tcW w:w="1645" w:type="dxa"/>
                  <w:tcBorders>
                    <w:tl2br w:val="nil"/>
                    <w:tr2bl w:val="nil"/>
                  </w:tcBorders>
                  <w:noWrap w:val="0"/>
                  <w:vAlign w:val="center"/>
                </w:tcPr>
                <w:p>
                  <w:pPr>
                    <w:jc w:val="center"/>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申报总量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644" w:type="dxa"/>
                  <w:vMerge w:val="restart"/>
                  <w:tcBorders>
                    <w:tl2br w:val="nil"/>
                    <w:tr2bl w:val="nil"/>
                  </w:tcBorders>
                  <w:noWrap w:val="0"/>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有组织</w:t>
                  </w:r>
                </w:p>
              </w:tc>
              <w:tc>
                <w:tcPr>
                  <w:tcW w:w="1643" w:type="dxa"/>
                  <w:tcBorders>
                    <w:tl2br w:val="nil"/>
                    <w:tr2bl w:val="nil"/>
                  </w:tcBorders>
                  <w:shd w:val="clear" w:color="auto" w:fill="auto"/>
                  <w:noWrap w:val="0"/>
                  <w:vAlign w:val="center"/>
                </w:tcPr>
                <w:p>
                  <w:pPr>
                    <w:widowControl/>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颗粒物</w:t>
                  </w:r>
                </w:p>
              </w:tc>
              <w:tc>
                <w:tcPr>
                  <w:tcW w:w="1645" w:type="dxa"/>
                  <w:tcBorders>
                    <w:tl2br w:val="nil"/>
                    <w:tr2bl w:val="nil"/>
                  </w:tcBorders>
                  <w:shd w:val="clear" w:color="auto" w:fill="auto"/>
                  <w:noWrap w:val="0"/>
                  <w:vAlign w:val="center"/>
                </w:tcPr>
                <w:p>
                  <w:pPr>
                    <w:widowControl/>
                    <w:adjustRightInd w:val="0"/>
                    <w:snapToGrid w:val="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12.9471</w:t>
                  </w:r>
                  <w:r>
                    <w:rPr>
                      <w:rFonts w:hint="default" w:ascii="Times New Roman" w:hAnsi="Times New Roman" w:eastAsia="宋体" w:cs="Times New Roman"/>
                      <w:color w:val="auto"/>
                      <w:sz w:val="18"/>
                      <w:szCs w:val="18"/>
                      <w:lang w:val="en-US" w:eastAsia="zh-CN"/>
                    </w:rPr>
                    <w:t xml:space="preserve"> </w:t>
                  </w:r>
                </w:p>
              </w:tc>
              <w:tc>
                <w:tcPr>
                  <w:tcW w:w="1643" w:type="dxa"/>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17.28</w:t>
                  </w:r>
                </w:p>
              </w:tc>
              <w:tc>
                <w:tcPr>
                  <w:tcW w:w="1645" w:type="dxa"/>
                  <w:tcBorders>
                    <w:tl2br w:val="nil"/>
                    <w:tr2bl w:val="nil"/>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12.9471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644" w:type="dxa"/>
                  <w:vMerge w:val="continue"/>
                  <w:tcBorders>
                    <w:tl2br w:val="nil"/>
                    <w:tr2bl w:val="nil"/>
                  </w:tcBorders>
                  <w:noWrap w:val="0"/>
                  <w:vAlign w:val="center"/>
                </w:tcPr>
                <w:p>
                  <w:pPr>
                    <w:jc w:val="center"/>
                    <w:rPr>
                      <w:rFonts w:hint="default" w:ascii="Times New Roman" w:hAnsi="Times New Roman" w:eastAsia="宋体" w:cs="Times New Roman"/>
                      <w:color w:val="auto"/>
                      <w:sz w:val="18"/>
                      <w:szCs w:val="18"/>
                      <w:lang w:val="en-US" w:eastAsia="zh-CN"/>
                    </w:rPr>
                  </w:pPr>
                </w:p>
              </w:tc>
              <w:tc>
                <w:tcPr>
                  <w:tcW w:w="1643" w:type="dxa"/>
                  <w:tcBorders>
                    <w:tl2br w:val="nil"/>
                    <w:tr2bl w:val="nil"/>
                  </w:tcBorders>
                  <w:shd w:val="clear" w:color="auto" w:fill="auto"/>
                  <w:noWrap w:val="0"/>
                  <w:vAlign w:val="center"/>
                </w:tcPr>
                <w:p>
                  <w:pPr>
                    <w:widowControl/>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SO</w:t>
                  </w:r>
                  <w:r>
                    <w:rPr>
                      <w:rFonts w:hint="default" w:ascii="Times New Roman" w:hAnsi="Times New Roman" w:eastAsia="宋体" w:cs="Times New Roman"/>
                      <w:color w:val="auto"/>
                      <w:sz w:val="18"/>
                      <w:szCs w:val="18"/>
                      <w:vertAlign w:val="subscript"/>
                    </w:rPr>
                    <w:t>2</w:t>
                  </w:r>
                </w:p>
              </w:tc>
              <w:tc>
                <w:tcPr>
                  <w:tcW w:w="1645" w:type="dxa"/>
                  <w:tcBorders>
                    <w:tl2br w:val="nil"/>
                    <w:tr2bl w:val="nil"/>
                  </w:tcBorders>
                  <w:shd w:val="clear" w:color="auto" w:fill="auto"/>
                  <w:noWrap w:val="0"/>
                  <w:vAlign w:val="center"/>
                </w:tcPr>
                <w:p>
                  <w:pPr>
                    <w:widowControl/>
                    <w:adjustRightInd w:val="0"/>
                    <w:snapToGrid w:val="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 xml:space="preserve">8.2200 </w:t>
                  </w:r>
                </w:p>
              </w:tc>
              <w:tc>
                <w:tcPr>
                  <w:tcW w:w="1643" w:type="dxa"/>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57.6</w:t>
                  </w:r>
                </w:p>
              </w:tc>
              <w:tc>
                <w:tcPr>
                  <w:tcW w:w="1645" w:type="dxa"/>
                  <w:tcBorders>
                    <w:tl2br w:val="nil"/>
                    <w:tr2bl w:val="nil"/>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8.2200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644" w:type="dxa"/>
                  <w:vMerge w:val="continue"/>
                  <w:tcBorders>
                    <w:tl2br w:val="nil"/>
                    <w:tr2bl w:val="nil"/>
                  </w:tcBorders>
                  <w:noWrap w:val="0"/>
                  <w:vAlign w:val="center"/>
                </w:tcPr>
                <w:p>
                  <w:pPr>
                    <w:jc w:val="center"/>
                    <w:rPr>
                      <w:rFonts w:hint="default" w:ascii="Times New Roman" w:hAnsi="Times New Roman" w:eastAsia="宋体" w:cs="Times New Roman"/>
                      <w:color w:val="auto"/>
                      <w:sz w:val="18"/>
                      <w:szCs w:val="18"/>
                      <w:lang w:val="en-US" w:eastAsia="zh-CN"/>
                    </w:rPr>
                  </w:pPr>
                </w:p>
              </w:tc>
              <w:tc>
                <w:tcPr>
                  <w:tcW w:w="1643" w:type="dxa"/>
                  <w:tcBorders>
                    <w:tl2br w:val="nil"/>
                    <w:tr2bl w:val="nil"/>
                  </w:tcBorders>
                  <w:shd w:val="clear" w:color="auto" w:fill="auto"/>
                  <w:noWrap w:val="0"/>
                  <w:vAlign w:val="center"/>
                </w:tcPr>
                <w:p>
                  <w:pPr>
                    <w:widowControl/>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NO</w:t>
                  </w:r>
                  <w:r>
                    <w:rPr>
                      <w:rFonts w:hint="default" w:ascii="Times New Roman" w:hAnsi="Times New Roman" w:eastAsia="宋体" w:cs="Times New Roman"/>
                      <w:color w:val="auto"/>
                      <w:sz w:val="18"/>
                      <w:szCs w:val="18"/>
                      <w:vertAlign w:val="subscript"/>
                    </w:rPr>
                    <w:t>X</w:t>
                  </w:r>
                </w:p>
              </w:tc>
              <w:tc>
                <w:tcPr>
                  <w:tcW w:w="1645" w:type="dxa"/>
                  <w:tcBorders>
                    <w:tl2br w:val="nil"/>
                    <w:tr2bl w:val="nil"/>
                  </w:tcBorders>
                  <w:shd w:val="clear" w:color="auto" w:fill="auto"/>
                  <w:noWrap w:val="0"/>
                  <w:vAlign w:val="center"/>
                </w:tcPr>
                <w:p>
                  <w:pPr>
                    <w:widowControl/>
                    <w:adjustRightInd w:val="0"/>
                    <w:snapToGrid w:val="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38.4286</w:t>
                  </w:r>
                </w:p>
              </w:tc>
              <w:tc>
                <w:tcPr>
                  <w:tcW w:w="1643" w:type="dxa"/>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12</w:t>
                  </w:r>
                  <w:r>
                    <w:rPr>
                      <w:rFonts w:hint="eastAsia" w:cs="Times New Roman"/>
                      <w:color w:val="auto"/>
                      <w:sz w:val="18"/>
                      <w:szCs w:val="18"/>
                      <w:lang w:val="en-US" w:eastAsia="zh-CN"/>
                    </w:rPr>
                    <w:t>9.6</w:t>
                  </w:r>
                </w:p>
              </w:tc>
              <w:tc>
                <w:tcPr>
                  <w:tcW w:w="1645" w:type="dxa"/>
                  <w:tcBorders>
                    <w:tl2br w:val="nil"/>
                    <w:tr2bl w:val="nil"/>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38.4286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vMerge w:val="restart"/>
                  <w:tcBorders>
                    <w:tl2br w:val="nil"/>
                    <w:tr2bl w:val="nil"/>
                  </w:tcBorders>
                  <w:noWrap w:val="0"/>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无组织</w:t>
                  </w:r>
                </w:p>
              </w:tc>
              <w:tc>
                <w:tcPr>
                  <w:tcW w:w="1643" w:type="dxa"/>
                  <w:tcBorders>
                    <w:tl2br w:val="nil"/>
                    <w:tr2bl w:val="nil"/>
                  </w:tcBorders>
                  <w:shd w:val="clear" w:color="auto" w:fill="auto"/>
                  <w:noWrap w:val="0"/>
                  <w:vAlign w:val="center"/>
                </w:tcPr>
                <w:p>
                  <w:pPr>
                    <w:widowControl/>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颗粒物</w:t>
                  </w:r>
                </w:p>
              </w:tc>
              <w:tc>
                <w:tcPr>
                  <w:tcW w:w="1645" w:type="dxa"/>
                  <w:tcBorders>
                    <w:tl2br w:val="nil"/>
                    <w:tr2bl w:val="nil"/>
                  </w:tcBorders>
                  <w:shd w:val="clear" w:color="auto" w:fill="auto"/>
                  <w:noWrap w:val="0"/>
                  <w:vAlign w:val="center"/>
                </w:tcPr>
                <w:p>
                  <w:pPr>
                    <w:widowControl/>
                    <w:adjustRightInd w:val="0"/>
                    <w:snapToGrid w:val="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3.1851</w:t>
                  </w:r>
                </w:p>
              </w:tc>
              <w:tc>
                <w:tcPr>
                  <w:tcW w:w="1643" w:type="dxa"/>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1645" w:type="dxa"/>
                  <w:tcBorders>
                    <w:tl2br w:val="nil"/>
                    <w:tr2bl w:val="nil"/>
                  </w:tcBorders>
                  <w:shd w:val="clear" w:color="auto" w:fill="auto"/>
                  <w:noWrap w:val="0"/>
                  <w:vAlign w:val="center"/>
                </w:tcPr>
                <w:p>
                  <w:pPr>
                    <w:widowControl/>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3.1851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vMerge w:val="continue"/>
                  <w:tcBorders>
                    <w:tl2br w:val="nil"/>
                    <w:tr2bl w:val="nil"/>
                  </w:tcBorders>
                  <w:noWrap w:val="0"/>
                  <w:vAlign w:val="center"/>
                </w:tcPr>
                <w:p>
                  <w:pPr>
                    <w:jc w:val="center"/>
                    <w:rPr>
                      <w:rFonts w:hint="default" w:ascii="Times New Roman" w:hAnsi="Times New Roman" w:eastAsia="宋体" w:cs="Times New Roman"/>
                      <w:color w:val="auto"/>
                      <w:sz w:val="18"/>
                      <w:szCs w:val="18"/>
                      <w:lang w:val="en-US" w:eastAsia="zh-CN"/>
                    </w:rPr>
                  </w:pPr>
                </w:p>
              </w:tc>
              <w:tc>
                <w:tcPr>
                  <w:tcW w:w="1643" w:type="dxa"/>
                  <w:tcBorders>
                    <w:tl2br w:val="nil"/>
                    <w:tr2bl w:val="nil"/>
                  </w:tcBorders>
                  <w:shd w:val="clear" w:color="auto" w:fill="auto"/>
                  <w:noWrap w:val="0"/>
                  <w:vAlign w:val="center"/>
                </w:tcPr>
                <w:p>
                  <w:pPr>
                    <w:widowControl/>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非甲烷总烃</w:t>
                  </w:r>
                </w:p>
              </w:tc>
              <w:tc>
                <w:tcPr>
                  <w:tcW w:w="1645" w:type="dxa"/>
                  <w:tcBorders>
                    <w:tl2br w:val="nil"/>
                    <w:tr2bl w:val="nil"/>
                  </w:tcBorders>
                  <w:shd w:val="clear" w:color="auto" w:fill="auto"/>
                  <w:noWrap w:val="0"/>
                  <w:vAlign w:val="center"/>
                </w:tcPr>
                <w:p>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eastAsia" w:cs="Times New Roman"/>
                      <w:bCs/>
                      <w:color w:val="auto"/>
                      <w:sz w:val="18"/>
                      <w:szCs w:val="18"/>
                      <w:lang w:val="en-US" w:eastAsia="zh-CN"/>
                    </w:rPr>
                    <w:t>0.0011</w:t>
                  </w:r>
                </w:p>
              </w:tc>
              <w:tc>
                <w:tcPr>
                  <w:tcW w:w="1643" w:type="dxa"/>
                  <w:tcBorders>
                    <w:tl2br w:val="nil"/>
                    <w:tr2bl w:val="nil"/>
                  </w:tcBorders>
                  <w:noWrap w:val="0"/>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1645" w:type="dxa"/>
                  <w:tcBorders>
                    <w:tl2br w:val="nil"/>
                    <w:tr2bl w:val="nil"/>
                  </w:tcBorders>
                  <w:shd w:val="clear" w:color="auto" w:fill="auto"/>
                  <w:noWrap w:val="0"/>
                  <w:vAlign w:val="center"/>
                </w:tcPr>
                <w:p>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eastAsia" w:cs="Times New Roman"/>
                      <w:bCs/>
                      <w:color w:val="auto"/>
                      <w:sz w:val="18"/>
                      <w:szCs w:val="18"/>
                      <w:lang w:val="en-US" w:eastAsia="zh-CN"/>
                    </w:rPr>
                    <w:t>0.0011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vMerge w:val="restart"/>
                  <w:tcBorders>
                    <w:tl2br w:val="nil"/>
                    <w:tr2bl w:val="nil"/>
                  </w:tcBorders>
                  <w:noWrap w:val="0"/>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废水接管量</w:t>
                  </w:r>
                </w:p>
              </w:tc>
              <w:tc>
                <w:tcPr>
                  <w:tcW w:w="1643" w:type="dxa"/>
                  <w:tcBorders>
                    <w:tl2br w:val="nil"/>
                    <w:tr2bl w:val="nil"/>
                  </w:tcBorders>
                  <w:noWrap w:val="0"/>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废水量</w:t>
                  </w:r>
                </w:p>
              </w:tc>
              <w:tc>
                <w:tcPr>
                  <w:tcW w:w="1645" w:type="dxa"/>
                  <w:tcBorders>
                    <w:tl2br w:val="nil"/>
                    <w:tr2bl w:val="nil"/>
                  </w:tcBorders>
                  <w:noWrap w:val="0"/>
                  <w:vAlign w:val="center"/>
                </w:tcPr>
                <w:p>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i w:val="0"/>
                      <w:iCs w:val="0"/>
                      <w:color w:val="auto"/>
                      <w:kern w:val="0"/>
                      <w:sz w:val="18"/>
                      <w:szCs w:val="18"/>
                      <w:u w:val="none"/>
                      <w:lang w:val="en-US" w:eastAsia="zh-CN" w:bidi="ar"/>
                    </w:rPr>
                    <w:t>3216</w:t>
                  </w:r>
                </w:p>
              </w:tc>
              <w:tc>
                <w:tcPr>
                  <w:tcW w:w="1643" w:type="dxa"/>
                  <w:tcBorders>
                    <w:tl2br w:val="nil"/>
                    <w:tr2bl w:val="nil"/>
                  </w:tcBorders>
                  <w:noWrap w:val="0"/>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1645" w:type="dxa"/>
                  <w:tcBorders>
                    <w:tl2br w:val="nil"/>
                    <w:tr2bl w:val="nil"/>
                  </w:tcBorders>
                  <w:shd w:val="clear" w:color="auto" w:fill="auto"/>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i w:val="0"/>
                      <w:iCs w:val="0"/>
                      <w:color w:val="auto"/>
                      <w:kern w:val="0"/>
                      <w:sz w:val="18"/>
                      <w:szCs w:val="18"/>
                      <w:u w:val="none"/>
                      <w:lang w:val="en-US" w:eastAsia="zh-CN" w:bidi="ar"/>
                    </w:rPr>
                    <w:t>3216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vMerge w:val="continue"/>
                  <w:tcBorders>
                    <w:tl2br w:val="nil"/>
                    <w:tr2bl w:val="nil"/>
                  </w:tcBorders>
                  <w:noWrap w:val="0"/>
                  <w:vAlign w:val="center"/>
                </w:tcPr>
                <w:p>
                  <w:pPr>
                    <w:jc w:val="center"/>
                    <w:rPr>
                      <w:rFonts w:hint="default" w:ascii="Times New Roman" w:hAnsi="Times New Roman" w:eastAsia="宋体" w:cs="Times New Roman"/>
                      <w:color w:val="auto"/>
                      <w:sz w:val="18"/>
                      <w:szCs w:val="18"/>
                      <w:lang w:val="en-US" w:eastAsia="zh-CN"/>
                    </w:rPr>
                  </w:pPr>
                </w:p>
              </w:tc>
              <w:tc>
                <w:tcPr>
                  <w:tcW w:w="1643" w:type="dxa"/>
                  <w:tcBorders>
                    <w:tl2br w:val="nil"/>
                    <w:tr2bl w:val="nil"/>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11"/>
                      <w:kern w:val="0"/>
                      <w:position w:val="1"/>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COD</w:t>
                  </w:r>
                </w:p>
              </w:tc>
              <w:tc>
                <w:tcPr>
                  <w:tcW w:w="1645" w:type="dxa"/>
                  <w:tcBorders>
                    <w:tl2br w:val="nil"/>
                    <w:tr2bl w:val="nil"/>
                  </w:tcBorders>
                  <w:shd w:val="clear" w:color="auto" w:fill="auto"/>
                  <w:noWrap w:val="0"/>
                  <w:vAlign w:val="center"/>
                </w:tcPr>
                <w:p>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0.9024</w:t>
                  </w:r>
                </w:p>
              </w:tc>
              <w:tc>
                <w:tcPr>
                  <w:tcW w:w="1643" w:type="dxa"/>
                  <w:tcBorders>
                    <w:tl2br w:val="nil"/>
                    <w:tr2bl w:val="nil"/>
                  </w:tcBorders>
                  <w:shd w:val="clear" w:color="auto" w:fill="auto"/>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1.6080</w:t>
                  </w:r>
                </w:p>
              </w:tc>
              <w:tc>
                <w:tcPr>
                  <w:tcW w:w="1645" w:type="dxa"/>
                  <w:tcBorders>
                    <w:tl2br w:val="nil"/>
                    <w:tr2bl w:val="nil"/>
                  </w:tcBorders>
                  <w:shd w:val="clear" w:color="auto" w:fill="auto"/>
                  <w:noWrap w:val="0"/>
                  <w:vAlign w:val="center"/>
                </w:tcPr>
                <w:p>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0.9024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vMerge w:val="continue"/>
                  <w:tcBorders>
                    <w:tl2br w:val="nil"/>
                    <w:tr2bl w:val="nil"/>
                  </w:tcBorders>
                  <w:noWrap w:val="0"/>
                  <w:vAlign w:val="center"/>
                </w:tcPr>
                <w:p>
                  <w:pPr>
                    <w:jc w:val="center"/>
                    <w:rPr>
                      <w:rFonts w:hint="default" w:ascii="Times New Roman" w:hAnsi="Times New Roman" w:eastAsia="宋体" w:cs="Times New Roman"/>
                      <w:color w:val="auto"/>
                      <w:sz w:val="18"/>
                      <w:szCs w:val="18"/>
                      <w:lang w:val="en-US" w:eastAsia="zh-CN"/>
                    </w:rPr>
                  </w:pPr>
                </w:p>
              </w:tc>
              <w:tc>
                <w:tcPr>
                  <w:tcW w:w="1643" w:type="dxa"/>
                  <w:tcBorders>
                    <w:tl2br w:val="nil"/>
                    <w:tr2bl w:val="nil"/>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11"/>
                      <w:kern w:val="0"/>
                      <w:position w:val="1"/>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氨氮</w:t>
                  </w:r>
                </w:p>
              </w:tc>
              <w:tc>
                <w:tcPr>
                  <w:tcW w:w="1645" w:type="dxa"/>
                  <w:tcBorders>
                    <w:tl2br w:val="nil"/>
                    <w:tr2bl w:val="nil"/>
                  </w:tcBorders>
                  <w:shd w:val="clear" w:color="auto" w:fill="auto"/>
                  <w:noWrap w:val="0"/>
                  <w:vAlign w:val="center"/>
                </w:tcPr>
                <w:p>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0.0893</w:t>
                  </w:r>
                </w:p>
              </w:tc>
              <w:tc>
                <w:tcPr>
                  <w:tcW w:w="1643" w:type="dxa"/>
                  <w:tcBorders>
                    <w:tl2br w:val="nil"/>
                    <w:tr2bl w:val="nil"/>
                  </w:tcBorders>
                  <w:shd w:val="clear" w:color="auto" w:fill="auto"/>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0.1447</w:t>
                  </w:r>
                </w:p>
              </w:tc>
              <w:tc>
                <w:tcPr>
                  <w:tcW w:w="1645" w:type="dxa"/>
                  <w:tcBorders>
                    <w:tl2br w:val="nil"/>
                    <w:tr2bl w:val="nil"/>
                  </w:tcBorders>
                  <w:shd w:val="clear" w:color="auto" w:fill="auto"/>
                  <w:noWrap w:val="0"/>
                  <w:vAlign w:val="center"/>
                </w:tcPr>
                <w:p>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0.0893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vMerge w:val="continue"/>
                  <w:tcBorders>
                    <w:tl2br w:val="nil"/>
                    <w:tr2bl w:val="nil"/>
                  </w:tcBorders>
                  <w:noWrap w:val="0"/>
                  <w:vAlign w:val="center"/>
                </w:tcPr>
                <w:p>
                  <w:pPr>
                    <w:jc w:val="center"/>
                    <w:rPr>
                      <w:rFonts w:hint="default" w:ascii="Times New Roman" w:hAnsi="Times New Roman" w:eastAsia="宋体" w:cs="Times New Roman"/>
                      <w:color w:val="auto"/>
                      <w:sz w:val="18"/>
                      <w:szCs w:val="18"/>
                      <w:lang w:val="en-US" w:eastAsia="zh-CN"/>
                    </w:rPr>
                  </w:pPr>
                </w:p>
              </w:tc>
              <w:tc>
                <w:tcPr>
                  <w:tcW w:w="1643" w:type="dxa"/>
                  <w:tcBorders>
                    <w:tl2br w:val="nil"/>
                    <w:tr2bl w:val="nil"/>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11"/>
                      <w:kern w:val="0"/>
                      <w:position w:val="1"/>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TN</w:t>
                  </w:r>
                </w:p>
              </w:tc>
              <w:tc>
                <w:tcPr>
                  <w:tcW w:w="1645" w:type="dxa"/>
                  <w:tcBorders>
                    <w:tl2br w:val="nil"/>
                    <w:tr2bl w:val="nil"/>
                  </w:tcBorders>
                  <w:shd w:val="clear" w:color="auto" w:fill="auto"/>
                  <w:noWrap w:val="0"/>
                  <w:vAlign w:val="center"/>
                </w:tcPr>
                <w:p>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0.1339</w:t>
                  </w:r>
                </w:p>
              </w:tc>
              <w:tc>
                <w:tcPr>
                  <w:tcW w:w="1643" w:type="dxa"/>
                  <w:tcBorders>
                    <w:tl2br w:val="nil"/>
                    <w:tr2bl w:val="nil"/>
                  </w:tcBorders>
                  <w:shd w:val="clear" w:color="auto" w:fill="auto"/>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0.0257</w:t>
                  </w:r>
                </w:p>
              </w:tc>
              <w:tc>
                <w:tcPr>
                  <w:tcW w:w="1645" w:type="dxa"/>
                  <w:tcBorders>
                    <w:tl2br w:val="nil"/>
                    <w:tr2bl w:val="nil"/>
                  </w:tcBorders>
                  <w:shd w:val="clear" w:color="auto" w:fill="auto"/>
                  <w:noWrap w:val="0"/>
                  <w:vAlign w:val="center"/>
                </w:tcPr>
                <w:p>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0.1339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vMerge w:val="continue"/>
                  <w:tcBorders>
                    <w:tl2br w:val="nil"/>
                    <w:tr2bl w:val="nil"/>
                  </w:tcBorders>
                  <w:noWrap w:val="0"/>
                  <w:vAlign w:val="center"/>
                </w:tcPr>
                <w:p>
                  <w:pPr>
                    <w:jc w:val="center"/>
                    <w:rPr>
                      <w:rFonts w:hint="default" w:ascii="Times New Roman" w:hAnsi="Times New Roman" w:eastAsia="宋体" w:cs="Times New Roman"/>
                      <w:color w:val="auto"/>
                      <w:sz w:val="18"/>
                      <w:szCs w:val="18"/>
                      <w:lang w:val="en-US" w:eastAsia="zh-CN"/>
                    </w:rPr>
                  </w:pPr>
                </w:p>
              </w:tc>
              <w:tc>
                <w:tcPr>
                  <w:tcW w:w="1643" w:type="dxa"/>
                  <w:tcBorders>
                    <w:tl2br w:val="nil"/>
                    <w:tr2bl w:val="nil"/>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TP</w:t>
                  </w:r>
                </w:p>
              </w:tc>
              <w:tc>
                <w:tcPr>
                  <w:tcW w:w="1645" w:type="dxa"/>
                  <w:tcBorders>
                    <w:tl2br w:val="nil"/>
                    <w:tr2bl w:val="nil"/>
                  </w:tcBorders>
                  <w:shd w:val="clear" w:color="auto" w:fill="auto"/>
                  <w:noWrap w:val="0"/>
                  <w:vAlign w:val="center"/>
                </w:tcPr>
                <w:p>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0.0119</w:t>
                  </w:r>
                </w:p>
              </w:tc>
              <w:tc>
                <w:tcPr>
                  <w:tcW w:w="1643" w:type="dxa"/>
                  <w:tcBorders>
                    <w:tl2br w:val="nil"/>
                    <w:tr2bl w:val="nil"/>
                  </w:tcBorders>
                  <w:shd w:val="clear" w:color="auto" w:fill="auto"/>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0.2251</w:t>
                  </w:r>
                </w:p>
              </w:tc>
              <w:tc>
                <w:tcPr>
                  <w:tcW w:w="1645" w:type="dxa"/>
                  <w:tcBorders>
                    <w:tl2br w:val="nil"/>
                    <w:tr2bl w:val="nil"/>
                  </w:tcBorders>
                  <w:shd w:val="clear" w:color="auto" w:fill="auto"/>
                  <w:noWrap w:val="0"/>
                  <w:vAlign w:val="center"/>
                </w:tcPr>
                <w:p>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0.0119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vMerge w:val="restart"/>
                  <w:tcBorders>
                    <w:tl2br w:val="nil"/>
                    <w:tr2bl w:val="nil"/>
                  </w:tcBorders>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废水</w:t>
                  </w:r>
                  <w:r>
                    <w:rPr>
                      <w:rFonts w:hint="eastAsia" w:cs="Times New Roman"/>
                      <w:color w:val="auto"/>
                      <w:sz w:val="18"/>
                      <w:szCs w:val="18"/>
                      <w:lang w:val="en-US" w:eastAsia="zh-CN"/>
                    </w:rPr>
                    <w:t>外排</w:t>
                  </w:r>
                  <w:r>
                    <w:rPr>
                      <w:rFonts w:hint="default" w:ascii="Times New Roman" w:hAnsi="Times New Roman" w:eastAsia="宋体" w:cs="Times New Roman"/>
                      <w:color w:val="auto"/>
                      <w:sz w:val="18"/>
                      <w:szCs w:val="18"/>
                      <w:lang w:val="en-US" w:eastAsia="zh-CN"/>
                    </w:rPr>
                    <w:t>量</w:t>
                  </w:r>
                </w:p>
              </w:tc>
              <w:tc>
                <w:tcPr>
                  <w:tcW w:w="1643" w:type="dxa"/>
                  <w:tcBorders>
                    <w:tl2br w:val="nil"/>
                    <w:tr2bl w:val="nil"/>
                  </w:tcBorders>
                  <w:shd w:val="clear" w:color="auto" w:fill="auto"/>
                  <w:vAlign w:val="center"/>
                </w:tcPr>
                <w:p>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废水量</w:t>
                  </w:r>
                </w:p>
              </w:tc>
              <w:tc>
                <w:tcPr>
                  <w:tcW w:w="1645"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i w:val="0"/>
                      <w:iCs w:val="0"/>
                      <w:color w:val="auto"/>
                      <w:kern w:val="0"/>
                      <w:sz w:val="18"/>
                      <w:szCs w:val="18"/>
                      <w:u w:val="none"/>
                      <w:lang w:val="en-US" w:eastAsia="zh-CN" w:bidi="ar"/>
                    </w:rPr>
                    <w:t>3216</w:t>
                  </w:r>
                </w:p>
              </w:tc>
              <w:tc>
                <w:tcPr>
                  <w:tcW w:w="1643" w:type="dxa"/>
                  <w:tcBorders>
                    <w:tl2br w:val="nil"/>
                    <w:tr2bl w:val="nil"/>
                  </w:tcBorders>
                  <w:shd w:val="clear" w:color="auto" w:fill="auto"/>
                  <w:vAlign w:val="top"/>
                </w:tcPr>
                <w:p>
                  <w:pPr>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c>
                <w:tcPr>
                  <w:tcW w:w="16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宋体" w:eastAsia="宋体" w:cs="Times New Roman"/>
                      <w:color w:val="auto"/>
                      <w:kern w:val="0"/>
                      <w:sz w:val="18"/>
                      <w:szCs w:val="18"/>
                      <w:lang w:val="en-US" w:eastAsia="zh-CN" w:bidi="ar-SA"/>
                    </w:rPr>
                  </w:pPr>
                  <w:r>
                    <w:rPr>
                      <w:rFonts w:hint="eastAsia" w:ascii="Times New Roman" w:hAnsi="Times New Roman" w:cs="Times New Roman"/>
                      <w:i w:val="0"/>
                      <w:iCs w:val="0"/>
                      <w:color w:val="auto"/>
                      <w:kern w:val="0"/>
                      <w:sz w:val="18"/>
                      <w:szCs w:val="18"/>
                      <w:u w:val="none"/>
                      <w:lang w:val="en-US" w:eastAsia="zh-CN" w:bidi="ar"/>
                    </w:rPr>
                    <w:t>3216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vMerge w:val="continue"/>
                  <w:tcBorders>
                    <w:tl2br w:val="nil"/>
                    <w:tr2bl w:val="nil"/>
                  </w:tcBorders>
                </w:tcPr>
                <w:p>
                  <w:pPr>
                    <w:jc w:val="center"/>
                    <w:rPr>
                      <w:rFonts w:hint="default" w:ascii="Times New Roman" w:hAnsi="Times New Roman" w:eastAsia="宋体" w:cs="Times New Roman"/>
                      <w:color w:val="auto"/>
                      <w:sz w:val="18"/>
                      <w:szCs w:val="18"/>
                      <w:lang w:val="en-US" w:eastAsia="zh-CN"/>
                    </w:rPr>
                  </w:pPr>
                </w:p>
              </w:tc>
              <w:tc>
                <w:tcPr>
                  <w:tcW w:w="164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11"/>
                      <w:kern w:val="0"/>
                      <w:position w:val="1"/>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COD</w:t>
                  </w:r>
                </w:p>
              </w:tc>
              <w:tc>
                <w:tcPr>
                  <w:tcW w:w="16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4.078 </w:t>
                  </w:r>
                </w:p>
              </w:tc>
              <w:tc>
                <w:tcPr>
                  <w:tcW w:w="1643" w:type="dxa"/>
                  <w:tcBorders>
                    <w:tl2br w:val="nil"/>
                    <w:tr2bl w:val="nil"/>
                  </w:tcBorders>
                  <w:shd w:val="clear" w:color="auto" w:fill="auto"/>
                  <w:vAlign w:val="top"/>
                </w:tcPr>
                <w:p>
                  <w:pPr>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c>
                <w:tcPr>
                  <w:tcW w:w="1645"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 xml:space="preserve">0.1608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vMerge w:val="continue"/>
                </w:tcPr>
                <w:p>
                  <w:pPr>
                    <w:jc w:val="center"/>
                    <w:rPr>
                      <w:rFonts w:hint="default" w:ascii="Times New Roman" w:hAnsi="Times New Roman" w:eastAsia="宋体" w:cs="Times New Roman"/>
                      <w:color w:val="auto"/>
                      <w:sz w:val="18"/>
                      <w:szCs w:val="18"/>
                      <w:lang w:val="en-US" w:eastAsia="zh-CN"/>
                    </w:rPr>
                  </w:pPr>
                </w:p>
              </w:tc>
              <w:tc>
                <w:tcPr>
                  <w:tcW w:w="0" w:type="auto"/>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11"/>
                      <w:kern w:val="0"/>
                      <w:position w:val="1"/>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氨氮</w:t>
                  </w:r>
                </w:p>
              </w:tc>
              <w:tc>
                <w:tcPr>
                  <w:tcW w:w="164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0.816 </w:t>
                  </w:r>
                </w:p>
              </w:tc>
              <w:tc>
                <w:tcPr>
                  <w:tcW w:w="0" w:type="auto"/>
                </w:tcPr>
                <w:p>
                  <w:pPr>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c>
                <w:tcPr>
                  <w:tcW w:w="0" w:type="auto"/>
                  <w:shd w:val="clear" w:color="auto" w:fill="auto"/>
                  <w:vAlign w:val="center"/>
                </w:tcPr>
                <w:p>
                  <w:pPr>
                    <w:adjustRightInd w:val="0"/>
                    <w:snapToGrid w:val="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 xml:space="preserve">0.0161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vMerge w:val="continue"/>
                </w:tcPr>
                <w:p>
                  <w:pPr>
                    <w:jc w:val="center"/>
                    <w:rPr>
                      <w:rFonts w:hint="default" w:ascii="Times New Roman" w:hAnsi="Times New Roman" w:eastAsia="宋体" w:cs="Times New Roman"/>
                      <w:color w:val="auto"/>
                      <w:sz w:val="18"/>
                      <w:szCs w:val="18"/>
                      <w:lang w:val="en-US" w:eastAsia="zh-CN"/>
                    </w:rPr>
                  </w:pPr>
                </w:p>
              </w:tc>
              <w:tc>
                <w:tcPr>
                  <w:tcW w:w="0" w:type="auto"/>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11"/>
                      <w:kern w:val="0"/>
                      <w:position w:val="1"/>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TN</w:t>
                  </w:r>
                </w:p>
              </w:tc>
              <w:tc>
                <w:tcPr>
                  <w:tcW w:w="164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0.816 </w:t>
                  </w:r>
                </w:p>
              </w:tc>
              <w:tc>
                <w:tcPr>
                  <w:tcW w:w="0" w:type="auto"/>
                </w:tcPr>
                <w:p>
                  <w:pPr>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c>
                <w:tcPr>
                  <w:tcW w:w="0" w:type="auto"/>
                  <w:shd w:val="clear" w:color="auto" w:fill="auto"/>
                  <w:vAlign w:val="center"/>
                </w:tcPr>
                <w:p>
                  <w:pPr>
                    <w:adjustRightInd w:val="0"/>
                    <w:snapToGrid w:val="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0.0482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vMerge w:val="continue"/>
                </w:tcPr>
                <w:p>
                  <w:pPr>
                    <w:jc w:val="center"/>
                    <w:rPr>
                      <w:rFonts w:hint="default" w:ascii="Times New Roman" w:hAnsi="Times New Roman" w:eastAsia="宋体" w:cs="Times New Roman"/>
                      <w:color w:val="auto"/>
                      <w:sz w:val="18"/>
                      <w:szCs w:val="18"/>
                      <w:lang w:val="en-US" w:eastAsia="zh-CN"/>
                    </w:rPr>
                  </w:pPr>
                </w:p>
              </w:tc>
              <w:tc>
                <w:tcPr>
                  <w:tcW w:w="0" w:type="auto"/>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TP</w:t>
                  </w:r>
                </w:p>
              </w:tc>
              <w:tc>
                <w:tcPr>
                  <w:tcW w:w="164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0.408 </w:t>
                  </w:r>
                </w:p>
              </w:tc>
              <w:tc>
                <w:tcPr>
                  <w:tcW w:w="0" w:type="auto"/>
                </w:tcPr>
                <w:p>
                  <w:pPr>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c>
                <w:tcPr>
                  <w:tcW w:w="0" w:type="auto"/>
                  <w:shd w:val="clear" w:color="auto" w:fill="auto"/>
                  <w:vAlign w:val="center"/>
                </w:tcPr>
                <w:p>
                  <w:pPr>
                    <w:adjustRightInd w:val="0"/>
                    <w:snapToGrid w:val="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 xml:space="preserve">0.0016 </w:t>
                  </w:r>
                </w:p>
              </w:tc>
            </w:tr>
          </w:tbl>
          <w:p>
            <w:pPr>
              <w:pStyle w:val="7"/>
              <w:rPr>
                <w:rFonts w:hint="eastAsia" w:ascii="Times New Roman" w:hAnsi="Times New Roman" w:eastAsia="宋体" w:cs="Times New Roman"/>
                <w:color w:val="auto"/>
                <w:szCs w:val="21"/>
              </w:rPr>
            </w:pPr>
          </w:p>
          <w:p>
            <w:pPr>
              <w:pStyle w:val="7"/>
              <w:rPr>
                <w:rFonts w:hint="eastAsia" w:ascii="Times New Roman" w:hAnsi="Times New Roman" w:eastAsia="宋体" w:cs="Times New Roman"/>
                <w:color w:val="auto"/>
                <w:szCs w:val="21"/>
                <w:lang w:val="en-US" w:eastAsia="zh-CN"/>
              </w:rPr>
            </w:pPr>
          </w:p>
          <w:p>
            <w:pPr>
              <w:rPr>
                <w:rFonts w:hint="eastAsia"/>
              </w:rPr>
            </w:pPr>
          </w:p>
        </w:tc>
      </w:tr>
    </w:tbl>
    <w:p>
      <w:pPr>
        <w:spacing w:before="156" w:beforeLines="50" w:after="156" w:afterLines="50"/>
        <w:jc w:val="center"/>
        <w:outlineLvl w:val="0"/>
        <w:rPr>
          <w:rFonts w:hint="default" w:ascii="Times New Roman" w:hAnsi="Times New Roman" w:eastAsia="黑体" w:cs="Times New Roman"/>
          <w:sz w:val="30"/>
          <w:szCs w:val="30"/>
        </w:rPr>
      </w:pPr>
      <w:r>
        <w:rPr>
          <w:rFonts w:hint="eastAsia" w:ascii="Times New Roman" w:hAnsi="Times New Roman" w:eastAsia="黑体" w:cs="Times New Roman"/>
          <w:sz w:val="30"/>
          <w:szCs w:val="30"/>
          <w:lang w:eastAsia="zh-CN"/>
        </w:rPr>
        <w:t>四、</w:t>
      </w:r>
      <w:r>
        <w:rPr>
          <w:rFonts w:hint="default" w:ascii="Times New Roman" w:hAnsi="Times New Roman" w:eastAsia="黑体" w:cs="Times New Roman"/>
          <w:sz w:val="30"/>
          <w:szCs w:val="30"/>
        </w:rPr>
        <w:t>主要环境影响和保护措施</w:t>
      </w:r>
    </w:p>
    <w:tbl>
      <w:tblPr>
        <w:tblStyle w:val="22"/>
        <w:tblW w:w="9173" w:type="dxa"/>
        <w:tblInd w:w="-2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8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6" w:hRule="atLeast"/>
        </w:trPr>
        <w:tc>
          <w:tcPr>
            <w:tcW w:w="791" w:type="dxa"/>
            <w:vAlign w:val="center"/>
          </w:tcPr>
          <w:p>
            <w:pPr>
              <w:jc w:val="center"/>
            </w:pPr>
            <w:r>
              <w:t>施工期环境保护措施</w:t>
            </w:r>
          </w:p>
        </w:tc>
        <w:tc>
          <w:tcPr>
            <w:tcW w:w="8382" w:type="dxa"/>
          </w:tcPr>
          <w:p>
            <w:pPr>
              <w:spacing w:line="500" w:lineRule="exact"/>
              <w:ind w:firstLine="422" w:firstLineChars="200"/>
              <w:rPr>
                <w:b/>
                <w:bCs/>
              </w:rPr>
            </w:pPr>
            <w:r>
              <w:rPr>
                <w:b/>
                <w:bCs/>
              </w:rPr>
              <w:t xml:space="preserve">一、施工期： </w:t>
            </w:r>
          </w:p>
          <w:p>
            <w:pPr>
              <w:spacing w:line="500" w:lineRule="exact"/>
              <w:ind w:firstLine="420" w:firstLineChars="200"/>
            </w:pPr>
            <w:r>
              <w:t>项目</w:t>
            </w:r>
            <w:r>
              <w:rPr>
                <w:rFonts w:hint="eastAsia"/>
                <w:lang w:eastAsia="zh-CN"/>
              </w:rPr>
              <w:t>利用现有</w:t>
            </w:r>
            <w:r>
              <w:t>厂房，不涉及施工期。故本项目施工期主要为项目生产及辅助设备的购置、安装和调试等。施工期段，对周围环境影响不明显，因此不做环境影响分析。</w:t>
            </w:r>
          </w:p>
        </w:tc>
      </w:tr>
    </w:tbl>
    <w:p>
      <w:pPr>
        <w:pStyle w:val="11"/>
        <w:ind w:left="0" w:leftChars="0" w:firstLine="0" w:firstLineChars="0"/>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tbl>
      <w:tblPr>
        <w:tblStyle w:val="21"/>
        <w:tblW w:w="1390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1316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97" w:hRule="atLeast"/>
          <w:jc w:val="center"/>
        </w:trPr>
        <w:tc>
          <w:tcPr>
            <w:tcW w:w="746" w:type="dxa"/>
            <w:noWrap w:val="0"/>
            <w:tcMar>
              <w:left w:w="28" w:type="dxa"/>
              <w:right w:w="28" w:type="dxa"/>
            </w:tcMar>
            <w:vAlign w:val="center"/>
          </w:tcPr>
          <w:p>
            <w:pPr>
              <w:adjustRightInd w:val="0"/>
              <w:snapToGrid w:val="0"/>
              <w:jc w:val="center"/>
              <w:rPr>
                <w:rFonts w:hint="eastAsia" w:ascii="宋体" w:hAnsi="宋体" w:cs="宋体"/>
                <w:bCs/>
                <w:szCs w:val="21"/>
              </w:rPr>
            </w:pPr>
            <w:r>
              <w:rPr>
                <w:rFonts w:hint="eastAsia" w:ascii="宋体" w:hAnsi="宋体" w:cs="宋体"/>
                <w:bCs/>
                <w:szCs w:val="21"/>
              </w:rPr>
              <w:t>运营</w:t>
            </w:r>
          </w:p>
          <w:p>
            <w:pPr>
              <w:adjustRightInd w:val="0"/>
              <w:snapToGrid w:val="0"/>
              <w:jc w:val="center"/>
              <w:rPr>
                <w:rFonts w:hint="eastAsia" w:ascii="宋体" w:hAnsi="宋体" w:cs="宋体"/>
                <w:bCs/>
                <w:szCs w:val="21"/>
              </w:rPr>
            </w:pPr>
            <w:r>
              <w:rPr>
                <w:rFonts w:hint="eastAsia" w:ascii="宋体" w:hAnsi="宋体" w:cs="宋体"/>
                <w:bCs/>
                <w:szCs w:val="21"/>
              </w:rPr>
              <w:t>期环</w:t>
            </w:r>
          </w:p>
          <w:p>
            <w:pPr>
              <w:adjustRightInd w:val="0"/>
              <w:snapToGrid w:val="0"/>
              <w:jc w:val="center"/>
              <w:rPr>
                <w:rFonts w:hint="eastAsia" w:ascii="宋体" w:hAnsi="宋体" w:cs="宋体"/>
                <w:bCs/>
                <w:szCs w:val="21"/>
              </w:rPr>
            </w:pPr>
            <w:r>
              <w:rPr>
                <w:rFonts w:hint="eastAsia" w:ascii="宋体" w:hAnsi="宋体" w:cs="宋体"/>
                <w:bCs/>
                <w:szCs w:val="21"/>
              </w:rPr>
              <w:t>境影</w:t>
            </w:r>
          </w:p>
          <w:p>
            <w:pPr>
              <w:adjustRightInd w:val="0"/>
              <w:snapToGrid w:val="0"/>
              <w:jc w:val="center"/>
              <w:rPr>
                <w:rFonts w:hint="eastAsia" w:ascii="宋体" w:hAnsi="宋体" w:cs="宋体"/>
                <w:bCs/>
                <w:szCs w:val="21"/>
              </w:rPr>
            </w:pPr>
            <w:r>
              <w:rPr>
                <w:rFonts w:hint="eastAsia" w:ascii="宋体" w:hAnsi="宋体" w:cs="宋体"/>
                <w:bCs/>
                <w:szCs w:val="21"/>
              </w:rPr>
              <w:t>响和</w:t>
            </w:r>
          </w:p>
          <w:p>
            <w:pPr>
              <w:adjustRightInd w:val="0"/>
              <w:snapToGrid w:val="0"/>
              <w:jc w:val="center"/>
              <w:rPr>
                <w:rFonts w:hint="eastAsia" w:ascii="宋体" w:hAnsi="宋体" w:cs="宋体"/>
                <w:bCs/>
                <w:szCs w:val="21"/>
              </w:rPr>
            </w:pPr>
            <w:r>
              <w:rPr>
                <w:rFonts w:hint="eastAsia" w:ascii="宋体" w:hAnsi="宋体" w:cs="宋体"/>
                <w:bCs/>
                <w:szCs w:val="21"/>
              </w:rPr>
              <w:t>保护</w:t>
            </w:r>
          </w:p>
          <w:p>
            <w:pPr>
              <w:adjustRightInd w:val="0"/>
              <w:snapToGrid w:val="0"/>
              <w:jc w:val="center"/>
              <w:rPr>
                <w:rFonts w:hint="eastAsia" w:cs="宋体"/>
                <w:bCs/>
                <w:szCs w:val="21"/>
              </w:rPr>
            </w:pPr>
            <w:r>
              <w:rPr>
                <w:rFonts w:hint="eastAsia" w:ascii="宋体" w:hAnsi="宋体" w:cs="宋体"/>
                <w:bCs/>
                <w:szCs w:val="21"/>
              </w:rPr>
              <w:t>措施</w:t>
            </w:r>
          </w:p>
        </w:tc>
        <w:tc>
          <w:tcPr>
            <w:tcW w:w="13160" w:type="dxa"/>
            <w:noWrap w:val="0"/>
            <w:vAlign w:val="top"/>
          </w:tcPr>
          <w:p>
            <w:pPr>
              <w:adjustRightInd w:val="0"/>
              <w:snapToGrid w:val="0"/>
              <w:spacing w:line="500" w:lineRule="exact"/>
              <w:ind w:firstLine="422" w:firstLineChars="200"/>
              <w:jc w:val="left"/>
              <w:rPr>
                <w:b/>
                <w:bCs w:val="0"/>
                <w:szCs w:val="21"/>
              </w:rPr>
            </w:pPr>
            <w:r>
              <w:rPr>
                <w:rFonts w:hint="eastAsia"/>
                <w:b/>
                <w:bCs w:val="0"/>
                <w:szCs w:val="21"/>
              </w:rPr>
              <w:t>一、废气</w:t>
            </w:r>
          </w:p>
          <w:p>
            <w:pPr>
              <w:adjustRightInd w:val="0"/>
              <w:snapToGrid w:val="0"/>
              <w:spacing w:line="500" w:lineRule="exact"/>
              <w:jc w:val="center"/>
              <w:rPr>
                <w:rFonts w:hint="eastAsia"/>
                <w:b/>
                <w:color w:val="auto"/>
                <w:szCs w:val="21"/>
              </w:rPr>
            </w:pPr>
            <w:r>
              <w:rPr>
                <w:b/>
                <w:color w:val="auto"/>
                <w:szCs w:val="21"/>
              </w:rPr>
              <w:t>表</w:t>
            </w:r>
            <w:r>
              <w:rPr>
                <w:rFonts w:hint="eastAsia"/>
                <w:b/>
                <w:color w:val="auto"/>
                <w:szCs w:val="21"/>
              </w:rPr>
              <w:t>4-1</w:t>
            </w:r>
            <w:r>
              <w:rPr>
                <w:b/>
                <w:color w:val="auto"/>
                <w:szCs w:val="21"/>
              </w:rPr>
              <w:t xml:space="preserve"> </w:t>
            </w:r>
            <w:r>
              <w:rPr>
                <w:rFonts w:hint="eastAsia"/>
                <w:b/>
                <w:color w:val="auto"/>
                <w:szCs w:val="21"/>
                <w:lang w:eastAsia="zh-CN"/>
              </w:rPr>
              <w:t>全厂</w:t>
            </w:r>
            <w:r>
              <w:rPr>
                <w:b/>
                <w:color w:val="auto"/>
                <w:szCs w:val="21"/>
              </w:rPr>
              <w:t>废气污染物源强情况</w:t>
            </w:r>
          </w:p>
          <w:tbl>
            <w:tblPr>
              <w:tblStyle w:val="21"/>
              <w:tblW w:w="13025"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Layout w:type="fixed"/>
              <w:tblCellMar>
                <w:top w:w="0" w:type="dxa"/>
                <w:left w:w="108" w:type="dxa"/>
                <w:bottom w:w="0" w:type="dxa"/>
                <w:right w:w="108" w:type="dxa"/>
              </w:tblCellMar>
            </w:tblPr>
            <w:tblGrid>
              <w:gridCol w:w="692"/>
              <w:gridCol w:w="693"/>
              <w:gridCol w:w="688"/>
              <w:gridCol w:w="862"/>
              <w:gridCol w:w="838"/>
              <w:gridCol w:w="850"/>
              <w:gridCol w:w="512"/>
              <w:gridCol w:w="775"/>
              <w:gridCol w:w="688"/>
              <w:gridCol w:w="700"/>
              <w:gridCol w:w="612"/>
              <w:gridCol w:w="1013"/>
              <w:gridCol w:w="975"/>
              <w:gridCol w:w="887"/>
              <w:gridCol w:w="875"/>
              <w:gridCol w:w="700"/>
              <w:gridCol w:w="66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108" w:type="dxa"/>
                  <w:bottom w:w="0" w:type="dxa"/>
                  <w:right w:w="108" w:type="dxa"/>
                </w:tblCellMar>
              </w:tblPrEx>
              <w:trPr>
                <w:trHeight w:val="90" w:hRule="atLeast"/>
                <w:jc w:val="center"/>
              </w:trPr>
              <w:tc>
                <w:tcPr>
                  <w:tcW w:w="692" w:type="dxa"/>
                  <w:vMerge w:val="restart"/>
                  <w:noWrap w:val="0"/>
                  <w:tcMar>
                    <w:top w:w="15" w:type="dxa"/>
                    <w:left w:w="15" w:type="dxa"/>
                    <w:bottom w:w="15" w:type="dxa"/>
                    <w:right w:w="15" w:type="dxa"/>
                  </w:tcMar>
                  <w:vAlign w:val="center"/>
                </w:tcPr>
                <w:p>
                  <w:pPr>
                    <w:jc w:val="center"/>
                    <w:textAlignment w:val="center"/>
                    <w:rPr>
                      <w:bCs/>
                      <w:color w:val="auto"/>
                      <w:sz w:val="18"/>
                      <w:szCs w:val="18"/>
                    </w:rPr>
                  </w:pPr>
                  <w:r>
                    <w:rPr>
                      <w:rFonts w:hint="eastAsia" w:ascii="Times New Roman" w:hAnsi="Times New Roman" w:eastAsia="宋体" w:cs="Times New Roman"/>
                      <w:bCs/>
                      <w:color w:val="auto"/>
                      <w:sz w:val="18"/>
                      <w:szCs w:val="15"/>
                      <w:lang w:eastAsia="zh-CN"/>
                    </w:rPr>
                    <w:t>排放</w:t>
                  </w:r>
                  <w:r>
                    <w:rPr>
                      <w:rFonts w:ascii="Times New Roman" w:hAnsi="Times New Roman" w:eastAsia="宋体" w:cs="Times New Roman"/>
                      <w:bCs/>
                      <w:color w:val="auto"/>
                      <w:sz w:val="18"/>
                      <w:szCs w:val="15"/>
                    </w:rPr>
                    <w:t>源</w:t>
                  </w:r>
                </w:p>
              </w:tc>
              <w:tc>
                <w:tcPr>
                  <w:tcW w:w="693" w:type="dxa"/>
                  <w:vMerge w:val="restart"/>
                  <w:noWrap w:val="0"/>
                  <w:tcMar>
                    <w:top w:w="15" w:type="dxa"/>
                    <w:left w:w="15" w:type="dxa"/>
                    <w:bottom w:w="15" w:type="dxa"/>
                    <w:right w:w="15" w:type="dxa"/>
                  </w:tcMar>
                  <w:vAlign w:val="center"/>
                </w:tcPr>
                <w:p>
                  <w:pPr>
                    <w:jc w:val="center"/>
                    <w:textAlignment w:val="center"/>
                    <w:rPr>
                      <w:rFonts w:hint="eastAsia"/>
                      <w:bCs/>
                      <w:color w:val="auto"/>
                      <w:sz w:val="18"/>
                      <w:szCs w:val="18"/>
                    </w:rPr>
                  </w:pPr>
                  <w:r>
                    <w:rPr>
                      <w:bCs/>
                      <w:color w:val="auto"/>
                      <w:sz w:val="18"/>
                      <w:szCs w:val="18"/>
                    </w:rPr>
                    <w:t>产污</w:t>
                  </w:r>
                </w:p>
                <w:p>
                  <w:pPr>
                    <w:jc w:val="center"/>
                    <w:textAlignment w:val="center"/>
                    <w:rPr>
                      <w:rFonts w:ascii="Times New Roman" w:hAnsi="Times New Roman"/>
                      <w:bCs/>
                      <w:color w:val="auto"/>
                      <w:kern w:val="2"/>
                      <w:sz w:val="18"/>
                      <w:szCs w:val="18"/>
                      <w:lang w:val="en-US" w:eastAsia="zh-CN" w:bidi="ar-SA"/>
                    </w:rPr>
                  </w:pPr>
                  <w:r>
                    <w:rPr>
                      <w:bCs/>
                      <w:color w:val="auto"/>
                      <w:sz w:val="18"/>
                      <w:szCs w:val="18"/>
                    </w:rPr>
                    <w:t>环节</w:t>
                  </w:r>
                </w:p>
              </w:tc>
              <w:tc>
                <w:tcPr>
                  <w:tcW w:w="688" w:type="dxa"/>
                  <w:vMerge w:val="restart"/>
                  <w:noWrap w:val="0"/>
                  <w:tcMar>
                    <w:top w:w="15" w:type="dxa"/>
                    <w:left w:w="15" w:type="dxa"/>
                    <w:bottom w:w="15" w:type="dxa"/>
                    <w:right w:w="15" w:type="dxa"/>
                  </w:tcMar>
                  <w:vAlign w:val="center"/>
                </w:tcPr>
                <w:p>
                  <w:pPr>
                    <w:jc w:val="center"/>
                    <w:textAlignment w:val="center"/>
                    <w:rPr>
                      <w:rFonts w:hint="eastAsia"/>
                      <w:bCs/>
                      <w:color w:val="auto"/>
                      <w:sz w:val="18"/>
                      <w:szCs w:val="18"/>
                    </w:rPr>
                  </w:pPr>
                  <w:r>
                    <w:rPr>
                      <w:bCs/>
                      <w:color w:val="auto"/>
                      <w:sz w:val="18"/>
                      <w:szCs w:val="18"/>
                    </w:rPr>
                    <w:t>污染物</w:t>
                  </w:r>
                </w:p>
                <w:p>
                  <w:pPr>
                    <w:jc w:val="center"/>
                    <w:textAlignment w:val="center"/>
                    <w:rPr>
                      <w:bCs/>
                      <w:color w:val="auto"/>
                      <w:sz w:val="18"/>
                      <w:szCs w:val="18"/>
                    </w:rPr>
                  </w:pPr>
                  <w:r>
                    <w:rPr>
                      <w:bCs/>
                      <w:color w:val="auto"/>
                      <w:sz w:val="18"/>
                      <w:szCs w:val="18"/>
                    </w:rPr>
                    <w:t>种类</w:t>
                  </w:r>
                </w:p>
              </w:tc>
              <w:tc>
                <w:tcPr>
                  <w:tcW w:w="2550" w:type="dxa"/>
                  <w:gridSpan w:val="3"/>
                  <w:noWrap w:val="0"/>
                  <w:tcMar>
                    <w:top w:w="15" w:type="dxa"/>
                    <w:left w:w="15" w:type="dxa"/>
                    <w:bottom w:w="15" w:type="dxa"/>
                    <w:right w:w="15" w:type="dxa"/>
                  </w:tcMar>
                  <w:vAlign w:val="center"/>
                </w:tcPr>
                <w:p>
                  <w:pPr>
                    <w:jc w:val="center"/>
                    <w:textAlignment w:val="center"/>
                    <w:rPr>
                      <w:bCs/>
                      <w:color w:val="auto"/>
                      <w:sz w:val="18"/>
                      <w:szCs w:val="18"/>
                    </w:rPr>
                  </w:pPr>
                  <w:r>
                    <w:rPr>
                      <w:bCs/>
                      <w:color w:val="auto"/>
                      <w:sz w:val="18"/>
                      <w:szCs w:val="18"/>
                    </w:rPr>
                    <w:t>污染物产生情况</w:t>
                  </w:r>
                </w:p>
              </w:tc>
              <w:tc>
                <w:tcPr>
                  <w:tcW w:w="512" w:type="dxa"/>
                  <w:vMerge w:val="restart"/>
                  <w:noWrap w:val="0"/>
                  <w:tcMar>
                    <w:top w:w="15" w:type="dxa"/>
                    <w:left w:w="15" w:type="dxa"/>
                    <w:bottom w:w="15" w:type="dxa"/>
                    <w:right w:w="15" w:type="dxa"/>
                  </w:tcMar>
                  <w:vAlign w:val="center"/>
                </w:tcPr>
                <w:p>
                  <w:pPr>
                    <w:jc w:val="center"/>
                    <w:textAlignment w:val="center"/>
                    <w:rPr>
                      <w:rFonts w:hint="eastAsia"/>
                      <w:bCs/>
                      <w:color w:val="auto"/>
                      <w:sz w:val="18"/>
                      <w:szCs w:val="18"/>
                    </w:rPr>
                  </w:pPr>
                  <w:r>
                    <w:rPr>
                      <w:bCs/>
                      <w:color w:val="auto"/>
                      <w:sz w:val="18"/>
                      <w:szCs w:val="18"/>
                    </w:rPr>
                    <w:t>排放</w:t>
                  </w:r>
                </w:p>
                <w:p>
                  <w:pPr>
                    <w:jc w:val="center"/>
                    <w:textAlignment w:val="center"/>
                    <w:rPr>
                      <w:bCs/>
                      <w:color w:val="auto"/>
                      <w:sz w:val="18"/>
                      <w:szCs w:val="18"/>
                    </w:rPr>
                  </w:pPr>
                  <w:r>
                    <w:rPr>
                      <w:bCs/>
                      <w:color w:val="auto"/>
                      <w:sz w:val="18"/>
                      <w:szCs w:val="18"/>
                    </w:rPr>
                    <w:t>形式</w:t>
                  </w:r>
                </w:p>
              </w:tc>
              <w:tc>
                <w:tcPr>
                  <w:tcW w:w="2775" w:type="dxa"/>
                  <w:gridSpan w:val="4"/>
                  <w:noWrap w:val="0"/>
                  <w:tcMar>
                    <w:top w:w="15" w:type="dxa"/>
                    <w:left w:w="15" w:type="dxa"/>
                    <w:bottom w:w="15" w:type="dxa"/>
                    <w:right w:w="15" w:type="dxa"/>
                  </w:tcMar>
                  <w:vAlign w:val="center"/>
                </w:tcPr>
                <w:p>
                  <w:pPr>
                    <w:jc w:val="center"/>
                    <w:textAlignment w:val="center"/>
                    <w:rPr>
                      <w:bCs/>
                      <w:color w:val="auto"/>
                      <w:sz w:val="18"/>
                      <w:szCs w:val="18"/>
                    </w:rPr>
                  </w:pPr>
                  <w:r>
                    <w:rPr>
                      <w:bCs/>
                      <w:color w:val="auto"/>
                      <w:sz w:val="18"/>
                      <w:szCs w:val="18"/>
                    </w:rPr>
                    <w:t>治理设施情况</w:t>
                  </w:r>
                </w:p>
              </w:tc>
              <w:tc>
                <w:tcPr>
                  <w:tcW w:w="2875" w:type="dxa"/>
                  <w:gridSpan w:val="3"/>
                  <w:noWrap w:val="0"/>
                  <w:vAlign w:val="center"/>
                </w:tcPr>
                <w:p>
                  <w:pPr>
                    <w:jc w:val="center"/>
                    <w:textAlignment w:val="center"/>
                    <w:rPr>
                      <w:bCs/>
                      <w:color w:val="auto"/>
                      <w:sz w:val="18"/>
                      <w:szCs w:val="18"/>
                    </w:rPr>
                  </w:pPr>
                  <w:r>
                    <w:rPr>
                      <w:bCs/>
                      <w:color w:val="auto"/>
                      <w:sz w:val="18"/>
                      <w:szCs w:val="18"/>
                    </w:rPr>
                    <w:t>污染物排放情况</w:t>
                  </w:r>
                </w:p>
              </w:tc>
              <w:tc>
                <w:tcPr>
                  <w:tcW w:w="1575" w:type="dxa"/>
                  <w:gridSpan w:val="2"/>
                  <w:noWrap w:val="0"/>
                  <w:vAlign w:val="center"/>
                </w:tcPr>
                <w:p>
                  <w:pPr>
                    <w:jc w:val="center"/>
                    <w:textAlignment w:val="center"/>
                    <w:rPr>
                      <w:bCs/>
                      <w:color w:val="auto"/>
                      <w:sz w:val="18"/>
                      <w:szCs w:val="18"/>
                    </w:rPr>
                  </w:pPr>
                  <w:r>
                    <w:rPr>
                      <w:bCs/>
                      <w:color w:val="auto"/>
                      <w:sz w:val="18"/>
                      <w:szCs w:val="18"/>
                    </w:rPr>
                    <w:t>排放标准</w:t>
                  </w:r>
                </w:p>
              </w:tc>
              <w:tc>
                <w:tcPr>
                  <w:tcW w:w="665" w:type="dxa"/>
                  <w:vMerge w:val="restart"/>
                  <w:noWrap w:val="0"/>
                  <w:vAlign w:val="center"/>
                </w:tcPr>
                <w:p>
                  <w:pPr>
                    <w:jc w:val="center"/>
                    <w:textAlignment w:val="center"/>
                    <w:rPr>
                      <w:rFonts w:hint="eastAsia" w:eastAsia="宋体"/>
                      <w:bCs/>
                      <w:color w:val="auto"/>
                      <w:sz w:val="18"/>
                      <w:szCs w:val="18"/>
                      <w:lang w:eastAsia="zh-CN"/>
                    </w:rPr>
                  </w:pPr>
                  <w:r>
                    <w:rPr>
                      <w:rFonts w:hint="eastAsia"/>
                      <w:bCs/>
                      <w:color w:val="auto"/>
                      <w:sz w:val="18"/>
                      <w:szCs w:val="18"/>
                      <w:lang w:eastAsia="zh-CN"/>
                    </w:rPr>
                    <w:t>排放时间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108" w:type="dxa"/>
                  <w:bottom w:w="0" w:type="dxa"/>
                  <w:right w:w="108" w:type="dxa"/>
                </w:tblCellMar>
              </w:tblPrEx>
              <w:trPr>
                <w:trHeight w:val="428" w:hRule="atLeast"/>
                <w:jc w:val="center"/>
              </w:trPr>
              <w:tc>
                <w:tcPr>
                  <w:tcW w:w="692" w:type="dxa"/>
                  <w:vMerge w:val="continue"/>
                  <w:noWrap w:val="0"/>
                  <w:tcMar>
                    <w:top w:w="15" w:type="dxa"/>
                    <w:left w:w="15" w:type="dxa"/>
                    <w:bottom w:w="15" w:type="dxa"/>
                    <w:right w:w="15" w:type="dxa"/>
                  </w:tcMar>
                  <w:vAlign w:val="center"/>
                </w:tcPr>
                <w:p>
                  <w:pPr>
                    <w:jc w:val="center"/>
                    <w:textAlignment w:val="center"/>
                    <w:rPr>
                      <w:bCs/>
                      <w:color w:val="auto"/>
                      <w:sz w:val="18"/>
                      <w:szCs w:val="18"/>
                    </w:rPr>
                  </w:pPr>
                </w:p>
              </w:tc>
              <w:tc>
                <w:tcPr>
                  <w:tcW w:w="693" w:type="dxa"/>
                  <w:vMerge w:val="continue"/>
                  <w:noWrap w:val="0"/>
                  <w:tcMar>
                    <w:top w:w="15" w:type="dxa"/>
                    <w:left w:w="15" w:type="dxa"/>
                    <w:bottom w:w="15" w:type="dxa"/>
                    <w:right w:w="15" w:type="dxa"/>
                  </w:tcMar>
                  <w:vAlign w:val="center"/>
                </w:tcPr>
                <w:p>
                  <w:pPr>
                    <w:jc w:val="center"/>
                    <w:textAlignment w:val="center"/>
                    <w:rPr>
                      <w:rFonts w:ascii="Times New Roman" w:hAnsi="Times New Roman"/>
                      <w:bCs/>
                      <w:color w:val="auto"/>
                      <w:kern w:val="2"/>
                      <w:sz w:val="18"/>
                      <w:szCs w:val="18"/>
                      <w:lang w:val="en-US" w:eastAsia="zh-CN" w:bidi="ar-SA"/>
                    </w:rPr>
                  </w:pPr>
                </w:p>
              </w:tc>
              <w:tc>
                <w:tcPr>
                  <w:tcW w:w="688" w:type="dxa"/>
                  <w:vMerge w:val="continue"/>
                  <w:noWrap w:val="0"/>
                  <w:tcMar>
                    <w:top w:w="15" w:type="dxa"/>
                    <w:left w:w="15" w:type="dxa"/>
                    <w:bottom w:w="15" w:type="dxa"/>
                    <w:right w:w="15" w:type="dxa"/>
                  </w:tcMar>
                  <w:vAlign w:val="center"/>
                </w:tcPr>
                <w:p>
                  <w:pPr>
                    <w:jc w:val="center"/>
                    <w:textAlignment w:val="center"/>
                    <w:rPr>
                      <w:bCs/>
                      <w:color w:val="auto"/>
                      <w:sz w:val="18"/>
                      <w:szCs w:val="18"/>
                    </w:rPr>
                  </w:pPr>
                </w:p>
              </w:tc>
              <w:tc>
                <w:tcPr>
                  <w:tcW w:w="862" w:type="dxa"/>
                  <w:noWrap w:val="0"/>
                  <w:tcMar>
                    <w:top w:w="15" w:type="dxa"/>
                    <w:left w:w="15" w:type="dxa"/>
                    <w:bottom w:w="15" w:type="dxa"/>
                    <w:right w:w="15" w:type="dxa"/>
                  </w:tcMar>
                  <w:vAlign w:val="center"/>
                </w:tcPr>
                <w:p>
                  <w:pPr>
                    <w:jc w:val="center"/>
                    <w:textAlignment w:val="center"/>
                    <w:rPr>
                      <w:rFonts w:hint="eastAsia"/>
                      <w:bCs/>
                      <w:color w:val="auto"/>
                      <w:sz w:val="18"/>
                      <w:szCs w:val="18"/>
                    </w:rPr>
                  </w:pPr>
                  <w:r>
                    <w:rPr>
                      <w:bCs/>
                      <w:color w:val="auto"/>
                      <w:sz w:val="18"/>
                      <w:szCs w:val="18"/>
                    </w:rPr>
                    <w:t>产生浓度</w:t>
                  </w:r>
                </w:p>
                <w:p>
                  <w:pPr>
                    <w:jc w:val="center"/>
                    <w:textAlignment w:val="center"/>
                    <w:rPr>
                      <w:bCs/>
                      <w:color w:val="auto"/>
                      <w:sz w:val="18"/>
                      <w:szCs w:val="18"/>
                    </w:rPr>
                  </w:pPr>
                  <w:r>
                    <w:rPr>
                      <w:rFonts w:hint="eastAsia"/>
                      <w:bCs/>
                      <w:color w:val="auto"/>
                      <w:sz w:val="18"/>
                      <w:szCs w:val="18"/>
                    </w:rPr>
                    <w:t>（mg/m</w:t>
                  </w:r>
                  <w:r>
                    <w:rPr>
                      <w:rFonts w:hint="eastAsia"/>
                      <w:bCs/>
                      <w:color w:val="auto"/>
                      <w:sz w:val="18"/>
                      <w:szCs w:val="18"/>
                      <w:vertAlign w:val="superscript"/>
                    </w:rPr>
                    <w:t>3</w:t>
                  </w:r>
                  <w:r>
                    <w:rPr>
                      <w:rFonts w:hint="eastAsia"/>
                      <w:bCs/>
                      <w:color w:val="auto"/>
                      <w:sz w:val="18"/>
                      <w:szCs w:val="18"/>
                    </w:rPr>
                    <w:t>）</w:t>
                  </w:r>
                </w:p>
              </w:tc>
              <w:tc>
                <w:tcPr>
                  <w:tcW w:w="838" w:type="dxa"/>
                  <w:noWrap w:val="0"/>
                  <w:tcMar>
                    <w:top w:w="15" w:type="dxa"/>
                    <w:left w:w="15" w:type="dxa"/>
                    <w:bottom w:w="15" w:type="dxa"/>
                    <w:right w:w="15" w:type="dxa"/>
                  </w:tcMar>
                  <w:vAlign w:val="center"/>
                </w:tcPr>
                <w:p>
                  <w:pPr>
                    <w:jc w:val="center"/>
                    <w:textAlignment w:val="center"/>
                    <w:rPr>
                      <w:rFonts w:hint="eastAsia"/>
                      <w:bCs/>
                      <w:color w:val="auto"/>
                      <w:sz w:val="18"/>
                      <w:szCs w:val="18"/>
                    </w:rPr>
                  </w:pPr>
                  <w:r>
                    <w:rPr>
                      <w:bCs/>
                      <w:color w:val="auto"/>
                      <w:sz w:val="18"/>
                      <w:szCs w:val="18"/>
                    </w:rPr>
                    <w:t>产生速率</w:t>
                  </w:r>
                </w:p>
                <w:p>
                  <w:pPr>
                    <w:jc w:val="center"/>
                    <w:textAlignment w:val="center"/>
                    <w:rPr>
                      <w:bCs/>
                      <w:color w:val="auto"/>
                      <w:sz w:val="18"/>
                      <w:szCs w:val="18"/>
                    </w:rPr>
                  </w:pPr>
                  <w:r>
                    <w:rPr>
                      <w:rFonts w:hint="eastAsia"/>
                      <w:bCs/>
                      <w:color w:val="auto"/>
                      <w:sz w:val="18"/>
                      <w:szCs w:val="18"/>
                    </w:rPr>
                    <w:t>（kg/h）</w:t>
                  </w:r>
                </w:p>
              </w:tc>
              <w:tc>
                <w:tcPr>
                  <w:tcW w:w="850" w:type="dxa"/>
                  <w:noWrap w:val="0"/>
                  <w:tcMar>
                    <w:top w:w="15" w:type="dxa"/>
                    <w:left w:w="15" w:type="dxa"/>
                    <w:bottom w:w="15" w:type="dxa"/>
                    <w:right w:w="15" w:type="dxa"/>
                  </w:tcMar>
                  <w:vAlign w:val="center"/>
                </w:tcPr>
                <w:p>
                  <w:pPr>
                    <w:jc w:val="center"/>
                    <w:textAlignment w:val="center"/>
                    <w:rPr>
                      <w:rFonts w:hint="eastAsia"/>
                      <w:bCs/>
                      <w:color w:val="auto"/>
                      <w:sz w:val="18"/>
                      <w:szCs w:val="18"/>
                    </w:rPr>
                  </w:pPr>
                  <w:r>
                    <w:rPr>
                      <w:bCs/>
                      <w:color w:val="auto"/>
                      <w:sz w:val="18"/>
                      <w:szCs w:val="18"/>
                    </w:rPr>
                    <w:t>产生量</w:t>
                  </w:r>
                </w:p>
                <w:p>
                  <w:pPr>
                    <w:jc w:val="center"/>
                    <w:textAlignment w:val="center"/>
                    <w:rPr>
                      <w:bCs/>
                      <w:color w:val="auto"/>
                      <w:sz w:val="18"/>
                      <w:szCs w:val="18"/>
                    </w:rPr>
                  </w:pPr>
                  <w:r>
                    <w:rPr>
                      <w:rFonts w:hint="eastAsia"/>
                      <w:bCs/>
                      <w:color w:val="auto"/>
                      <w:sz w:val="18"/>
                      <w:szCs w:val="18"/>
                    </w:rPr>
                    <w:t>（t/a）</w:t>
                  </w:r>
                </w:p>
              </w:tc>
              <w:tc>
                <w:tcPr>
                  <w:tcW w:w="512" w:type="dxa"/>
                  <w:vMerge w:val="continue"/>
                  <w:noWrap w:val="0"/>
                  <w:tcMar>
                    <w:top w:w="15" w:type="dxa"/>
                    <w:left w:w="15" w:type="dxa"/>
                    <w:bottom w:w="15" w:type="dxa"/>
                    <w:right w:w="15" w:type="dxa"/>
                  </w:tcMar>
                  <w:vAlign w:val="center"/>
                </w:tcPr>
                <w:p>
                  <w:pPr>
                    <w:jc w:val="center"/>
                    <w:textAlignment w:val="center"/>
                    <w:rPr>
                      <w:bCs/>
                      <w:color w:val="auto"/>
                      <w:sz w:val="18"/>
                      <w:szCs w:val="18"/>
                    </w:rPr>
                  </w:pPr>
                </w:p>
              </w:tc>
              <w:tc>
                <w:tcPr>
                  <w:tcW w:w="775" w:type="dxa"/>
                  <w:noWrap w:val="0"/>
                  <w:tcMar>
                    <w:top w:w="15" w:type="dxa"/>
                    <w:left w:w="15" w:type="dxa"/>
                    <w:bottom w:w="15" w:type="dxa"/>
                    <w:right w:w="15" w:type="dxa"/>
                  </w:tcMar>
                  <w:vAlign w:val="center"/>
                </w:tcPr>
                <w:p>
                  <w:pPr>
                    <w:jc w:val="center"/>
                    <w:textAlignment w:val="center"/>
                    <w:rPr>
                      <w:bCs/>
                      <w:color w:val="auto"/>
                      <w:sz w:val="18"/>
                      <w:szCs w:val="18"/>
                    </w:rPr>
                  </w:pPr>
                  <w:r>
                    <w:rPr>
                      <w:bCs/>
                      <w:color w:val="auto"/>
                      <w:sz w:val="18"/>
                      <w:szCs w:val="18"/>
                    </w:rPr>
                    <w:t>治理设施</w:t>
                  </w:r>
                </w:p>
              </w:tc>
              <w:tc>
                <w:tcPr>
                  <w:tcW w:w="688" w:type="dxa"/>
                  <w:noWrap w:val="0"/>
                  <w:vAlign w:val="center"/>
                </w:tcPr>
                <w:p>
                  <w:pPr>
                    <w:jc w:val="center"/>
                    <w:textAlignment w:val="center"/>
                    <w:rPr>
                      <w:bCs/>
                      <w:color w:val="auto"/>
                      <w:sz w:val="18"/>
                      <w:szCs w:val="18"/>
                    </w:rPr>
                  </w:pPr>
                  <w:r>
                    <w:rPr>
                      <w:bCs/>
                      <w:color w:val="auto"/>
                      <w:sz w:val="18"/>
                      <w:szCs w:val="18"/>
                    </w:rPr>
                    <w:t>处理能力</w:t>
                  </w:r>
                </w:p>
              </w:tc>
              <w:tc>
                <w:tcPr>
                  <w:tcW w:w="700" w:type="dxa"/>
                  <w:noWrap w:val="0"/>
                  <w:vAlign w:val="center"/>
                </w:tcPr>
                <w:p>
                  <w:pPr>
                    <w:jc w:val="center"/>
                    <w:textAlignment w:val="center"/>
                    <w:rPr>
                      <w:rFonts w:hint="eastAsia"/>
                      <w:bCs/>
                      <w:color w:val="auto"/>
                      <w:sz w:val="18"/>
                      <w:szCs w:val="18"/>
                    </w:rPr>
                  </w:pPr>
                  <w:r>
                    <w:rPr>
                      <w:bCs/>
                      <w:color w:val="auto"/>
                      <w:sz w:val="18"/>
                      <w:szCs w:val="18"/>
                    </w:rPr>
                    <w:t>收集</w:t>
                  </w:r>
                </w:p>
                <w:p>
                  <w:pPr>
                    <w:jc w:val="center"/>
                    <w:textAlignment w:val="center"/>
                    <w:rPr>
                      <w:bCs/>
                      <w:color w:val="auto"/>
                      <w:sz w:val="18"/>
                      <w:szCs w:val="18"/>
                    </w:rPr>
                  </w:pPr>
                  <w:r>
                    <w:rPr>
                      <w:bCs/>
                      <w:color w:val="auto"/>
                      <w:sz w:val="18"/>
                      <w:szCs w:val="18"/>
                    </w:rPr>
                    <w:t>效率</w:t>
                  </w:r>
                </w:p>
              </w:tc>
              <w:tc>
                <w:tcPr>
                  <w:tcW w:w="612" w:type="dxa"/>
                  <w:noWrap w:val="0"/>
                  <w:vAlign w:val="center"/>
                </w:tcPr>
                <w:p>
                  <w:pPr>
                    <w:jc w:val="center"/>
                    <w:textAlignment w:val="center"/>
                    <w:rPr>
                      <w:bCs/>
                      <w:color w:val="auto"/>
                      <w:sz w:val="18"/>
                      <w:szCs w:val="18"/>
                    </w:rPr>
                  </w:pPr>
                  <w:r>
                    <w:rPr>
                      <w:bCs/>
                      <w:color w:val="auto"/>
                      <w:sz w:val="18"/>
                      <w:szCs w:val="18"/>
                    </w:rPr>
                    <w:t>去除率</w:t>
                  </w:r>
                </w:p>
              </w:tc>
              <w:tc>
                <w:tcPr>
                  <w:tcW w:w="1013" w:type="dxa"/>
                  <w:noWrap w:val="0"/>
                  <w:vAlign w:val="center"/>
                </w:tcPr>
                <w:p>
                  <w:pPr>
                    <w:jc w:val="center"/>
                    <w:textAlignment w:val="center"/>
                    <w:rPr>
                      <w:rFonts w:hint="eastAsia"/>
                      <w:bCs/>
                      <w:color w:val="auto"/>
                      <w:sz w:val="18"/>
                      <w:szCs w:val="18"/>
                    </w:rPr>
                  </w:pPr>
                  <w:r>
                    <w:rPr>
                      <w:bCs/>
                      <w:color w:val="auto"/>
                      <w:sz w:val="18"/>
                      <w:szCs w:val="18"/>
                    </w:rPr>
                    <w:t>排放浓度</w:t>
                  </w:r>
                </w:p>
                <w:p>
                  <w:pPr>
                    <w:jc w:val="center"/>
                    <w:textAlignment w:val="center"/>
                    <w:rPr>
                      <w:bCs/>
                      <w:color w:val="auto"/>
                      <w:sz w:val="18"/>
                      <w:szCs w:val="18"/>
                    </w:rPr>
                  </w:pPr>
                  <w:r>
                    <w:rPr>
                      <w:rFonts w:hint="eastAsia"/>
                      <w:bCs/>
                      <w:color w:val="auto"/>
                      <w:sz w:val="18"/>
                      <w:szCs w:val="18"/>
                    </w:rPr>
                    <w:t>（mg/m</w:t>
                  </w:r>
                  <w:r>
                    <w:rPr>
                      <w:rFonts w:hint="eastAsia"/>
                      <w:bCs/>
                      <w:color w:val="auto"/>
                      <w:sz w:val="18"/>
                      <w:szCs w:val="18"/>
                      <w:vertAlign w:val="superscript"/>
                    </w:rPr>
                    <w:t>3</w:t>
                  </w:r>
                  <w:r>
                    <w:rPr>
                      <w:rFonts w:hint="eastAsia"/>
                      <w:bCs/>
                      <w:color w:val="auto"/>
                      <w:sz w:val="18"/>
                      <w:szCs w:val="18"/>
                    </w:rPr>
                    <w:t>）</w:t>
                  </w:r>
                </w:p>
              </w:tc>
              <w:tc>
                <w:tcPr>
                  <w:tcW w:w="975" w:type="dxa"/>
                  <w:noWrap w:val="0"/>
                  <w:vAlign w:val="center"/>
                </w:tcPr>
                <w:p>
                  <w:pPr>
                    <w:jc w:val="center"/>
                    <w:textAlignment w:val="center"/>
                    <w:rPr>
                      <w:rFonts w:hint="eastAsia"/>
                      <w:bCs/>
                      <w:color w:val="auto"/>
                      <w:sz w:val="18"/>
                      <w:szCs w:val="18"/>
                    </w:rPr>
                  </w:pPr>
                  <w:r>
                    <w:rPr>
                      <w:bCs/>
                      <w:color w:val="auto"/>
                      <w:sz w:val="18"/>
                      <w:szCs w:val="18"/>
                    </w:rPr>
                    <w:t>排放速率</w:t>
                  </w:r>
                </w:p>
                <w:p>
                  <w:pPr>
                    <w:jc w:val="center"/>
                    <w:textAlignment w:val="center"/>
                    <w:rPr>
                      <w:bCs/>
                      <w:color w:val="auto"/>
                      <w:sz w:val="18"/>
                      <w:szCs w:val="18"/>
                    </w:rPr>
                  </w:pPr>
                  <w:r>
                    <w:rPr>
                      <w:rFonts w:hint="eastAsia"/>
                      <w:bCs/>
                      <w:color w:val="auto"/>
                      <w:sz w:val="18"/>
                      <w:szCs w:val="18"/>
                    </w:rPr>
                    <w:t>（kg/h）</w:t>
                  </w:r>
                </w:p>
              </w:tc>
              <w:tc>
                <w:tcPr>
                  <w:tcW w:w="887" w:type="dxa"/>
                  <w:noWrap w:val="0"/>
                  <w:vAlign w:val="center"/>
                </w:tcPr>
                <w:p>
                  <w:pPr>
                    <w:jc w:val="center"/>
                    <w:textAlignment w:val="center"/>
                    <w:rPr>
                      <w:rFonts w:hint="eastAsia"/>
                      <w:bCs/>
                      <w:color w:val="auto"/>
                      <w:sz w:val="18"/>
                      <w:szCs w:val="18"/>
                    </w:rPr>
                  </w:pPr>
                  <w:r>
                    <w:rPr>
                      <w:bCs/>
                      <w:color w:val="auto"/>
                      <w:sz w:val="18"/>
                      <w:szCs w:val="18"/>
                    </w:rPr>
                    <w:t>排放量</w:t>
                  </w:r>
                </w:p>
                <w:p>
                  <w:pPr>
                    <w:jc w:val="center"/>
                    <w:textAlignment w:val="center"/>
                    <w:rPr>
                      <w:bCs/>
                      <w:color w:val="auto"/>
                      <w:sz w:val="18"/>
                      <w:szCs w:val="18"/>
                    </w:rPr>
                  </w:pPr>
                  <w:r>
                    <w:rPr>
                      <w:rFonts w:hint="eastAsia"/>
                      <w:bCs/>
                      <w:color w:val="auto"/>
                      <w:sz w:val="18"/>
                      <w:szCs w:val="18"/>
                    </w:rPr>
                    <w:t>（t/a）</w:t>
                  </w:r>
                </w:p>
              </w:tc>
              <w:tc>
                <w:tcPr>
                  <w:tcW w:w="875" w:type="dxa"/>
                  <w:noWrap w:val="0"/>
                  <w:vAlign w:val="center"/>
                </w:tcPr>
                <w:p>
                  <w:pPr>
                    <w:jc w:val="center"/>
                    <w:textAlignment w:val="center"/>
                    <w:rPr>
                      <w:rFonts w:hint="eastAsia"/>
                      <w:bCs/>
                      <w:color w:val="auto"/>
                      <w:sz w:val="18"/>
                      <w:szCs w:val="18"/>
                    </w:rPr>
                  </w:pPr>
                  <w:r>
                    <w:rPr>
                      <w:bCs/>
                      <w:color w:val="auto"/>
                      <w:sz w:val="18"/>
                      <w:szCs w:val="18"/>
                    </w:rPr>
                    <w:t>浓度</w:t>
                  </w:r>
                </w:p>
                <w:p>
                  <w:pPr>
                    <w:jc w:val="center"/>
                    <w:textAlignment w:val="center"/>
                    <w:rPr>
                      <w:bCs/>
                      <w:color w:val="auto"/>
                      <w:spacing w:val="-12"/>
                      <w:sz w:val="18"/>
                      <w:szCs w:val="18"/>
                    </w:rPr>
                  </w:pPr>
                  <w:r>
                    <w:rPr>
                      <w:rFonts w:hint="eastAsia"/>
                      <w:bCs/>
                      <w:color w:val="auto"/>
                      <w:spacing w:val="-12"/>
                      <w:sz w:val="18"/>
                      <w:szCs w:val="18"/>
                    </w:rPr>
                    <w:t>（mg/m</w:t>
                  </w:r>
                  <w:r>
                    <w:rPr>
                      <w:rFonts w:hint="eastAsia"/>
                      <w:bCs/>
                      <w:color w:val="auto"/>
                      <w:spacing w:val="-12"/>
                      <w:sz w:val="18"/>
                      <w:szCs w:val="18"/>
                      <w:vertAlign w:val="superscript"/>
                    </w:rPr>
                    <w:t>3</w:t>
                  </w:r>
                  <w:r>
                    <w:rPr>
                      <w:rFonts w:hint="eastAsia"/>
                      <w:bCs/>
                      <w:color w:val="auto"/>
                      <w:spacing w:val="-12"/>
                      <w:sz w:val="18"/>
                      <w:szCs w:val="18"/>
                    </w:rPr>
                    <w:t>）</w:t>
                  </w:r>
                </w:p>
              </w:tc>
              <w:tc>
                <w:tcPr>
                  <w:tcW w:w="700" w:type="dxa"/>
                  <w:noWrap w:val="0"/>
                  <w:tcMar>
                    <w:top w:w="15" w:type="dxa"/>
                    <w:left w:w="15" w:type="dxa"/>
                    <w:bottom w:w="15" w:type="dxa"/>
                    <w:right w:w="15" w:type="dxa"/>
                  </w:tcMar>
                  <w:vAlign w:val="center"/>
                </w:tcPr>
                <w:p>
                  <w:pPr>
                    <w:jc w:val="center"/>
                    <w:textAlignment w:val="center"/>
                    <w:rPr>
                      <w:rFonts w:hint="eastAsia"/>
                      <w:bCs/>
                      <w:color w:val="auto"/>
                      <w:sz w:val="18"/>
                      <w:szCs w:val="18"/>
                    </w:rPr>
                  </w:pPr>
                  <w:r>
                    <w:rPr>
                      <w:bCs/>
                      <w:color w:val="auto"/>
                      <w:sz w:val="18"/>
                      <w:szCs w:val="18"/>
                    </w:rPr>
                    <w:t>速率</w:t>
                  </w:r>
                </w:p>
                <w:p>
                  <w:pPr>
                    <w:jc w:val="center"/>
                    <w:textAlignment w:val="center"/>
                    <w:rPr>
                      <w:bCs/>
                      <w:color w:val="auto"/>
                      <w:sz w:val="18"/>
                      <w:szCs w:val="18"/>
                    </w:rPr>
                  </w:pPr>
                  <w:r>
                    <w:rPr>
                      <w:rFonts w:hint="eastAsia"/>
                      <w:bCs/>
                      <w:color w:val="auto"/>
                      <w:sz w:val="18"/>
                      <w:szCs w:val="18"/>
                    </w:rPr>
                    <w:t>（kg/h）</w:t>
                  </w:r>
                </w:p>
              </w:tc>
              <w:tc>
                <w:tcPr>
                  <w:tcW w:w="665" w:type="dxa"/>
                  <w:vMerge w:val="continue"/>
                  <w:noWrap w:val="0"/>
                  <w:tcMar>
                    <w:top w:w="15" w:type="dxa"/>
                    <w:left w:w="15" w:type="dxa"/>
                    <w:bottom w:w="15" w:type="dxa"/>
                    <w:right w:w="15" w:type="dxa"/>
                  </w:tcMar>
                  <w:vAlign w:val="center"/>
                </w:tcPr>
                <w:p>
                  <w:pPr>
                    <w:jc w:val="center"/>
                    <w:textAlignment w:val="center"/>
                    <w:rPr>
                      <w:rFonts w:hint="default" w:eastAsia="宋体"/>
                      <w:bCs/>
                      <w:color w:val="auto"/>
                      <w:sz w:val="18"/>
                      <w:szCs w:val="18"/>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108" w:type="dxa"/>
                  <w:bottom w:w="0" w:type="dxa"/>
                  <w:right w:w="108" w:type="dxa"/>
                </w:tblCellMar>
              </w:tblPrEx>
              <w:trPr>
                <w:trHeight w:val="488" w:hRule="atLeast"/>
                <w:jc w:val="center"/>
              </w:trPr>
              <w:tc>
                <w:tcPr>
                  <w:tcW w:w="692" w:type="dxa"/>
                  <w:vMerge w:val="restart"/>
                  <w:noWrap w:val="0"/>
                  <w:tcMar>
                    <w:top w:w="15" w:type="dxa"/>
                    <w:left w:w="15" w:type="dxa"/>
                    <w:bottom w:w="15" w:type="dxa"/>
                    <w:right w:w="15" w:type="dxa"/>
                  </w:tcMar>
                  <w:vAlign w:val="center"/>
                </w:tcPr>
                <w:p>
                  <w:pPr>
                    <w:pStyle w:val="49"/>
                    <w:ind w:firstLine="0" w:firstLineChars="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DA001</w:t>
                  </w:r>
                </w:p>
              </w:tc>
              <w:tc>
                <w:tcPr>
                  <w:tcW w:w="693" w:type="dxa"/>
                  <w:vMerge w:val="restart"/>
                  <w:noWrap w:val="0"/>
                  <w:tcMar>
                    <w:top w:w="15" w:type="dxa"/>
                    <w:left w:w="15" w:type="dxa"/>
                    <w:bottom w:w="15" w:type="dxa"/>
                    <w:right w:w="15" w:type="dxa"/>
                  </w:tcMar>
                  <w:vAlign w:val="center"/>
                </w:tcPr>
                <w:p>
                  <w:pPr>
                    <w:pStyle w:val="49"/>
                    <w:ind w:firstLine="0" w:firstLineChars="0"/>
                    <w:jc w:val="center"/>
                    <w:rPr>
                      <w:rFonts w:hint="eastAsia" w:ascii="Times New Roman" w:hAnsi="Times New Roman" w:eastAsia="宋体" w:cs="Times New Roman"/>
                      <w:bCs/>
                      <w:color w:val="auto"/>
                      <w:kern w:val="2"/>
                      <w:sz w:val="18"/>
                      <w:szCs w:val="18"/>
                      <w:lang w:val="en-US" w:eastAsia="zh-CN" w:bidi="ar-SA"/>
                    </w:rPr>
                  </w:pPr>
                  <w:r>
                    <w:rPr>
                      <w:rFonts w:hint="eastAsia" w:ascii="Times New Roman" w:hAnsi="Times New Roman" w:cs="Times New Roman"/>
                      <w:color w:val="auto"/>
                      <w:sz w:val="18"/>
                      <w:szCs w:val="18"/>
                      <w:lang w:eastAsia="zh-CN"/>
                    </w:rPr>
                    <w:t>天然气燃烧</w:t>
                  </w:r>
                </w:p>
              </w:tc>
              <w:tc>
                <w:tcPr>
                  <w:tcW w:w="688" w:type="dxa"/>
                  <w:noWrap w:val="0"/>
                  <w:tcMar>
                    <w:top w:w="15" w:type="dxa"/>
                    <w:left w:w="15" w:type="dxa"/>
                    <w:bottom w:w="15" w:type="dxa"/>
                    <w:right w:w="15" w:type="dxa"/>
                  </w:tcMar>
                  <w:vAlign w:val="center"/>
                </w:tcPr>
                <w:p>
                  <w:pPr>
                    <w:pStyle w:val="49"/>
                    <w:ind w:firstLine="0" w:firstLineChars="0"/>
                    <w:jc w:val="center"/>
                    <w:rPr>
                      <w:rFonts w:hint="eastAsia" w:eastAsia="宋体" w:cs="Times New Roman"/>
                      <w:bCs/>
                      <w:color w:val="auto"/>
                      <w:sz w:val="18"/>
                      <w:szCs w:val="18"/>
                      <w:lang w:eastAsia="zh-CN"/>
                    </w:rPr>
                  </w:pPr>
                  <w:r>
                    <w:rPr>
                      <w:rFonts w:hint="eastAsia" w:ascii="Times New Roman" w:hAnsi="Times New Roman" w:cs="Times New Roman"/>
                      <w:color w:val="auto"/>
                      <w:sz w:val="18"/>
                      <w:szCs w:val="18"/>
                    </w:rPr>
                    <w:t>SO</w:t>
                  </w:r>
                  <w:r>
                    <w:rPr>
                      <w:rFonts w:hint="eastAsia" w:ascii="Times New Roman" w:hAnsi="Times New Roman" w:cs="Times New Roman"/>
                      <w:color w:val="auto"/>
                      <w:sz w:val="18"/>
                      <w:szCs w:val="18"/>
                      <w:vertAlign w:val="subscript"/>
                    </w:rPr>
                    <w:t>2</w:t>
                  </w:r>
                </w:p>
              </w:tc>
              <w:tc>
                <w:tcPr>
                  <w:tcW w:w="862" w:type="dxa"/>
                  <w:noWrap w:val="0"/>
                  <w:tcMar>
                    <w:top w:w="15" w:type="dxa"/>
                    <w:left w:w="15" w:type="dxa"/>
                    <w:bottom w:w="15" w:type="dxa"/>
                    <w:right w:w="15" w:type="dxa"/>
                  </w:tcMar>
                  <w:vAlign w:val="center"/>
                </w:tcPr>
                <w:p>
                  <w:pPr>
                    <w:adjustRightInd w:val="0"/>
                    <w:snapToGrid w:val="0"/>
                    <w:jc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color w:val="auto"/>
                      <w:sz w:val="18"/>
                      <w:szCs w:val="18"/>
                      <w:lang w:val="en-US" w:eastAsia="zh-CN"/>
                    </w:rPr>
                    <w:t xml:space="preserve">3.86 </w:t>
                  </w:r>
                </w:p>
              </w:tc>
              <w:tc>
                <w:tcPr>
                  <w:tcW w:w="838" w:type="dxa"/>
                  <w:noWrap w:val="0"/>
                  <w:tcMar>
                    <w:top w:w="15" w:type="dxa"/>
                    <w:left w:w="15" w:type="dxa"/>
                    <w:bottom w:w="15" w:type="dxa"/>
                    <w:right w:w="15" w:type="dxa"/>
                  </w:tcMar>
                  <w:vAlign w:val="center"/>
                </w:tcPr>
                <w:p>
                  <w:pPr>
                    <w:adjustRightInd w:val="0"/>
                    <w:snapToGrid w:val="0"/>
                    <w:jc w:val="center"/>
                    <w:rPr>
                      <w:rFonts w:hint="default" w:eastAsia="宋体"/>
                      <w:bCs/>
                      <w:color w:val="auto"/>
                      <w:sz w:val="18"/>
                      <w:szCs w:val="18"/>
                      <w:lang w:val="en-US" w:eastAsia="zh-CN"/>
                    </w:rPr>
                  </w:pPr>
                  <w:r>
                    <w:rPr>
                      <w:rFonts w:hint="default" w:ascii="Times New Roman" w:hAnsi="Times New Roman" w:eastAsia="宋体" w:cs="Times New Roman"/>
                      <w:color w:val="auto"/>
                      <w:sz w:val="18"/>
                      <w:szCs w:val="18"/>
                      <w:lang w:val="en-US" w:eastAsia="zh-CN"/>
                    </w:rPr>
                    <w:t xml:space="preserve">0.1080 </w:t>
                  </w:r>
                </w:p>
              </w:tc>
              <w:tc>
                <w:tcPr>
                  <w:tcW w:w="850" w:type="dxa"/>
                  <w:noWrap w:val="0"/>
                  <w:tcMar>
                    <w:top w:w="15" w:type="dxa"/>
                    <w:left w:w="15" w:type="dxa"/>
                    <w:bottom w:w="15" w:type="dxa"/>
                    <w:right w:w="15" w:type="dxa"/>
                  </w:tcMar>
                  <w:vAlign w:val="center"/>
                </w:tcPr>
                <w:p>
                  <w:pPr>
                    <w:adjustRightInd w:val="0"/>
                    <w:snapToGrid w:val="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color w:val="auto"/>
                      <w:sz w:val="18"/>
                      <w:szCs w:val="18"/>
                      <w:lang w:val="en-US" w:eastAsia="zh-CN"/>
                    </w:rPr>
                    <w:t>0.7776</w:t>
                  </w:r>
                </w:p>
              </w:tc>
              <w:tc>
                <w:tcPr>
                  <w:tcW w:w="512" w:type="dxa"/>
                  <w:vMerge w:val="restart"/>
                  <w:noWrap w:val="0"/>
                  <w:tcMar>
                    <w:top w:w="15" w:type="dxa"/>
                    <w:left w:w="15" w:type="dxa"/>
                    <w:bottom w:w="15" w:type="dxa"/>
                    <w:right w:w="15" w:type="dxa"/>
                  </w:tcMar>
                  <w:vAlign w:val="center"/>
                </w:tcPr>
                <w:p>
                  <w:pPr>
                    <w:jc w:val="center"/>
                    <w:textAlignment w:val="center"/>
                    <w:rPr>
                      <w:bCs/>
                      <w:color w:val="auto"/>
                      <w:sz w:val="18"/>
                      <w:szCs w:val="18"/>
                    </w:rPr>
                  </w:pPr>
                  <w:r>
                    <w:rPr>
                      <w:rFonts w:hint="eastAsia" w:ascii="Times New Roman" w:hAnsi="Times New Roman" w:eastAsia="宋体" w:cs="Times New Roman"/>
                      <w:bCs/>
                      <w:color w:val="auto"/>
                      <w:sz w:val="18"/>
                      <w:szCs w:val="18"/>
                      <w:lang w:eastAsia="zh-CN"/>
                    </w:rPr>
                    <w:t>有</w:t>
                  </w:r>
                  <w:r>
                    <w:rPr>
                      <w:rFonts w:hint="eastAsia" w:ascii="Times New Roman" w:hAnsi="Times New Roman" w:eastAsia="宋体" w:cs="Times New Roman"/>
                      <w:bCs/>
                      <w:color w:val="auto"/>
                      <w:sz w:val="18"/>
                      <w:szCs w:val="18"/>
                    </w:rPr>
                    <w:t>组织</w:t>
                  </w:r>
                </w:p>
              </w:tc>
              <w:tc>
                <w:tcPr>
                  <w:tcW w:w="775" w:type="dxa"/>
                  <w:vMerge w:val="restart"/>
                  <w:noWrap w:val="0"/>
                  <w:tcMar>
                    <w:top w:w="15" w:type="dxa"/>
                    <w:left w:w="15" w:type="dxa"/>
                    <w:bottom w:w="15" w:type="dxa"/>
                    <w:right w:w="15" w:type="dxa"/>
                  </w:tcMar>
                  <w:vAlign w:val="center"/>
                </w:tcPr>
                <w:p>
                  <w:pPr>
                    <w:jc w:val="center"/>
                    <w:textAlignment w:val="center"/>
                    <w:rPr>
                      <w:rFonts w:hint="eastAsia" w:eastAsia="宋体" w:cs="Times New Roman"/>
                      <w:bCs/>
                      <w:color w:val="auto"/>
                      <w:sz w:val="18"/>
                      <w:szCs w:val="18"/>
                      <w:lang w:val="en-US" w:eastAsia="zh-CN"/>
                    </w:rPr>
                  </w:pPr>
                  <w:r>
                    <w:rPr>
                      <w:rFonts w:hint="eastAsia" w:cs="Times New Roman"/>
                      <w:bCs/>
                      <w:color w:val="auto"/>
                      <w:sz w:val="18"/>
                      <w:szCs w:val="18"/>
                      <w:lang w:val="en-US" w:eastAsia="zh-CN"/>
                    </w:rPr>
                    <w:t>低氮燃烧</w:t>
                  </w:r>
                </w:p>
              </w:tc>
              <w:tc>
                <w:tcPr>
                  <w:tcW w:w="688" w:type="dxa"/>
                  <w:vMerge w:val="restart"/>
                  <w:noWrap w:val="0"/>
                  <w:vAlign w:val="center"/>
                </w:tcPr>
                <w:p>
                  <w:pPr>
                    <w:jc w:val="center"/>
                    <w:textAlignment w:val="center"/>
                    <w:rPr>
                      <w:rFonts w:hint="default" w:eastAsia="宋体" w:cs="Times New Roman"/>
                      <w:bCs/>
                      <w:color w:val="auto"/>
                      <w:sz w:val="18"/>
                      <w:szCs w:val="18"/>
                      <w:lang w:val="en-US" w:eastAsia="zh-CN"/>
                    </w:rPr>
                  </w:pPr>
                  <w:r>
                    <w:rPr>
                      <w:rFonts w:hint="eastAsia"/>
                      <w:bCs/>
                      <w:color w:val="auto"/>
                      <w:sz w:val="18"/>
                      <w:szCs w:val="18"/>
                      <w:lang w:val="en-US" w:eastAsia="zh-CN"/>
                    </w:rPr>
                    <w:t>120</w:t>
                  </w:r>
                  <w:r>
                    <w:rPr>
                      <w:rFonts w:hint="eastAsia"/>
                      <w:bCs/>
                      <w:color w:val="auto"/>
                      <w:sz w:val="18"/>
                      <w:szCs w:val="18"/>
                    </w:rPr>
                    <w:t>00m</w:t>
                  </w:r>
                  <w:r>
                    <w:rPr>
                      <w:rFonts w:hint="eastAsia"/>
                      <w:bCs/>
                      <w:color w:val="auto"/>
                      <w:sz w:val="18"/>
                      <w:szCs w:val="18"/>
                      <w:vertAlign w:val="superscript"/>
                    </w:rPr>
                    <w:t>3</w:t>
                  </w:r>
                  <w:r>
                    <w:rPr>
                      <w:rFonts w:hint="eastAsia"/>
                      <w:bCs/>
                      <w:color w:val="auto"/>
                      <w:sz w:val="18"/>
                      <w:szCs w:val="18"/>
                    </w:rPr>
                    <w:t>/h</w:t>
                  </w:r>
                </w:p>
              </w:tc>
              <w:tc>
                <w:tcPr>
                  <w:tcW w:w="700" w:type="dxa"/>
                  <w:vMerge w:val="restart"/>
                  <w:noWrap w:val="0"/>
                  <w:vAlign w:val="center"/>
                </w:tcPr>
                <w:p>
                  <w:pPr>
                    <w:jc w:val="center"/>
                    <w:textAlignment w:val="center"/>
                    <w:rPr>
                      <w:rFonts w:hint="eastAsia" w:eastAsia="宋体" w:cs="Times New Roman"/>
                      <w:bCs/>
                      <w:color w:val="auto"/>
                      <w:sz w:val="18"/>
                      <w:szCs w:val="18"/>
                      <w:lang w:val="en-US" w:eastAsia="zh-CN"/>
                    </w:rPr>
                  </w:pPr>
                  <w:r>
                    <w:rPr>
                      <w:rFonts w:hint="eastAsia" w:eastAsia="宋体" w:cs="Times New Roman"/>
                      <w:bCs/>
                      <w:color w:val="auto"/>
                      <w:sz w:val="18"/>
                      <w:szCs w:val="18"/>
                      <w:lang w:val="en-US" w:eastAsia="zh-CN"/>
                    </w:rPr>
                    <w:t>100%</w:t>
                  </w:r>
                </w:p>
              </w:tc>
              <w:tc>
                <w:tcPr>
                  <w:tcW w:w="612" w:type="dxa"/>
                  <w:noWrap w:val="0"/>
                  <w:vAlign w:val="center"/>
                </w:tcPr>
                <w:p>
                  <w:pPr>
                    <w:jc w:val="center"/>
                    <w:textAlignment w:val="center"/>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0%</w:t>
                  </w:r>
                </w:p>
              </w:tc>
              <w:tc>
                <w:tcPr>
                  <w:tcW w:w="1013" w:type="dxa"/>
                  <w:noWrap w:val="0"/>
                  <w:vAlign w:val="center"/>
                </w:tcPr>
                <w:p>
                  <w:pPr>
                    <w:adjustRightInd w:val="0"/>
                    <w:snapToGrid w:val="0"/>
                    <w:jc w:val="center"/>
                    <w:rPr>
                      <w:rFonts w:hint="default" w:eastAsia="宋体"/>
                      <w:bCs/>
                      <w:color w:val="auto"/>
                      <w:sz w:val="18"/>
                      <w:szCs w:val="18"/>
                      <w:lang w:val="en-US" w:eastAsia="zh-CN"/>
                    </w:rPr>
                  </w:pPr>
                  <w:r>
                    <w:rPr>
                      <w:rFonts w:hint="default" w:ascii="Times New Roman" w:hAnsi="Times New Roman" w:eastAsia="宋体" w:cs="Times New Roman"/>
                      <w:color w:val="auto"/>
                      <w:sz w:val="18"/>
                      <w:szCs w:val="18"/>
                      <w:lang w:val="en-US" w:eastAsia="zh-CN"/>
                    </w:rPr>
                    <w:t xml:space="preserve">3.86 </w:t>
                  </w:r>
                </w:p>
              </w:tc>
              <w:tc>
                <w:tcPr>
                  <w:tcW w:w="975" w:type="dxa"/>
                  <w:noWrap w:val="0"/>
                  <w:vAlign w:val="center"/>
                </w:tcPr>
                <w:p>
                  <w:pPr>
                    <w:adjustRightInd w:val="0"/>
                    <w:snapToGrid w:val="0"/>
                    <w:jc w:val="center"/>
                    <w:rPr>
                      <w:rFonts w:hint="default" w:eastAsia="宋体"/>
                      <w:bCs/>
                      <w:color w:val="auto"/>
                      <w:sz w:val="18"/>
                      <w:szCs w:val="18"/>
                      <w:lang w:val="en-US" w:eastAsia="zh-CN"/>
                    </w:rPr>
                  </w:pPr>
                  <w:r>
                    <w:rPr>
                      <w:rFonts w:hint="default" w:ascii="Times New Roman" w:hAnsi="Times New Roman" w:eastAsia="宋体" w:cs="Times New Roman"/>
                      <w:color w:val="auto"/>
                      <w:sz w:val="18"/>
                      <w:szCs w:val="18"/>
                      <w:lang w:val="en-US" w:eastAsia="zh-CN"/>
                    </w:rPr>
                    <w:t xml:space="preserve">0.1080 </w:t>
                  </w:r>
                </w:p>
              </w:tc>
              <w:tc>
                <w:tcPr>
                  <w:tcW w:w="887" w:type="dxa"/>
                  <w:noWrap w:val="0"/>
                  <w:vAlign w:val="center"/>
                </w:tcPr>
                <w:p>
                  <w:pPr>
                    <w:adjustRightInd w:val="0"/>
                    <w:snapToGrid w:val="0"/>
                    <w:jc w:val="center"/>
                    <w:rPr>
                      <w:rFonts w:hint="default" w:eastAsia="宋体"/>
                      <w:bCs/>
                      <w:color w:val="auto"/>
                      <w:sz w:val="18"/>
                      <w:szCs w:val="18"/>
                      <w:lang w:val="en-US" w:eastAsia="zh-CN"/>
                    </w:rPr>
                  </w:pPr>
                  <w:r>
                    <w:rPr>
                      <w:rFonts w:hint="eastAsia" w:ascii="Times New Roman" w:hAnsi="Times New Roman" w:eastAsia="宋体" w:cs="Times New Roman"/>
                      <w:color w:val="auto"/>
                      <w:sz w:val="18"/>
                      <w:szCs w:val="18"/>
                      <w:lang w:val="en-US" w:eastAsia="zh-CN"/>
                    </w:rPr>
                    <w:t>0.7776</w:t>
                  </w:r>
                </w:p>
              </w:tc>
              <w:tc>
                <w:tcPr>
                  <w:tcW w:w="875" w:type="dxa"/>
                  <w:noWrap w:val="0"/>
                  <w:vAlign w:val="center"/>
                </w:tcPr>
                <w:p>
                  <w:pPr>
                    <w:pStyle w:val="30"/>
                    <w:keepNext w:val="0"/>
                    <w:keepLines w:val="0"/>
                    <w:pageBreakBefore w:val="0"/>
                    <w:widowControl/>
                    <w:kinsoku/>
                    <w:wordWrap/>
                    <w:overflowPunct/>
                    <w:topLinePunct w:val="0"/>
                    <w:autoSpaceDE/>
                    <w:autoSpaceDN/>
                    <w:bidi w:val="0"/>
                    <w:spacing w:line="240" w:lineRule="auto"/>
                    <w:ind w:firstLine="0" w:firstLineChars="0"/>
                    <w:textAlignment w:val="auto"/>
                    <w:rPr>
                      <w:rFonts w:hint="default" w:eastAsia="宋体"/>
                      <w:bCs/>
                      <w:color w:val="auto"/>
                      <w:sz w:val="18"/>
                      <w:szCs w:val="18"/>
                      <w:lang w:val="en-US" w:eastAsia="zh-CN"/>
                    </w:rPr>
                  </w:pPr>
                  <w:r>
                    <w:rPr>
                      <w:rFonts w:hint="eastAsia" w:ascii="Times New Roman" w:hAnsi="Times New Roman" w:eastAsia="宋体" w:cs="Times New Roman"/>
                      <w:color w:val="auto"/>
                      <w:kern w:val="2"/>
                      <w:sz w:val="18"/>
                      <w:szCs w:val="18"/>
                      <w:lang w:val="en-US" w:eastAsia="zh-CN"/>
                    </w:rPr>
                    <w:t>80</w:t>
                  </w:r>
                </w:p>
              </w:tc>
              <w:tc>
                <w:tcPr>
                  <w:tcW w:w="700" w:type="dxa"/>
                  <w:noWrap w:val="0"/>
                  <w:tcMar>
                    <w:top w:w="15" w:type="dxa"/>
                    <w:left w:w="15" w:type="dxa"/>
                    <w:bottom w:w="15" w:type="dxa"/>
                    <w:right w:w="15" w:type="dxa"/>
                  </w:tcMar>
                  <w:vAlign w:val="center"/>
                </w:tcPr>
                <w:p>
                  <w:pPr>
                    <w:jc w:val="center"/>
                    <w:textAlignment w:val="center"/>
                    <w:rPr>
                      <w:rFonts w:hint="default" w:eastAsia="宋体"/>
                      <w:bCs/>
                      <w:color w:val="auto"/>
                      <w:sz w:val="18"/>
                      <w:szCs w:val="18"/>
                      <w:lang w:val="en-US" w:eastAsia="zh-CN"/>
                    </w:rPr>
                  </w:pPr>
                  <w:r>
                    <w:rPr>
                      <w:rFonts w:hint="eastAsia" w:ascii="Times New Roman" w:hAnsi="Times New Roman" w:eastAsia="宋体" w:cs="Times New Roman"/>
                      <w:bCs/>
                      <w:color w:val="auto"/>
                      <w:sz w:val="18"/>
                      <w:szCs w:val="18"/>
                      <w:lang w:val="en-US" w:eastAsia="zh-CN"/>
                    </w:rPr>
                    <w:t>/</w:t>
                  </w:r>
                </w:p>
              </w:tc>
              <w:tc>
                <w:tcPr>
                  <w:tcW w:w="665" w:type="dxa"/>
                  <w:noWrap w:val="0"/>
                  <w:tcMar>
                    <w:top w:w="15" w:type="dxa"/>
                    <w:left w:w="15" w:type="dxa"/>
                    <w:bottom w:w="15" w:type="dxa"/>
                    <w:right w:w="15" w:type="dxa"/>
                  </w:tcMar>
                  <w:vAlign w:val="center"/>
                </w:tcPr>
                <w:p>
                  <w:pPr>
                    <w:jc w:val="center"/>
                    <w:textAlignment w:val="center"/>
                    <w:rPr>
                      <w:rFonts w:hint="eastAsia" w:eastAsia="宋体"/>
                      <w:bCs/>
                      <w:color w:val="auto"/>
                      <w:sz w:val="18"/>
                      <w:szCs w:val="18"/>
                      <w:lang w:val="en-US" w:eastAsia="zh-CN"/>
                    </w:rPr>
                  </w:pPr>
                  <w:r>
                    <w:rPr>
                      <w:rFonts w:hint="eastAsia"/>
                      <w:bCs/>
                      <w:color w:val="auto"/>
                      <w:sz w:val="18"/>
                      <w:szCs w:val="18"/>
                      <w:lang w:val="en-US" w:eastAsia="zh-CN"/>
                    </w:rPr>
                    <w:t>7200h</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108" w:type="dxa"/>
                  <w:bottom w:w="0" w:type="dxa"/>
                  <w:right w:w="108" w:type="dxa"/>
                </w:tblCellMar>
              </w:tblPrEx>
              <w:trPr>
                <w:trHeight w:val="545" w:hRule="atLeast"/>
                <w:jc w:val="center"/>
              </w:trPr>
              <w:tc>
                <w:tcPr>
                  <w:tcW w:w="692" w:type="dxa"/>
                  <w:vMerge w:val="continue"/>
                  <w:noWrap w:val="0"/>
                  <w:tcMar>
                    <w:top w:w="15" w:type="dxa"/>
                    <w:left w:w="15" w:type="dxa"/>
                    <w:bottom w:w="15" w:type="dxa"/>
                    <w:right w:w="15" w:type="dxa"/>
                  </w:tcMar>
                  <w:vAlign w:val="center"/>
                </w:tcPr>
                <w:p>
                  <w:pPr>
                    <w:jc w:val="center"/>
                    <w:textAlignment w:val="center"/>
                    <w:rPr>
                      <w:rFonts w:hint="default" w:ascii="Times New Roman" w:hAnsi="Times New Roman" w:eastAsia="宋体" w:cs="Times New Roman"/>
                      <w:bCs/>
                      <w:color w:val="auto"/>
                      <w:sz w:val="18"/>
                      <w:szCs w:val="18"/>
                      <w:lang w:val="en-US" w:eastAsia="zh-CN"/>
                    </w:rPr>
                  </w:pPr>
                </w:p>
              </w:tc>
              <w:tc>
                <w:tcPr>
                  <w:tcW w:w="693" w:type="dxa"/>
                  <w:vMerge w:val="continue"/>
                  <w:noWrap w:val="0"/>
                  <w:tcMar>
                    <w:top w:w="15" w:type="dxa"/>
                    <w:left w:w="15" w:type="dxa"/>
                    <w:bottom w:w="15" w:type="dxa"/>
                    <w:right w:w="15" w:type="dxa"/>
                  </w:tcMar>
                  <w:vAlign w:val="center"/>
                </w:tcPr>
                <w:p>
                  <w:pPr>
                    <w:jc w:val="center"/>
                    <w:textAlignment w:val="center"/>
                    <w:rPr>
                      <w:rFonts w:hint="eastAsia" w:ascii="Times New Roman" w:hAnsi="Times New Roman" w:eastAsia="宋体" w:cs="Times New Roman"/>
                      <w:bCs/>
                      <w:color w:val="auto"/>
                      <w:kern w:val="2"/>
                      <w:sz w:val="18"/>
                      <w:szCs w:val="18"/>
                      <w:lang w:val="en-US" w:eastAsia="zh-CN" w:bidi="ar-SA"/>
                    </w:rPr>
                  </w:pPr>
                </w:p>
              </w:tc>
              <w:tc>
                <w:tcPr>
                  <w:tcW w:w="688" w:type="dxa"/>
                  <w:noWrap w:val="0"/>
                  <w:tcMar>
                    <w:top w:w="15" w:type="dxa"/>
                    <w:left w:w="15" w:type="dxa"/>
                    <w:bottom w:w="15" w:type="dxa"/>
                    <w:right w:w="15" w:type="dxa"/>
                  </w:tcMar>
                  <w:vAlign w:val="center"/>
                </w:tcPr>
                <w:p>
                  <w:pPr>
                    <w:pStyle w:val="49"/>
                    <w:ind w:firstLine="0" w:firstLineChars="0"/>
                    <w:jc w:val="center"/>
                    <w:rPr>
                      <w:rFonts w:hint="eastAsia" w:eastAsia="宋体" w:cs="Times New Roman"/>
                      <w:bCs/>
                      <w:color w:val="auto"/>
                      <w:sz w:val="18"/>
                      <w:szCs w:val="18"/>
                      <w:lang w:val="en-US" w:eastAsia="zh-CN"/>
                    </w:rPr>
                  </w:pPr>
                  <w:r>
                    <w:rPr>
                      <w:rFonts w:hint="eastAsia" w:ascii="Times New Roman" w:hAnsi="Times New Roman" w:cs="Times New Roman"/>
                      <w:color w:val="auto"/>
                      <w:sz w:val="18"/>
                      <w:szCs w:val="18"/>
                    </w:rPr>
                    <w:t>NOx</w:t>
                  </w:r>
                </w:p>
              </w:tc>
              <w:tc>
                <w:tcPr>
                  <w:tcW w:w="862" w:type="dxa"/>
                  <w:noWrap w:val="0"/>
                  <w:tcMar>
                    <w:top w:w="15" w:type="dxa"/>
                    <w:left w:w="15" w:type="dxa"/>
                    <w:bottom w:w="15" w:type="dxa"/>
                    <w:right w:w="15" w:type="dxa"/>
                  </w:tcMar>
                  <w:vAlign w:val="center"/>
                </w:tcPr>
                <w:p>
                  <w:pPr>
                    <w:adjustRightInd w:val="0"/>
                    <w:snapToGrid w:val="0"/>
                    <w:jc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color w:val="auto"/>
                      <w:sz w:val="18"/>
                      <w:szCs w:val="18"/>
                      <w:lang w:val="en-US" w:eastAsia="zh-CN"/>
                    </w:rPr>
                    <w:t xml:space="preserve">36.06 </w:t>
                  </w:r>
                </w:p>
              </w:tc>
              <w:tc>
                <w:tcPr>
                  <w:tcW w:w="838" w:type="dxa"/>
                  <w:noWrap w:val="0"/>
                  <w:tcMar>
                    <w:top w:w="15" w:type="dxa"/>
                    <w:left w:w="15" w:type="dxa"/>
                    <w:bottom w:w="15" w:type="dxa"/>
                    <w:right w:w="15" w:type="dxa"/>
                  </w:tcMar>
                  <w:vAlign w:val="center"/>
                </w:tcPr>
                <w:p>
                  <w:pPr>
                    <w:adjustRightInd w:val="0"/>
                    <w:snapToGrid w:val="0"/>
                    <w:jc w:val="center"/>
                    <w:rPr>
                      <w:rFonts w:hint="eastAsia" w:eastAsia="宋体"/>
                      <w:bCs/>
                      <w:color w:val="auto"/>
                      <w:sz w:val="18"/>
                      <w:szCs w:val="18"/>
                      <w:lang w:val="en-US" w:eastAsia="zh-CN"/>
                    </w:rPr>
                  </w:pPr>
                  <w:r>
                    <w:rPr>
                      <w:rFonts w:hint="default" w:ascii="Times New Roman" w:hAnsi="Times New Roman" w:eastAsia="宋体" w:cs="Times New Roman"/>
                      <w:color w:val="auto"/>
                      <w:sz w:val="18"/>
                      <w:szCs w:val="18"/>
                      <w:lang w:val="en-US" w:eastAsia="zh-CN"/>
                    </w:rPr>
                    <w:t xml:space="preserve">1.0098 </w:t>
                  </w:r>
                </w:p>
              </w:tc>
              <w:tc>
                <w:tcPr>
                  <w:tcW w:w="850" w:type="dxa"/>
                  <w:noWrap w:val="0"/>
                  <w:tcMar>
                    <w:top w:w="15" w:type="dxa"/>
                    <w:left w:w="15" w:type="dxa"/>
                    <w:bottom w:w="15" w:type="dxa"/>
                    <w:right w:w="15" w:type="dxa"/>
                  </w:tcMar>
                  <w:vAlign w:val="center"/>
                </w:tcPr>
                <w:p>
                  <w:pPr>
                    <w:adjustRightInd w:val="0"/>
                    <w:snapToGrid w:val="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color w:val="auto"/>
                      <w:sz w:val="18"/>
                      <w:szCs w:val="18"/>
                      <w:lang w:val="en-US" w:eastAsia="zh-CN"/>
                    </w:rPr>
                    <w:t>7.2706</w:t>
                  </w:r>
                </w:p>
              </w:tc>
              <w:tc>
                <w:tcPr>
                  <w:tcW w:w="512" w:type="dxa"/>
                  <w:vMerge w:val="continue"/>
                  <w:noWrap w:val="0"/>
                  <w:tcMar>
                    <w:top w:w="15" w:type="dxa"/>
                    <w:left w:w="15" w:type="dxa"/>
                    <w:bottom w:w="15" w:type="dxa"/>
                    <w:right w:w="15" w:type="dxa"/>
                  </w:tcMar>
                  <w:vAlign w:val="center"/>
                </w:tcPr>
                <w:p>
                  <w:pPr>
                    <w:jc w:val="center"/>
                    <w:textAlignment w:val="center"/>
                    <w:rPr>
                      <w:bCs/>
                      <w:color w:val="auto"/>
                      <w:sz w:val="18"/>
                      <w:szCs w:val="18"/>
                    </w:rPr>
                  </w:pPr>
                </w:p>
              </w:tc>
              <w:tc>
                <w:tcPr>
                  <w:tcW w:w="775" w:type="dxa"/>
                  <w:vMerge w:val="continue"/>
                  <w:noWrap w:val="0"/>
                  <w:tcMar>
                    <w:top w:w="15" w:type="dxa"/>
                    <w:left w:w="15" w:type="dxa"/>
                    <w:bottom w:w="15" w:type="dxa"/>
                    <w:right w:w="15" w:type="dxa"/>
                  </w:tcMar>
                  <w:vAlign w:val="center"/>
                </w:tcPr>
                <w:p>
                  <w:pPr>
                    <w:jc w:val="center"/>
                    <w:textAlignment w:val="center"/>
                    <w:rPr>
                      <w:rFonts w:hint="eastAsia" w:eastAsia="宋体" w:cs="Times New Roman"/>
                      <w:bCs/>
                      <w:color w:val="auto"/>
                      <w:sz w:val="18"/>
                      <w:szCs w:val="18"/>
                      <w:lang w:val="en-US" w:eastAsia="zh-CN"/>
                    </w:rPr>
                  </w:pPr>
                </w:p>
              </w:tc>
              <w:tc>
                <w:tcPr>
                  <w:tcW w:w="688" w:type="dxa"/>
                  <w:vMerge w:val="continue"/>
                  <w:noWrap w:val="0"/>
                  <w:vAlign w:val="center"/>
                </w:tcPr>
                <w:p>
                  <w:pPr>
                    <w:jc w:val="center"/>
                    <w:textAlignment w:val="center"/>
                    <w:rPr>
                      <w:rFonts w:hint="eastAsia"/>
                      <w:bCs/>
                      <w:color w:val="auto"/>
                      <w:sz w:val="18"/>
                      <w:szCs w:val="18"/>
                    </w:rPr>
                  </w:pPr>
                </w:p>
              </w:tc>
              <w:tc>
                <w:tcPr>
                  <w:tcW w:w="700" w:type="dxa"/>
                  <w:vMerge w:val="continue"/>
                  <w:noWrap w:val="0"/>
                  <w:vAlign w:val="center"/>
                </w:tcPr>
                <w:p>
                  <w:pPr>
                    <w:jc w:val="center"/>
                    <w:textAlignment w:val="center"/>
                    <w:rPr>
                      <w:rFonts w:hint="eastAsia"/>
                      <w:bCs/>
                      <w:color w:val="auto"/>
                      <w:sz w:val="18"/>
                      <w:szCs w:val="18"/>
                    </w:rPr>
                  </w:pPr>
                </w:p>
              </w:tc>
              <w:tc>
                <w:tcPr>
                  <w:tcW w:w="612" w:type="dxa"/>
                  <w:noWrap w:val="0"/>
                  <w:vAlign w:val="center"/>
                </w:tcPr>
                <w:p>
                  <w:pPr>
                    <w:jc w:val="center"/>
                    <w:textAlignment w:val="center"/>
                    <w:rPr>
                      <w:rFonts w:hint="default" w:ascii="Times New Roman" w:hAnsi="Times New Roman" w:eastAsia="宋体" w:cs="Times New Roman"/>
                      <w:bCs/>
                      <w:color w:val="auto"/>
                      <w:sz w:val="18"/>
                      <w:szCs w:val="18"/>
                      <w:lang w:val="en-US" w:eastAsia="zh-CN"/>
                    </w:rPr>
                  </w:pPr>
                  <w:r>
                    <w:rPr>
                      <w:rFonts w:hint="eastAsia" w:cs="Times New Roman"/>
                      <w:bCs/>
                      <w:color w:val="auto"/>
                      <w:sz w:val="18"/>
                      <w:szCs w:val="18"/>
                      <w:lang w:val="en-US" w:eastAsia="zh-CN"/>
                    </w:rPr>
                    <w:t>50%</w:t>
                  </w:r>
                </w:p>
              </w:tc>
              <w:tc>
                <w:tcPr>
                  <w:tcW w:w="1013" w:type="dxa"/>
                  <w:noWrap w:val="0"/>
                  <w:vAlign w:val="center"/>
                </w:tcPr>
                <w:p>
                  <w:pPr>
                    <w:adjustRightInd w:val="0"/>
                    <w:snapToGrid w:val="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color w:val="auto"/>
                      <w:sz w:val="18"/>
                      <w:szCs w:val="18"/>
                      <w:lang w:val="en-US" w:eastAsia="zh-CN"/>
                    </w:rPr>
                    <w:t>42.08</w:t>
                  </w:r>
                  <w:r>
                    <w:rPr>
                      <w:rFonts w:hint="default" w:ascii="Times New Roman" w:hAnsi="Times New Roman" w:eastAsia="宋体" w:cs="Times New Roman"/>
                      <w:color w:val="auto"/>
                      <w:sz w:val="18"/>
                      <w:szCs w:val="18"/>
                      <w:lang w:val="en-US" w:eastAsia="zh-CN"/>
                    </w:rPr>
                    <w:t xml:space="preserve"> </w:t>
                  </w:r>
                </w:p>
              </w:tc>
              <w:tc>
                <w:tcPr>
                  <w:tcW w:w="975" w:type="dxa"/>
                  <w:noWrap w:val="0"/>
                  <w:vAlign w:val="center"/>
                </w:tcPr>
                <w:p>
                  <w:pPr>
                    <w:adjustRightInd w:val="0"/>
                    <w:snapToGrid w:val="0"/>
                    <w:jc w:val="center"/>
                    <w:rPr>
                      <w:rFonts w:hint="eastAsia" w:eastAsia="宋体"/>
                      <w:bCs/>
                      <w:color w:val="auto"/>
                      <w:sz w:val="18"/>
                      <w:szCs w:val="18"/>
                      <w:lang w:val="en-US" w:eastAsia="zh-CN"/>
                    </w:rPr>
                  </w:pPr>
                  <w:r>
                    <w:rPr>
                      <w:rFonts w:hint="default" w:ascii="Times New Roman" w:hAnsi="Times New Roman" w:eastAsia="宋体" w:cs="Times New Roman"/>
                      <w:color w:val="auto"/>
                      <w:sz w:val="18"/>
                      <w:szCs w:val="18"/>
                      <w:lang w:val="en-US" w:eastAsia="zh-CN"/>
                    </w:rPr>
                    <w:t xml:space="preserve">0.5049 </w:t>
                  </w:r>
                </w:p>
              </w:tc>
              <w:tc>
                <w:tcPr>
                  <w:tcW w:w="887" w:type="dxa"/>
                  <w:noWrap w:val="0"/>
                  <w:vAlign w:val="center"/>
                </w:tcPr>
                <w:p>
                  <w:pPr>
                    <w:adjustRightInd w:val="0"/>
                    <w:snapToGrid w:val="0"/>
                    <w:jc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color w:val="auto"/>
                      <w:sz w:val="18"/>
                      <w:szCs w:val="18"/>
                      <w:lang w:val="en-US" w:eastAsia="zh-CN"/>
                    </w:rPr>
                    <w:t xml:space="preserve">3.6353 </w:t>
                  </w:r>
                </w:p>
              </w:tc>
              <w:tc>
                <w:tcPr>
                  <w:tcW w:w="875" w:type="dxa"/>
                  <w:noWrap w:val="0"/>
                  <w:vAlign w:val="center"/>
                </w:tcPr>
                <w:p>
                  <w:pPr>
                    <w:pStyle w:val="30"/>
                    <w:keepNext w:val="0"/>
                    <w:keepLines w:val="0"/>
                    <w:pageBreakBefore w:val="0"/>
                    <w:widowControl/>
                    <w:kinsoku/>
                    <w:wordWrap/>
                    <w:overflowPunct/>
                    <w:topLinePunct w:val="0"/>
                    <w:autoSpaceDE/>
                    <w:autoSpaceDN/>
                    <w:bidi w:val="0"/>
                    <w:spacing w:line="240" w:lineRule="auto"/>
                    <w:ind w:firstLine="0" w:firstLineChars="0"/>
                    <w:textAlignment w:val="auto"/>
                    <w:rPr>
                      <w:rFonts w:hint="eastAsia"/>
                      <w:bCs/>
                      <w:color w:val="auto"/>
                      <w:sz w:val="18"/>
                      <w:szCs w:val="18"/>
                    </w:rPr>
                  </w:pPr>
                  <w:r>
                    <w:rPr>
                      <w:rFonts w:hint="eastAsia" w:ascii="Times New Roman" w:hAnsi="Times New Roman" w:eastAsia="宋体" w:cs="Times New Roman"/>
                      <w:color w:val="auto"/>
                      <w:kern w:val="2"/>
                      <w:sz w:val="18"/>
                      <w:szCs w:val="18"/>
                      <w:lang w:val="en-US" w:eastAsia="zh-CN"/>
                    </w:rPr>
                    <w:t>180</w:t>
                  </w:r>
                </w:p>
              </w:tc>
              <w:tc>
                <w:tcPr>
                  <w:tcW w:w="700" w:type="dxa"/>
                  <w:noWrap w:val="0"/>
                  <w:tcMar>
                    <w:top w:w="15" w:type="dxa"/>
                    <w:left w:w="15" w:type="dxa"/>
                    <w:bottom w:w="15" w:type="dxa"/>
                    <w:right w:w="15" w:type="dxa"/>
                  </w:tcMar>
                  <w:vAlign w:val="center"/>
                </w:tcPr>
                <w:p>
                  <w:pPr>
                    <w:jc w:val="center"/>
                    <w:textAlignment w:val="center"/>
                    <w:rPr>
                      <w:rFonts w:hint="eastAsia"/>
                      <w:bCs/>
                      <w:color w:val="auto"/>
                      <w:sz w:val="18"/>
                      <w:szCs w:val="18"/>
                    </w:rPr>
                  </w:pPr>
                  <w:r>
                    <w:rPr>
                      <w:rFonts w:hint="eastAsia" w:ascii="Times New Roman" w:hAnsi="Times New Roman" w:eastAsia="宋体" w:cs="Times New Roman"/>
                      <w:bCs/>
                      <w:color w:val="auto"/>
                      <w:sz w:val="18"/>
                      <w:szCs w:val="18"/>
                      <w:lang w:val="en-US" w:eastAsia="zh-CN"/>
                    </w:rPr>
                    <w:t>/</w:t>
                  </w:r>
                </w:p>
              </w:tc>
              <w:tc>
                <w:tcPr>
                  <w:tcW w:w="665" w:type="dxa"/>
                  <w:noWrap w:val="0"/>
                  <w:tcMar>
                    <w:top w:w="15" w:type="dxa"/>
                    <w:left w:w="15" w:type="dxa"/>
                    <w:bottom w:w="15" w:type="dxa"/>
                    <w:right w:w="15" w:type="dxa"/>
                  </w:tcMar>
                  <w:vAlign w:val="center"/>
                </w:tcPr>
                <w:p>
                  <w:pPr>
                    <w:jc w:val="center"/>
                    <w:textAlignment w:val="center"/>
                    <w:rPr>
                      <w:rFonts w:hint="eastAsia" w:eastAsia="宋体"/>
                      <w:bCs/>
                      <w:color w:val="auto"/>
                      <w:sz w:val="18"/>
                      <w:szCs w:val="18"/>
                      <w:lang w:val="en-US" w:eastAsia="zh-CN"/>
                    </w:rPr>
                  </w:pPr>
                  <w:r>
                    <w:rPr>
                      <w:rFonts w:hint="eastAsia"/>
                      <w:bCs/>
                      <w:color w:val="auto"/>
                      <w:sz w:val="18"/>
                      <w:szCs w:val="18"/>
                      <w:lang w:val="en-US" w:eastAsia="zh-CN"/>
                    </w:rPr>
                    <w:t>7200h</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108" w:type="dxa"/>
                  <w:bottom w:w="0" w:type="dxa"/>
                  <w:right w:w="108" w:type="dxa"/>
                </w:tblCellMar>
              </w:tblPrEx>
              <w:trPr>
                <w:trHeight w:val="545" w:hRule="atLeast"/>
                <w:jc w:val="center"/>
              </w:trPr>
              <w:tc>
                <w:tcPr>
                  <w:tcW w:w="692" w:type="dxa"/>
                  <w:vMerge w:val="continue"/>
                  <w:noWrap w:val="0"/>
                  <w:tcMar>
                    <w:top w:w="15" w:type="dxa"/>
                    <w:left w:w="15" w:type="dxa"/>
                    <w:bottom w:w="15" w:type="dxa"/>
                    <w:right w:w="15" w:type="dxa"/>
                  </w:tcMar>
                  <w:vAlign w:val="center"/>
                </w:tcPr>
                <w:p>
                  <w:pPr>
                    <w:jc w:val="center"/>
                    <w:textAlignment w:val="center"/>
                    <w:rPr>
                      <w:rFonts w:hint="default" w:ascii="Times New Roman" w:hAnsi="Times New Roman" w:eastAsia="宋体" w:cs="Times New Roman"/>
                      <w:bCs/>
                      <w:color w:val="auto"/>
                      <w:sz w:val="18"/>
                      <w:szCs w:val="18"/>
                      <w:lang w:val="en-US" w:eastAsia="zh-CN"/>
                    </w:rPr>
                  </w:pPr>
                </w:p>
              </w:tc>
              <w:tc>
                <w:tcPr>
                  <w:tcW w:w="693" w:type="dxa"/>
                  <w:vMerge w:val="continue"/>
                  <w:noWrap w:val="0"/>
                  <w:tcMar>
                    <w:top w:w="15" w:type="dxa"/>
                    <w:left w:w="15" w:type="dxa"/>
                    <w:bottom w:w="15" w:type="dxa"/>
                    <w:right w:w="15" w:type="dxa"/>
                  </w:tcMar>
                  <w:vAlign w:val="center"/>
                </w:tcPr>
                <w:p>
                  <w:pPr>
                    <w:jc w:val="center"/>
                    <w:textAlignment w:val="center"/>
                    <w:rPr>
                      <w:rFonts w:hint="eastAsia" w:ascii="Times New Roman" w:hAnsi="Times New Roman" w:eastAsia="宋体" w:cs="Times New Roman"/>
                      <w:bCs/>
                      <w:color w:val="auto"/>
                      <w:kern w:val="2"/>
                      <w:sz w:val="18"/>
                      <w:szCs w:val="18"/>
                      <w:lang w:val="en-US" w:eastAsia="zh-CN" w:bidi="ar-SA"/>
                    </w:rPr>
                  </w:pPr>
                </w:p>
              </w:tc>
              <w:tc>
                <w:tcPr>
                  <w:tcW w:w="688" w:type="dxa"/>
                  <w:noWrap w:val="0"/>
                  <w:tcMar>
                    <w:top w:w="15" w:type="dxa"/>
                    <w:left w:w="15" w:type="dxa"/>
                    <w:bottom w:w="15" w:type="dxa"/>
                    <w:right w:w="15" w:type="dxa"/>
                  </w:tcMar>
                  <w:vAlign w:val="center"/>
                </w:tcPr>
                <w:p>
                  <w:pPr>
                    <w:pStyle w:val="49"/>
                    <w:ind w:firstLine="0" w:firstLineChars="0"/>
                    <w:jc w:val="center"/>
                    <w:rPr>
                      <w:rFonts w:hint="eastAsia" w:ascii="Times New Roman" w:hAnsi="Times New Roman" w:cs="Times New Roman"/>
                      <w:color w:val="auto"/>
                      <w:sz w:val="18"/>
                      <w:szCs w:val="18"/>
                    </w:rPr>
                  </w:pPr>
                  <w:r>
                    <w:rPr>
                      <w:rFonts w:hint="eastAsia" w:ascii="Times New Roman" w:hAnsi="Times New Roman" w:cs="Times New Roman"/>
                      <w:color w:val="auto"/>
                      <w:sz w:val="18"/>
                      <w:szCs w:val="18"/>
                    </w:rPr>
                    <w:t>颗粒物</w:t>
                  </w:r>
                </w:p>
              </w:tc>
              <w:tc>
                <w:tcPr>
                  <w:tcW w:w="862" w:type="dxa"/>
                  <w:noWrap w:val="0"/>
                  <w:tcMar>
                    <w:top w:w="15" w:type="dxa"/>
                    <w:left w:w="15" w:type="dxa"/>
                    <w:bottom w:w="15" w:type="dxa"/>
                    <w:right w:w="15" w:type="dxa"/>
                  </w:tcMar>
                  <w:vAlign w:val="center"/>
                </w:tcPr>
                <w:p>
                  <w:pPr>
                    <w:adjustRightInd w:val="0"/>
                    <w:snapToGrid w:val="0"/>
                    <w:jc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color w:val="auto"/>
                      <w:sz w:val="18"/>
                      <w:szCs w:val="18"/>
                      <w:lang w:val="en-US" w:eastAsia="zh-CN"/>
                    </w:rPr>
                    <w:t xml:space="preserve">5.52 </w:t>
                  </w:r>
                </w:p>
              </w:tc>
              <w:tc>
                <w:tcPr>
                  <w:tcW w:w="838" w:type="dxa"/>
                  <w:noWrap w:val="0"/>
                  <w:tcMar>
                    <w:top w:w="15" w:type="dxa"/>
                    <w:left w:w="15" w:type="dxa"/>
                    <w:bottom w:w="15" w:type="dxa"/>
                    <w:right w:w="15" w:type="dxa"/>
                  </w:tcMar>
                  <w:vAlign w:val="center"/>
                </w:tcPr>
                <w:p>
                  <w:pPr>
                    <w:adjustRightInd w:val="0"/>
                    <w:snapToGrid w:val="0"/>
                    <w:jc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color w:val="auto"/>
                      <w:sz w:val="18"/>
                      <w:szCs w:val="18"/>
                      <w:lang w:val="en-US" w:eastAsia="zh-CN"/>
                    </w:rPr>
                    <w:t xml:space="preserve">0.1544 </w:t>
                  </w:r>
                </w:p>
              </w:tc>
              <w:tc>
                <w:tcPr>
                  <w:tcW w:w="850" w:type="dxa"/>
                  <w:noWrap w:val="0"/>
                  <w:tcMar>
                    <w:top w:w="15" w:type="dxa"/>
                    <w:left w:w="15" w:type="dxa"/>
                    <w:bottom w:w="15" w:type="dxa"/>
                    <w:right w:w="15" w:type="dxa"/>
                  </w:tcMar>
                  <w:vAlign w:val="center"/>
                </w:tcPr>
                <w:p>
                  <w:pPr>
                    <w:adjustRightInd w:val="0"/>
                    <w:snapToGrid w:val="0"/>
                    <w:jc w:val="center"/>
                    <w:rPr>
                      <w:rFonts w:hint="eastAsia" w:ascii="Times New Roman" w:hAnsi="Times New Roman"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1.1120</w:t>
                  </w:r>
                </w:p>
              </w:tc>
              <w:tc>
                <w:tcPr>
                  <w:tcW w:w="512" w:type="dxa"/>
                  <w:vMerge w:val="continue"/>
                  <w:noWrap w:val="0"/>
                  <w:tcMar>
                    <w:top w:w="15" w:type="dxa"/>
                    <w:left w:w="15" w:type="dxa"/>
                    <w:bottom w:w="15" w:type="dxa"/>
                    <w:right w:w="15" w:type="dxa"/>
                  </w:tcMar>
                  <w:vAlign w:val="center"/>
                </w:tcPr>
                <w:p>
                  <w:pPr>
                    <w:jc w:val="center"/>
                    <w:textAlignment w:val="center"/>
                    <w:rPr>
                      <w:bCs/>
                      <w:color w:val="auto"/>
                      <w:sz w:val="18"/>
                      <w:szCs w:val="18"/>
                    </w:rPr>
                  </w:pPr>
                </w:p>
              </w:tc>
              <w:tc>
                <w:tcPr>
                  <w:tcW w:w="775" w:type="dxa"/>
                  <w:vMerge w:val="continue"/>
                  <w:noWrap w:val="0"/>
                  <w:tcMar>
                    <w:top w:w="15" w:type="dxa"/>
                    <w:left w:w="15" w:type="dxa"/>
                    <w:bottom w:w="15" w:type="dxa"/>
                    <w:right w:w="15" w:type="dxa"/>
                  </w:tcMar>
                  <w:vAlign w:val="center"/>
                </w:tcPr>
                <w:p>
                  <w:pPr>
                    <w:jc w:val="center"/>
                    <w:textAlignment w:val="center"/>
                    <w:rPr>
                      <w:rFonts w:hint="eastAsia" w:eastAsia="宋体" w:cs="Times New Roman"/>
                      <w:bCs/>
                      <w:color w:val="auto"/>
                      <w:sz w:val="18"/>
                      <w:szCs w:val="18"/>
                      <w:lang w:val="en-US" w:eastAsia="zh-CN"/>
                    </w:rPr>
                  </w:pPr>
                </w:p>
              </w:tc>
              <w:tc>
                <w:tcPr>
                  <w:tcW w:w="688" w:type="dxa"/>
                  <w:vMerge w:val="continue"/>
                  <w:noWrap w:val="0"/>
                  <w:vAlign w:val="center"/>
                </w:tcPr>
                <w:p>
                  <w:pPr>
                    <w:jc w:val="center"/>
                    <w:textAlignment w:val="center"/>
                    <w:rPr>
                      <w:rFonts w:hint="eastAsia"/>
                      <w:bCs/>
                      <w:color w:val="auto"/>
                      <w:sz w:val="18"/>
                      <w:szCs w:val="18"/>
                    </w:rPr>
                  </w:pPr>
                </w:p>
              </w:tc>
              <w:tc>
                <w:tcPr>
                  <w:tcW w:w="700" w:type="dxa"/>
                  <w:vMerge w:val="continue"/>
                  <w:noWrap w:val="0"/>
                  <w:vAlign w:val="center"/>
                </w:tcPr>
                <w:p>
                  <w:pPr>
                    <w:jc w:val="center"/>
                    <w:textAlignment w:val="center"/>
                    <w:rPr>
                      <w:rFonts w:hint="eastAsia"/>
                      <w:bCs/>
                      <w:color w:val="auto"/>
                      <w:sz w:val="18"/>
                      <w:szCs w:val="18"/>
                    </w:rPr>
                  </w:pPr>
                </w:p>
              </w:tc>
              <w:tc>
                <w:tcPr>
                  <w:tcW w:w="612" w:type="dxa"/>
                  <w:noWrap w:val="0"/>
                  <w:vAlign w:val="center"/>
                </w:tcPr>
                <w:p>
                  <w:pPr>
                    <w:jc w:val="center"/>
                    <w:textAlignment w:val="center"/>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0%</w:t>
                  </w:r>
                </w:p>
              </w:tc>
              <w:tc>
                <w:tcPr>
                  <w:tcW w:w="1013" w:type="dxa"/>
                  <w:noWrap w:val="0"/>
                  <w:vAlign w:val="center"/>
                </w:tcPr>
                <w:p>
                  <w:pPr>
                    <w:adjustRightInd w:val="0"/>
                    <w:snapToGrid w:val="0"/>
                    <w:jc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color w:val="auto"/>
                      <w:sz w:val="18"/>
                      <w:szCs w:val="18"/>
                      <w:lang w:val="en-US" w:eastAsia="zh-CN"/>
                    </w:rPr>
                    <w:t xml:space="preserve">5.52 </w:t>
                  </w:r>
                </w:p>
              </w:tc>
              <w:tc>
                <w:tcPr>
                  <w:tcW w:w="975" w:type="dxa"/>
                  <w:noWrap w:val="0"/>
                  <w:vAlign w:val="center"/>
                </w:tcPr>
                <w:p>
                  <w:pPr>
                    <w:adjustRightInd w:val="0"/>
                    <w:snapToGrid w:val="0"/>
                    <w:jc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color w:val="auto"/>
                      <w:sz w:val="18"/>
                      <w:szCs w:val="18"/>
                      <w:lang w:val="en-US" w:eastAsia="zh-CN"/>
                    </w:rPr>
                    <w:t xml:space="preserve">0.1544 </w:t>
                  </w:r>
                </w:p>
              </w:tc>
              <w:tc>
                <w:tcPr>
                  <w:tcW w:w="887" w:type="dxa"/>
                  <w:noWrap w:val="0"/>
                  <w:vAlign w:val="center"/>
                </w:tcPr>
                <w:p>
                  <w:pPr>
                    <w:adjustRightInd w:val="0"/>
                    <w:snapToGrid w:val="0"/>
                    <w:jc w:val="center"/>
                    <w:rPr>
                      <w:rFonts w:hint="eastAsia" w:ascii="Times New Roman" w:hAnsi="Times New Roman"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1.1120</w:t>
                  </w:r>
                </w:p>
              </w:tc>
              <w:tc>
                <w:tcPr>
                  <w:tcW w:w="875" w:type="dxa"/>
                  <w:noWrap w:val="0"/>
                  <w:vAlign w:val="center"/>
                </w:tcPr>
                <w:p>
                  <w:pPr>
                    <w:pStyle w:val="30"/>
                    <w:keepNext w:val="0"/>
                    <w:keepLines w:val="0"/>
                    <w:pageBreakBefore w:val="0"/>
                    <w:widowControl/>
                    <w:kinsoku/>
                    <w:wordWrap/>
                    <w:overflowPunct/>
                    <w:topLinePunct w:val="0"/>
                    <w:autoSpaceDE/>
                    <w:autoSpaceDN/>
                    <w:bidi w:val="0"/>
                    <w:spacing w:line="240" w:lineRule="auto"/>
                    <w:ind w:firstLine="0" w:firstLineChars="0"/>
                    <w:textAlignment w:val="auto"/>
                    <w:rPr>
                      <w:rFonts w:hint="eastAsia"/>
                      <w:bCs/>
                      <w:color w:val="auto"/>
                      <w:sz w:val="18"/>
                      <w:szCs w:val="18"/>
                      <w:lang w:val="en-US" w:eastAsia="zh-CN"/>
                    </w:rPr>
                  </w:pPr>
                  <w:r>
                    <w:rPr>
                      <w:rFonts w:hint="eastAsia" w:ascii="Times New Roman" w:hAnsi="Times New Roman" w:eastAsia="宋体" w:cs="Times New Roman"/>
                      <w:bCs/>
                      <w:color w:val="auto"/>
                      <w:kern w:val="2"/>
                      <w:sz w:val="18"/>
                      <w:szCs w:val="18"/>
                      <w:lang w:val="en-US" w:eastAsia="zh-CN"/>
                    </w:rPr>
                    <w:t>20</w:t>
                  </w:r>
                </w:p>
              </w:tc>
              <w:tc>
                <w:tcPr>
                  <w:tcW w:w="700" w:type="dxa"/>
                  <w:noWrap w:val="0"/>
                  <w:tcMar>
                    <w:top w:w="15" w:type="dxa"/>
                    <w:left w:w="15" w:type="dxa"/>
                    <w:bottom w:w="15" w:type="dxa"/>
                    <w:right w:w="15" w:type="dxa"/>
                  </w:tcMar>
                  <w:vAlign w:val="center"/>
                </w:tcPr>
                <w:p>
                  <w:pPr>
                    <w:jc w:val="center"/>
                    <w:textAlignment w:val="center"/>
                    <w:rPr>
                      <w:rFonts w:hint="eastAsia" w:eastAsia="宋体"/>
                      <w:bCs/>
                      <w:color w:val="auto"/>
                      <w:sz w:val="18"/>
                      <w:szCs w:val="18"/>
                      <w:lang w:val="en-US" w:eastAsia="zh-CN"/>
                    </w:rPr>
                  </w:pPr>
                  <w:r>
                    <w:rPr>
                      <w:rFonts w:hint="eastAsia" w:ascii="Times New Roman" w:hAnsi="Times New Roman" w:eastAsia="宋体" w:cs="Times New Roman"/>
                      <w:bCs/>
                      <w:color w:val="auto"/>
                      <w:sz w:val="18"/>
                      <w:szCs w:val="18"/>
                      <w:lang w:val="en-US" w:eastAsia="zh-CN"/>
                    </w:rPr>
                    <w:t>/</w:t>
                  </w:r>
                </w:p>
              </w:tc>
              <w:tc>
                <w:tcPr>
                  <w:tcW w:w="665" w:type="dxa"/>
                  <w:noWrap w:val="0"/>
                  <w:tcMar>
                    <w:top w:w="15" w:type="dxa"/>
                    <w:left w:w="15" w:type="dxa"/>
                    <w:bottom w:w="15" w:type="dxa"/>
                    <w:right w:w="15" w:type="dxa"/>
                  </w:tcMar>
                  <w:vAlign w:val="center"/>
                </w:tcPr>
                <w:p>
                  <w:pPr>
                    <w:jc w:val="center"/>
                    <w:textAlignment w:val="center"/>
                    <w:rPr>
                      <w:rFonts w:hint="eastAsia"/>
                      <w:bCs/>
                      <w:color w:val="auto"/>
                      <w:sz w:val="18"/>
                      <w:szCs w:val="18"/>
                      <w:lang w:val="en-US" w:eastAsia="zh-CN"/>
                    </w:rPr>
                  </w:pPr>
                  <w:r>
                    <w:rPr>
                      <w:rFonts w:hint="eastAsia"/>
                      <w:bCs/>
                      <w:color w:val="auto"/>
                      <w:sz w:val="18"/>
                      <w:szCs w:val="18"/>
                      <w:lang w:val="en-US" w:eastAsia="zh-CN"/>
                    </w:rPr>
                    <w:t>7200h</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108" w:type="dxa"/>
                  <w:bottom w:w="0" w:type="dxa"/>
                  <w:right w:w="108" w:type="dxa"/>
                </w:tblCellMar>
              </w:tblPrEx>
              <w:trPr>
                <w:trHeight w:val="545" w:hRule="atLeast"/>
                <w:jc w:val="center"/>
              </w:trPr>
              <w:tc>
                <w:tcPr>
                  <w:tcW w:w="692" w:type="dxa"/>
                  <w:vMerge w:val="restart"/>
                  <w:noWrap w:val="0"/>
                  <w:tcMar>
                    <w:top w:w="15" w:type="dxa"/>
                    <w:left w:w="15" w:type="dxa"/>
                    <w:bottom w:w="15" w:type="dxa"/>
                    <w:right w:w="15" w:type="dxa"/>
                  </w:tcMar>
                  <w:vAlign w:val="center"/>
                </w:tcPr>
                <w:p>
                  <w:pPr>
                    <w:pStyle w:val="49"/>
                    <w:ind w:firstLine="0" w:firstLineChars="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DA00</w:t>
                  </w:r>
                  <w:r>
                    <w:rPr>
                      <w:rFonts w:hint="eastAsia" w:eastAsia="宋体" w:cs="Times New Roman"/>
                      <w:bCs/>
                      <w:color w:val="auto"/>
                      <w:sz w:val="18"/>
                      <w:szCs w:val="18"/>
                      <w:lang w:val="en-US" w:eastAsia="zh-CN"/>
                    </w:rPr>
                    <w:t>7</w:t>
                  </w:r>
                </w:p>
              </w:tc>
              <w:tc>
                <w:tcPr>
                  <w:tcW w:w="693" w:type="dxa"/>
                  <w:vMerge w:val="restart"/>
                  <w:noWrap w:val="0"/>
                  <w:tcMar>
                    <w:top w:w="15" w:type="dxa"/>
                    <w:left w:w="15" w:type="dxa"/>
                    <w:bottom w:w="15" w:type="dxa"/>
                    <w:right w:w="15" w:type="dxa"/>
                  </w:tcMar>
                  <w:vAlign w:val="center"/>
                </w:tcPr>
                <w:p>
                  <w:pPr>
                    <w:pStyle w:val="49"/>
                    <w:ind w:firstLine="0" w:firstLineChars="0"/>
                    <w:jc w:val="center"/>
                    <w:rPr>
                      <w:rFonts w:hint="eastAsia" w:ascii="Times New Roman" w:hAnsi="Times New Roman" w:eastAsia="宋体" w:cs="Times New Roman"/>
                      <w:bCs/>
                      <w:color w:val="auto"/>
                      <w:kern w:val="2"/>
                      <w:sz w:val="18"/>
                      <w:szCs w:val="18"/>
                      <w:lang w:val="en-US" w:eastAsia="zh-CN" w:bidi="ar-SA"/>
                    </w:rPr>
                  </w:pPr>
                  <w:r>
                    <w:rPr>
                      <w:rFonts w:hint="eastAsia" w:ascii="Times New Roman" w:hAnsi="Times New Roman" w:cs="Times New Roman"/>
                      <w:color w:val="auto"/>
                      <w:sz w:val="18"/>
                      <w:szCs w:val="18"/>
                      <w:lang w:eastAsia="zh-CN"/>
                    </w:rPr>
                    <w:t>天然气燃烧</w:t>
                  </w:r>
                </w:p>
              </w:tc>
              <w:tc>
                <w:tcPr>
                  <w:tcW w:w="688" w:type="dxa"/>
                  <w:noWrap w:val="0"/>
                  <w:tcMar>
                    <w:top w:w="15" w:type="dxa"/>
                    <w:left w:w="15" w:type="dxa"/>
                    <w:bottom w:w="15" w:type="dxa"/>
                    <w:right w:w="15" w:type="dxa"/>
                  </w:tcMar>
                  <w:vAlign w:val="center"/>
                </w:tcPr>
                <w:p>
                  <w:pPr>
                    <w:pStyle w:val="49"/>
                    <w:ind w:firstLine="0" w:firstLineChars="0"/>
                    <w:jc w:val="center"/>
                    <w:rPr>
                      <w:rFonts w:hint="eastAsia" w:ascii="Times New Roman" w:hAnsi="Times New Roman" w:cs="Times New Roman"/>
                      <w:color w:val="auto"/>
                      <w:sz w:val="18"/>
                      <w:szCs w:val="18"/>
                    </w:rPr>
                  </w:pPr>
                  <w:r>
                    <w:rPr>
                      <w:rFonts w:hint="eastAsia" w:ascii="Times New Roman" w:hAnsi="Times New Roman" w:cs="Times New Roman"/>
                      <w:color w:val="auto"/>
                      <w:sz w:val="18"/>
                      <w:szCs w:val="18"/>
                    </w:rPr>
                    <w:t>SO</w:t>
                  </w:r>
                  <w:r>
                    <w:rPr>
                      <w:rFonts w:hint="eastAsia" w:ascii="Times New Roman" w:hAnsi="Times New Roman" w:cs="Times New Roman"/>
                      <w:color w:val="auto"/>
                      <w:sz w:val="18"/>
                      <w:szCs w:val="18"/>
                      <w:vertAlign w:val="subscript"/>
                    </w:rPr>
                    <w:t>2</w:t>
                  </w:r>
                </w:p>
              </w:tc>
              <w:tc>
                <w:tcPr>
                  <w:tcW w:w="862" w:type="dxa"/>
                  <w:noWrap w:val="0"/>
                  <w:tcMar>
                    <w:top w:w="15" w:type="dxa"/>
                    <w:left w:w="15" w:type="dxa"/>
                    <w:bottom w:w="15" w:type="dxa"/>
                    <w:right w:w="15" w:type="dxa"/>
                  </w:tcMar>
                  <w:vAlign w:val="center"/>
                </w:tcPr>
                <w:p>
                  <w:pPr>
                    <w:adjustRightInd w:val="0"/>
                    <w:snapToGrid w:val="0"/>
                    <w:jc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color w:val="auto"/>
                      <w:sz w:val="18"/>
                      <w:szCs w:val="18"/>
                      <w:lang w:val="en-US" w:eastAsia="zh-CN"/>
                    </w:rPr>
                    <w:t xml:space="preserve">13.18 </w:t>
                  </w:r>
                </w:p>
              </w:tc>
              <w:tc>
                <w:tcPr>
                  <w:tcW w:w="838" w:type="dxa"/>
                  <w:noWrap w:val="0"/>
                  <w:tcMar>
                    <w:top w:w="15" w:type="dxa"/>
                    <w:left w:w="15" w:type="dxa"/>
                    <w:bottom w:w="15" w:type="dxa"/>
                    <w:right w:w="15" w:type="dxa"/>
                  </w:tcMar>
                  <w:vAlign w:val="center"/>
                </w:tcPr>
                <w:p>
                  <w:pPr>
                    <w:adjustRightInd w:val="0"/>
                    <w:snapToGrid w:val="0"/>
                    <w:jc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color w:val="auto"/>
                      <w:sz w:val="18"/>
                      <w:szCs w:val="18"/>
                      <w:lang w:val="en-US" w:eastAsia="zh-CN"/>
                    </w:rPr>
                    <w:t xml:space="preserve">0.1977 </w:t>
                  </w:r>
                </w:p>
              </w:tc>
              <w:tc>
                <w:tcPr>
                  <w:tcW w:w="850" w:type="dxa"/>
                  <w:noWrap w:val="0"/>
                  <w:tcMar>
                    <w:top w:w="15" w:type="dxa"/>
                    <w:left w:w="15" w:type="dxa"/>
                    <w:bottom w:w="15" w:type="dxa"/>
                    <w:right w:w="15" w:type="dxa"/>
                  </w:tcMar>
                  <w:vAlign w:val="center"/>
                </w:tcPr>
                <w:p>
                  <w:pPr>
                    <w:adjustRightInd w:val="0"/>
                    <w:snapToGrid w:val="0"/>
                    <w:jc w:val="center"/>
                    <w:rPr>
                      <w:rFonts w:hint="eastAsia" w:ascii="Times New Roman" w:hAnsi="Times New Roman"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1.4232 </w:t>
                  </w:r>
                </w:p>
              </w:tc>
              <w:tc>
                <w:tcPr>
                  <w:tcW w:w="512" w:type="dxa"/>
                  <w:vMerge w:val="restart"/>
                  <w:noWrap w:val="0"/>
                  <w:tcMar>
                    <w:top w:w="15" w:type="dxa"/>
                    <w:left w:w="15" w:type="dxa"/>
                    <w:bottom w:w="15" w:type="dxa"/>
                    <w:right w:w="15" w:type="dxa"/>
                  </w:tcMar>
                  <w:vAlign w:val="center"/>
                </w:tcPr>
                <w:p>
                  <w:pPr>
                    <w:jc w:val="center"/>
                    <w:textAlignment w:val="center"/>
                    <w:rPr>
                      <w:rFonts w:hint="eastAsia" w:ascii="Times New Roman" w:hAnsi="Times New Roman" w:eastAsia="宋体" w:cs="Times New Roman"/>
                      <w:bCs/>
                      <w:color w:val="auto"/>
                      <w:sz w:val="18"/>
                      <w:szCs w:val="18"/>
                      <w:lang w:eastAsia="zh-CN"/>
                    </w:rPr>
                  </w:pPr>
                  <w:r>
                    <w:rPr>
                      <w:rFonts w:hint="eastAsia" w:ascii="Times New Roman" w:hAnsi="Times New Roman" w:eastAsia="宋体" w:cs="Times New Roman"/>
                      <w:bCs/>
                      <w:color w:val="auto"/>
                      <w:sz w:val="18"/>
                      <w:szCs w:val="18"/>
                      <w:lang w:eastAsia="zh-CN"/>
                    </w:rPr>
                    <w:t>有</w:t>
                  </w:r>
                  <w:r>
                    <w:rPr>
                      <w:rFonts w:hint="eastAsia" w:ascii="Times New Roman" w:hAnsi="Times New Roman" w:eastAsia="宋体" w:cs="Times New Roman"/>
                      <w:bCs/>
                      <w:color w:val="auto"/>
                      <w:sz w:val="18"/>
                      <w:szCs w:val="18"/>
                    </w:rPr>
                    <w:t>组织</w:t>
                  </w:r>
                </w:p>
              </w:tc>
              <w:tc>
                <w:tcPr>
                  <w:tcW w:w="775" w:type="dxa"/>
                  <w:vMerge w:val="restart"/>
                  <w:noWrap w:val="0"/>
                  <w:tcMar>
                    <w:top w:w="15" w:type="dxa"/>
                    <w:left w:w="15" w:type="dxa"/>
                    <w:bottom w:w="15" w:type="dxa"/>
                    <w:right w:w="15" w:type="dxa"/>
                  </w:tcMar>
                  <w:vAlign w:val="center"/>
                </w:tcPr>
                <w:p>
                  <w:pPr>
                    <w:jc w:val="center"/>
                    <w:textAlignment w:val="center"/>
                    <w:rPr>
                      <w:rFonts w:hint="default" w:cs="Times New Roman"/>
                      <w:bCs/>
                      <w:color w:val="auto"/>
                      <w:sz w:val="18"/>
                      <w:szCs w:val="18"/>
                      <w:lang w:val="en-US" w:eastAsia="zh-CN"/>
                    </w:rPr>
                  </w:pPr>
                  <w:r>
                    <w:rPr>
                      <w:rFonts w:hint="eastAsia" w:cs="Times New Roman"/>
                      <w:bCs/>
                      <w:color w:val="auto"/>
                      <w:sz w:val="18"/>
                      <w:szCs w:val="18"/>
                      <w:lang w:val="en-US" w:eastAsia="zh-CN"/>
                    </w:rPr>
                    <w:t>低氮燃烧</w:t>
                  </w:r>
                </w:p>
              </w:tc>
              <w:tc>
                <w:tcPr>
                  <w:tcW w:w="688" w:type="dxa"/>
                  <w:vMerge w:val="restart"/>
                  <w:noWrap w:val="0"/>
                  <w:vAlign w:val="center"/>
                </w:tcPr>
                <w:p>
                  <w:pPr>
                    <w:jc w:val="center"/>
                    <w:textAlignment w:val="center"/>
                    <w:rPr>
                      <w:rFonts w:hint="eastAsia"/>
                      <w:bCs/>
                      <w:color w:val="auto"/>
                      <w:sz w:val="18"/>
                      <w:szCs w:val="18"/>
                    </w:rPr>
                  </w:pPr>
                  <w:r>
                    <w:rPr>
                      <w:rFonts w:hint="eastAsia"/>
                      <w:bCs/>
                      <w:color w:val="auto"/>
                      <w:sz w:val="18"/>
                      <w:szCs w:val="18"/>
                      <w:lang w:val="en-US" w:eastAsia="zh-CN"/>
                    </w:rPr>
                    <w:t>150</w:t>
                  </w:r>
                  <w:r>
                    <w:rPr>
                      <w:rFonts w:hint="eastAsia"/>
                      <w:bCs/>
                      <w:color w:val="auto"/>
                      <w:sz w:val="18"/>
                      <w:szCs w:val="18"/>
                    </w:rPr>
                    <w:t>00m</w:t>
                  </w:r>
                  <w:r>
                    <w:rPr>
                      <w:rFonts w:hint="eastAsia"/>
                      <w:bCs/>
                      <w:color w:val="auto"/>
                      <w:sz w:val="18"/>
                      <w:szCs w:val="18"/>
                      <w:vertAlign w:val="superscript"/>
                    </w:rPr>
                    <w:t>3</w:t>
                  </w:r>
                  <w:r>
                    <w:rPr>
                      <w:rFonts w:hint="eastAsia"/>
                      <w:bCs/>
                      <w:color w:val="auto"/>
                      <w:sz w:val="18"/>
                      <w:szCs w:val="18"/>
                    </w:rPr>
                    <w:t>/h</w:t>
                  </w:r>
                </w:p>
              </w:tc>
              <w:tc>
                <w:tcPr>
                  <w:tcW w:w="700" w:type="dxa"/>
                  <w:vMerge w:val="restart"/>
                  <w:noWrap w:val="0"/>
                  <w:vAlign w:val="center"/>
                </w:tcPr>
                <w:p>
                  <w:pPr>
                    <w:jc w:val="center"/>
                    <w:textAlignment w:val="center"/>
                    <w:rPr>
                      <w:rFonts w:hint="eastAsia"/>
                      <w:bCs/>
                      <w:color w:val="auto"/>
                      <w:sz w:val="18"/>
                      <w:szCs w:val="18"/>
                    </w:rPr>
                  </w:pPr>
                  <w:r>
                    <w:rPr>
                      <w:rFonts w:hint="eastAsia" w:eastAsia="宋体" w:cs="Times New Roman"/>
                      <w:bCs/>
                      <w:color w:val="auto"/>
                      <w:sz w:val="18"/>
                      <w:szCs w:val="18"/>
                      <w:lang w:val="en-US" w:eastAsia="zh-CN"/>
                    </w:rPr>
                    <w:t>100%</w:t>
                  </w:r>
                </w:p>
              </w:tc>
              <w:tc>
                <w:tcPr>
                  <w:tcW w:w="612" w:type="dxa"/>
                  <w:noWrap w:val="0"/>
                  <w:vAlign w:val="center"/>
                </w:tcPr>
                <w:p>
                  <w:pPr>
                    <w:jc w:val="center"/>
                    <w:textAlignment w:val="center"/>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0%</w:t>
                  </w:r>
                </w:p>
              </w:tc>
              <w:tc>
                <w:tcPr>
                  <w:tcW w:w="1013" w:type="dxa"/>
                  <w:noWrap w:val="0"/>
                  <w:vAlign w:val="center"/>
                </w:tcPr>
                <w:p>
                  <w:pPr>
                    <w:adjustRightInd w:val="0"/>
                    <w:snapToGrid w:val="0"/>
                    <w:jc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color w:val="auto"/>
                      <w:sz w:val="18"/>
                      <w:szCs w:val="18"/>
                      <w:lang w:val="en-US" w:eastAsia="zh-CN"/>
                    </w:rPr>
                    <w:t xml:space="preserve">13.18 </w:t>
                  </w:r>
                </w:p>
              </w:tc>
              <w:tc>
                <w:tcPr>
                  <w:tcW w:w="975" w:type="dxa"/>
                  <w:noWrap w:val="0"/>
                  <w:vAlign w:val="center"/>
                </w:tcPr>
                <w:p>
                  <w:pPr>
                    <w:adjustRightInd w:val="0"/>
                    <w:snapToGrid w:val="0"/>
                    <w:jc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color w:val="auto"/>
                      <w:sz w:val="18"/>
                      <w:szCs w:val="18"/>
                      <w:lang w:val="en-US" w:eastAsia="zh-CN"/>
                    </w:rPr>
                    <w:t xml:space="preserve">0.1977 </w:t>
                  </w:r>
                </w:p>
              </w:tc>
              <w:tc>
                <w:tcPr>
                  <w:tcW w:w="887" w:type="dxa"/>
                  <w:noWrap w:val="0"/>
                  <w:vAlign w:val="center"/>
                </w:tcPr>
                <w:p>
                  <w:pPr>
                    <w:adjustRightInd w:val="0"/>
                    <w:snapToGrid w:val="0"/>
                    <w:jc w:val="center"/>
                    <w:rPr>
                      <w:rFonts w:hint="eastAsia" w:ascii="Times New Roman" w:hAnsi="Times New Roman"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1.4232 </w:t>
                  </w:r>
                </w:p>
              </w:tc>
              <w:tc>
                <w:tcPr>
                  <w:tcW w:w="875" w:type="dxa"/>
                  <w:noWrap w:val="0"/>
                  <w:vAlign w:val="center"/>
                </w:tcPr>
                <w:p>
                  <w:pPr>
                    <w:pStyle w:val="30"/>
                    <w:keepNext w:val="0"/>
                    <w:keepLines w:val="0"/>
                    <w:pageBreakBefore w:val="0"/>
                    <w:widowControl/>
                    <w:kinsoku/>
                    <w:wordWrap/>
                    <w:overflowPunct/>
                    <w:topLinePunct w:val="0"/>
                    <w:autoSpaceDE/>
                    <w:autoSpaceDN/>
                    <w:bidi w:val="0"/>
                    <w:spacing w:line="240" w:lineRule="auto"/>
                    <w:ind w:firstLine="0" w:firstLineChars="0"/>
                    <w:textAlignment w:val="auto"/>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color w:val="auto"/>
                      <w:kern w:val="2"/>
                      <w:sz w:val="18"/>
                      <w:szCs w:val="18"/>
                      <w:lang w:val="en-US" w:eastAsia="zh-CN"/>
                    </w:rPr>
                    <w:t>80</w:t>
                  </w:r>
                </w:p>
              </w:tc>
              <w:tc>
                <w:tcPr>
                  <w:tcW w:w="700" w:type="dxa"/>
                  <w:noWrap w:val="0"/>
                  <w:tcMar>
                    <w:top w:w="15" w:type="dxa"/>
                    <w:left w:w="15" w:type="dxa"/>
                    <w:bottom w:w="15" w:type="dxa"/>
                    <w:right w:w="15" w:type="dxa"/>
                  </w:tcMar>
                  <w:vAlign w:val="center"/>
                </w:tcPr>
                <w:p>
                  <w:pPr>
                    <w:jc w:val="center"/>
                    <w:textAlignment w:val="center"/>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w:t>
                  </w:r>
                </w:p>
              </w:tc>
              <w:tc>
                <w:tcPr>
                  <w:tcW w:w="665" w:type="dxa"/>
                  <w:noWrap w:val="0"/>
                  <w:tcMar>
                    <w:top w:w="15" w:type="dxa"/>
                    <w:left w:w="15" w:type="dxa"/>
                    <w:bottom w:w="15" w:type="dxa"/>
                    <w:right w:w="15" w:type="dxa"/>
                  </w:tcMar>
                  <w:vAlign w:val="center"/>
                </w:tcPr>
                <w:p>
                  <w:pPr>
                    <w:jc w:val="center"/>
                    <w:textAlignment w:val="center"/>
                    <w:rPr>
                      <w:rFonts w:hint="eastAsia"/>
                      <w:bCs/>
                      <w:color w:val="auto"/>
                      <w:sz w:val="18"/>
                      <w:szCs w:val="18"/>
                      <w:lang w:val="en-US" w:eastAsia="zh-CN"/>
                    </w:rPr>
                  </w:pPr>
                  <w:r>
                    <w:rPr>
                      <w:rFonts w:hint="eastAsia"/>
                      <w:bCs/>
                      <w:color w:val="auto"/>
                      <w:sz w:val="18"/>
                      <w:szCs w:val="18"/>
                      <w:lang w:val="en-US" w:eastAsia="zh-CN"/>
                    </w:rPr>
                    <w:t>7200h</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108" w:type="dxa"/>
                  <w:bottom w:w="0" w:type="dxa"/>
                  <w:right w:w="108" w:type="dxa"/>
                </w:tblCellMar>
              </w:tblPrEx>
              <w:trPr>
                <w:trHeight w:val="545" w:hRule="atLeast"/>
                <w:jc w:val="center"/>
              </w:trPr>
              <w:tc>
                <w:tcPr>
                  <w:tcW w:w="692" w:type="dxa"/>
                  <w:vMerge w:val="continue"/>
                  <w:noWrap w:val="0"/>
                  <w:tcMar>
                    <w:top w:w="15" w:type="dxa"/>
                    <w:left w:w="15" w:type="dxa"/>
                    <w:bottom w:w="15" w:type="dxa"/>
                    <w:right w:w="15" w:type="dxa"/>
                  </w:tcMar>
                  <w:vAlign w:val="center"/>
                </w:tcPr>
                <w:p>
                  <w:pPr>
                    <w:jc w:val="center"/>
                    <w:textAlignment w:val="center"/>
                    <w:rPr>
                      <w:rFonts w:hint="default" w:ascii="Times New Roman" w:hAnsi="Times New Roman" w:eastAsia="宋体" w:cs="Times New Roman"/>
                      <w:bCs/>
                      <w:color w:val="auto"/>
                      <w:sz w:val="18"/>
                      <w:szCs w:val="18"/>
                      <w:lang w:val="en-US" w:eastAsia="zh-CN"/>
                    </w:rPr>
                  </w:pPr>
                </w:p>
              </w:tc>
              <w:tc>
                <w:tcPr>
                  <w:tcW w:w="693" w:type="dxa"/>
                  <w:vMerge w:val="continue"/>
                  <w:noWrap w:val="0"/>
                  <w:tcMar>
                    <w:top w:w="15" w:type="dxa"/>
                    <w:left w:w="15" w:type="dxa"/>
                    <w:bottom w:w="15" w:type="dxa"/>
                    <w:right w:w="15" w:type="dxa"/>
                  </w:tcMar>
                  <w:vAlign w:val="center"/>
                </w:tcPr>
                <w:p>
                  <w:pPr>
                    <w:jc w:val="center"/>
                    <w:textAlignment w:val="center"/>
                    <w:rPr>
                      <w:rFonts w:hint="eastAsia" w:ascii="Times New Roman" w:hAnsi="Times New Roman" w:eastAsia="宋体" w:cs="Times New Roman"/>
                      <w:bCs/>
                      <w:color w:val="auto"/>
                      <w:kern w:val="2"/>
                      <w:sz w:val="18"/>
                      <w:szCs w:val="18"/>
                      <w:lang w:val="en-US" w:eastAsia="zh-CN" w:bidi="ar-SA"/>
                    </w:rPr>
                  </w:pPr>
                </w:p>
              </w:tc>
              <w:tc>
                <w:tcPr>
                  <w:tcW w:w="688" w:type="dxa"/>
                  <w:noWrap w:val="0"/>
                  <w:tcMar>
                    <w:top w:w="15" w:type="dxa"/>
                    <w:left w:w="15" w:type="dxa"/>
                    <w:bottom w:w="15" w:type="dxa"/>
                    <w:right w:w="15" w:type="dxa"/>
                  </w:tcMar>
                  <w:vAlign w:val="center"/>
                </w:tcPr>
                <w:p>
                  <w:pPr>
                    <w:pStyle w:val="49"/>
                    <w:ind w:firstLine="0" w:firstLineChars="0"/>
                    <w:jc w:val="center"/>
                    <w:rPr>
                      <w:rFonts w:hint="eastAsia" w:ascii="Times New Roman" w:hAnsi="Times New Roman" w:cs="Times New Roman"/>
                      <w:color w:val="auto"/>
                      <w:sz w:val="18"/>
                      <w:szCs w:val="18"/>
                    </w:rPr>
                  </w:pPr>
                  <w:r>
                    <w:rPr>
                      <w:rFonts w:hint="eastAsia" w:ascii="Times New Roman" w:hAnsi="Times New Roman" w:cs="Times New Roman"/>
                      <w:color w:val="auto"/>
                      <w:sz w:val="18"/>
                      <w:szCs w:val="18"/>
                    </w:rPr>
                    <w:t>NOx</w:t>
                  </w:r>
                </w:p>
              </w:tc>
              <w:tc>
                <w:tcPr>
                  <w:tcW w:w="862" w:type="dxa"/>
                  <w:noWrap w:val="0"/>
                  <w:tcMar>
                    <w:top w:w="15" w:type="dxa"/>
                    <w:left w:w="15" w:type="dxa"/>
                    <w:bottom w:w="15" w:type="dxa"/>
                    <w:right w:w="15" w:type="dxa"/>
                  </w:tcMar>
                  <w:vAlign w:val="center"/>
                </w:tcPr>
                <w:p>
                  <w:pPr>
                    <w:adjustRightInd w:val="0"/>
                    <w:snapToGrid w:val="0"/>
                    <w:jc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color w:val="auto"/>
                      <w:sz w:val="18"/>
                      <w:szCs w:val="18"/>
                      <w:lang w:val="en-US" w:eastAsia="zh-CN"/>
                    </w:rPr>
                    <w:t xml:space="preserve">123.21 </w:t>
                  </w:r>
                </w:p>
              </w:tc>
              <w:tc>
                <w:tcPr>
                  <w:tcW w:w="838" w:type="dxa"/>
                  <w:noWrap w:val="0"/>
                  <w:tcMar>
                    <w:top w:w="15" w:type="dxa"/>
                    <w:left w:w="15" w:type="dxa"/>
                    <w:bottom w:w="15" w:type="dxa"/>
                    <w:right w:w="15" w:type="dxa"/>
                  </w:tcMar>
                  <w:vAlign w:val="center"/>
                </w:tcPr>
                <w:p>
                  <w:pPr>
                    <w:adjustRightInd w:val="0"/>
                    <w:snapToGrid w:val="0"/>
                    <w:jc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color w:val="auto"/>
                      <w:sz w:val="18"/>
                      <w:szCs w:val="18"/>
                      <w:lang w:val="en-US" w:eastAsia="zh-CN"/>
                    </w:rPr>
                    <w:t xml:space="preserve">1.8482 </w:t>
                  </w:r>
                </w:p>
              </w:tc>
              <w:tc>
                <w:tcPr>
                  <w:tcW w:w="850" w:type="dxa"/>
                  <w:noWrap w:val="0"/>
                  <w:tcMar>
                    <w:top w:w="15" w:type="dxa"/>
                    <w:left w:w="15" w:type="dxa"/>
                    <w:bottom w:w="15" w:type="dxa"/>
                    <w:right w:w="15" w:type="dxa"/>
                  </w:tcMar>
                  <w:vAlign w:val="center"/>
                </w:tcPr>
                <w:p>
                  <w:pPr>
                    <w:adjustRightInd w:val="0"/>
                    <w:snapToGrid w:val="0"/>
                    <w:jc w:val="center"/>
                    <w:rPr>
                      <w:rFonts w:hint="eastAsia" w:ascii="Times New Roman" w:hAnsi="Times New Roman"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13.3069 </w:t>
                  </w:r>
                </w:p>
              </w:tc>
              <w:tc>
                <w:tcPr>
                  <w:tcW w:w="512" w:type="dxa"/>
                  <w:vMerge w:val="continue"/>
                  <w:noWrap w:val="0"/>
                  <w:tcMar>
                    <w:top w:w="15" w:type="dxa"/>
                    <w:left w:w="15" w:type="dxa"/>
                    <w:bottom w:w="15" w:type="dxa"/>
                    <w:right w:w="15" w:type="dxa"/>
                  </w:tcMar>
                  <w:vAlign w:val="center"/>
                </w:tcPr>
                <w:p>
                  <w:pPr>
                    <w:jc w:val="center"/>
                    <w:textAlignment w:val="center"/>
                    <w:rPr>
                      <w:rFonts w:hint="eastAsia" w:ascii="Times New Roman" w:hAnsi="Times New Roman" w:eastAsia="宋体" w:cs="Times New Roman"/>
                      <w:bCs/>
                      <w:color w:val="auto"/>
                      <w:sz w:val="18"/>
                      <w:szCs w:val="18"/>
                      <w:lang w:eastAsia="zh-CN"/>
                    </w:rPr>
                  </w:pPr>
                </w:p>
              </w:tc>
              <w:tc>
                <w:tcPr>
                  <w:tcW w:w="775" w:type="dxa"/>
                  <w:vMerge w:val="continue"/>
                  <w:noWrap w:val="0"/>
                  <w:tcMar>
                    <w:top w:w="15" w:type="dxa"/>
                    <w:left w:w="15" w:type="dxa"/>
                    <w:bottom w:w="15" w:type="dxa"/>
                    <w:right w:w="15" w:type="dxa"/>
                  </w:tcMar>
                  <w:vAlign w:val="center"/>
                </w:tcPr>
                <w:p>
                  <w:pPr>
                    <w:jc w:val="center"/>
                    <w:textAlignment w:val="center"/>
                    <w:rPr>
                      <w:rFonts w:hint="eastAsia" w:eastAsia="宋体" w:cs="Times New Roman"/>
                      <w:bCs/>
                      <w:color w:val="auto"/>
                      <w:sz w:val="18"/>
                      <w:szCs w:val="18"/>
                      <w:lang w:val="en-US" w:eastAsia="zh-CN"/>
                    </w:rPr>
                  </w:pPr>
                </w:p>
              </w:tc>
              <w:tc>
                <w:tcPr>
                  <w:tcW w:w="688" w:type="dxa"/>
                  <w:vMerge w:val="continue"/>
                  <w:noWrap w:val="0"/>
                  <w:vAlign w:val="center"/>
                </w:tcPr>
                <w:p>
                  <w:pPr>
                    <w:jc w:val="center"/>
                    <w:textAlignment w:val="center"/>
                    <w:rPr>
                      <w:rFonts w:hint="eastAsia"/>
                      <w:bCs/>
                      <w:color w:val="auto"/>
                      <w:sz w:val="18"/>
                      <w:szCs w:val="18"/>
                    </w:rPr>
                  </w:pPr>
                </w:p>
              </w:tc>
              <w:tc>
                <w:tcPr>
                  <w:tcW w:w="700" w:type="dxa"/>
                  <w:vMerge w:val="continue"/>
                  <w:noWrap w:val="0"/>
                  <w:vAlign w:val="center"/>
                </w:tcPr>
                <w:p>
                  <w:pPr>
                    <w:jc w:val="center"/>
                    <w:textAlignment w:val="center"/>
                    <w:rPr>
                      <w:rFonts w:hint="eastAsia"/>
                      <w:bCs/>
                      <w:color w:val="auto"/>
                      <w:sz w:val="18"/>
                      <w:szCs w:val="18"/>
                    </w:rPr>
                  </w:pPr>
                </w:p>
              </w:tc>
              <w:tc>
                <w:tcPr>
                  <w:tcW w:w="612" w:type="dxa"/>
                  <w:noWrap w:val="0"/>
                  <w:vAlign w:val="center"/>
                </w:tcPr>
                <w:p>
                  <w:pPr>
                    <w:jc w:val="center"/>
                    <w:textAlignment w:val="center"/>
                    <w:rPr>
                      <w:rFonts w:hint="eastAsia"/>
                      <w:bCs/>
                      <w:color w:val="auto"/>
                      <w:sz w:val="18"/>
                      <w:szCs w:val="18"/>
                    </w:rPr>
                  </w:pPr>
                  <w:r>
                    <w:rPr>
                      <w:rFonts w:hint="eastAsia" w:cs="Times New Roman"/>
                      <w:bCs/>
                      <w:color w:val="auto"/>
                      <w:sz w:val="18"/>
                      <w:szCs w:val="18"/>
                      <w:lang w:val="en-US" w:eastAsia="zh-CN"/>
                    </w:rPr>
                    <w:t>50%</w:t>
                  </w:r>
                </w:p>
              </w:tc>
              <w:tc>
                <w:tcPr>
                  <w:tcW w:w="1013" w:type="dxa"/>
                  <w:noWrap w:val="0"/>
                  <w:vAlign w:val="center"/>
                </w:tcPr>
                <w:p>
                  <w:pPr>
                    <w:adjustRightInd w:val="0"/>
                    <w:snapToGrid w:val="0"/>
                    <w:jc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color w:val="auto"/>
                      <w:sz w:val="18"/>
                      <w:szCs w:val="18"/>
                      <w:lang w:val="en-US" w:eastAsia="zh-CN"/>
                    </w:rPr>
                    <w:t>61.61</w:t>
                  </w:r>
                  <w:r>
                    <w:rPr>
                      <w:rFonts w:hint="default" w:ascii="Times New Roman" w:hAnsi="Times New Roman" w:eastAsia="宋体" w:cs="Times New Roman"/>
                      <w:color w:val="auto"/>
                      <w:sz w:val="18"/>
                      <w:szCs w:val="18"/>
                      <w:lang w:val="en-US" w:eastAsia="zh-CN"/>
                    </w:rPr>
                    <w:t xml:space="preserve"> </w:t>
                  </w:r>
                </w:p>
              </w:tc>
              <w:tc>
                <w:tcPr>
                  <w:tcW w:w="975" w:type="dxa"/>
                  <w:noWrap w:val="0"/>
                  <w:vAlign w:val="center"/>
                </w:tcPr>
                <w:p>
                  <w:pPr>
                    <w:adjustRightInd w:val="0"/>
                    <w:snapToGrid w:val="0"/>
                    <w:jc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color w:val="auto"/>
                      <w:sz w:val="18"/>
                      <w:szCs w:val="18"/>
                      <w:lang w:val="en-US" w:eastAsia="zh-CN"/>
                    </w:rPr>
                    <w:t xml:space="preserve">0.9241 </w:t>
                  </w:r>
                </w:p>
              </w:tc>
              <w:tc>
                <w:tcPr>
                  <w:tcW w:w="887" w:type="dxa"/>
                  <w:noWrap w:val="0"/>
                  <w:vAlign w:val="center"/>
                </w:tcPr>
                <w:p>
                  <w:pPr>
                    <w:adjustRightInd w:val="0"/>
                    <w:snapToGrid w:val="0"/>
                    <w:jc w:val="center"/>
                    <w:rPr>
                      <w:rFonts w:hint="eastAsia" w:ascii="Times New Roman" w:hAnsi="Times New Roman"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 xml:space="preserve">6.6535 </w:t>
                  </w:r>
                </w:p>
              </w:tc>
              <w:tc>
                <w:tcPr>
                  <w:tcW w:w="875" w:type="dxa"/>
                  <w:noWrap w:val="0"/>
                  <w:vAlign w:val="center"/>
                </w:tcPr>
                <w:p>
                  <w:pPr>
                    <w:pStyle w:val="30"/>
                    <w:keepNext w:val="0"/>
                    <w:keepLines w:val="0"/>
                    <w:pageBreakBefore w:val="0"/>
                    <w:widowControl/>
                    <w:kinsoku/>
                    <w:wordWrap/>
                    <w:overflowPunct/>
                    <w:topLinePunct w:val="0"/>
                    <w:autoSpaceDE/>
                    <w:autoSpaceDN/>
                    <w:bidi w:val="0"/>
                    <w:spacing w:line="240" w:lineRule="auto"/>
                    <w:ind w:firstLine="0" w:firstLineChars="0"/>
                    <w:textAlignment w:val="auto"/>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color w:val="auto"/>
                      <w:kern w:val="2"/>
                      <w:sz w:val="18"/>
                      <w:szCs w:val="18"/>
                      <w:lang w:val="en-US" w:eastAsia="zh-CN"/>
                    </w:rPr>
                    <w:t>180</w:t>
                  </w:r>
                </w:p>
              </w:tc>
              <w:tc>
                <w:tcPr>
                  <w:tcW w:w="700" w:type="dxa"/>
                  <w:noWrap w:val="0"/>
                  <w:tcMar>
                    <w:top w:w="15" w:type="dxa"/>
                    <w:left w:w="15" w:type="dxa"/>
                    <w:bottom w:w="15" w:type="dxa"/>
                    <w:right w:w="15" w:type="dxa"/>
                  </w:tcMar>
                  <w:vAlign w:val="center"/>
                </w:tcPr>
                <w:p>
                  <w:pPr>
                    <w:jc w:val="center"/>
                    <w:textAlignment w:val="center"/>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w:t>
                  </w:r>
                </w:p>
              </w:tc>
              <w:tc>
                <w:tcPr>
                  <w:tcW w:w="665" w:type="dxa"/>
                  <w:noWrap w:val="0"/>
                  <w:tcMar>
                    <w:top w:w="15" w:type="dxa"/>
                    <w:left w:w="15" w:type="dxa"/>
                    <w:bottom w:w="15" w:type="dxa"/>
                    <w:right w:w="15" w:type="dxa"/>
                  </w:tcMar>
                  <w:vAlign w:val="center"/>
                </w:tcPr>
                <w:p>
                  <w:pPr>
                    <w:jc w:val="center"/>
                    <w:textAlignment w:val="center"/>
                    <w:rPr>
                      <w:rFonts w:hint="eastAsia"/>
                      <w:bCs/>
                      <w:color w:val="auto"/>
                      <w:sz w:val="18"/>
                      <w:szCs w:val="18"/>
                      <w:lang w:val="en-US" w:eastAsia="zh-CN"/>
                    </w:rPr>
                  </w:pPr>
                  <w:r>
                    <w:rPr>
                      <w:rFonts w:hint="eastAsia"/>
                      <w:bCs/>
                      <w:color w:val="auto"/>
                      <w:sz w:val="18"/>
                      <w:szCs w:val="18"/>
                      <w:lang w:val="en-US" w:eastAsia="zh-CN"/>
                    </w:rPr>
                    <w:t>7200h</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108" w:type="dxa"/>
                  <w:bottom w:w="0" w:type="dxa"/>
                  <w:right w:w="108" w:type="dxa"/>
                </w:tblCellMar>
              </w:tblPrEx>
              <w:trPr>
                <w:trHeight w:val="545" w:hRule="atLeast"/>
                <w:jc w:val="center"/>
              </w:trPr>
              <w:tc>
                <w:tcPr>
                  <w:tcW w:w="692" w:type="dxa"/>
                  <w:vMerge w:val="continue"/>
                  <w:noWrap w:val="0"/>
                  <w:tcMar>
                    <w:top w:w="15" w:type="dxa"/>
                    <w:left w:w="15" w:type="dxa"/>
                    <w:bottom w:w="15" w:type="dxa"/>
                    <w:right w:w="15" w:type="dxa"/>
                  </w:tcMar>
                  <w:vAlign w:val="center"/>
                </w:tcPr>
                <w:p>
                  <w:pPr>
                    <w:jc w:val="center"/>
                    <w:textAlignment w:val="center"/>
                    <w:rPr>
                      <w:rFonts w:hint="default" w:ascii="Times New Roman" w:hAnsi="Times New Roman" w:eastAsia="宋体" w:cs="Times New Roman"/>
                      <w:bCs/>
                      <w:color w:val="auto"/>
                      <w:sz w:val="18"/>
                      <w:szCs w:val="18"/>
                      <w:lang w:val="en-US" w:eastAsia="zh-CN"/>
                    </w:rPr>
                  </w:pPr>
                </w:p>
              </w:tc>
              <w:tc>
                <w:tcPr>
                  <w:tcW w:w="693" w:type="dxa"/>
                  <w:vMerge w:val="continue"/>
                  <w:noWrap w:val="0"/>
                  <w:tcMar>
                    <w:top w:w="15" w:type="dxa"/>
                    <w:left w:w="15" w:type="dxa"/>
                    <w:bottom w:w="15" w:type="dxa"/>
                    <w:right w:w="15" w:type="dxa"/>
                  </w:tcMar>
                  <w:vAlign w:val="center"/>
                </w:tcPr>
                <w:p>
                  <w:pPr>
                    <w:jc w:val="center"/>
                    <w:textAlignment w:val="center"/>
                    <w:rPr>
                      <w:rFonts w:hint="eastAsia" w:ascii="Times New Roman" w:hAnsi="Times New Roman" w:eastAsia="宋体" w:cs="Times New Roman"/>
                      <w:bCs/>
                      <w:color w:val="auto"/>
                      <w:kern w:val="2"/>
                      <w:sz w:val="18"/>
                      <w:szCs w:val="18"/>
                      <w:lang w:val="en-US" w:eastAsia="zh-CN" w:bidi="ar-SA"/>
                    </w:rPr>
                  </w:pPr>
                </w:p>
              </w:tc>
              <w:tc>
                <w:tcPr>
                  <w:tcW w:w="688" w:type="dxa"/>
                  <w:noWrap w:val="0"/>
                  <w:tcMar>
                    <w:top w:w="15" w:type="dxa"/>
                    <w:left w:w="15" w:type="dxa"/>
                    <w:bottom w:w="15" w:type="dxa"/>
                    <w:right w:w="15" w:type="dxa"/>
                  </w:tcMar>
                  <w:vAlign w:val="center"/>
                </w:tcPr>
                <w:p>
                  <w:pPr>
                    <w:pStyle w:val="49"/>
                    <w:ind w:firstLine="0" w:firstLineChars="0"/>
                    <w:jc w:val="center"/>
                    <w:rPr>
                      <w:rFonts w:hint="eastAsia" w:ascii="Times New Roman" w:hAnsi="Times New Roman" w:cs="Times New Roman"/>
                      <w:color w:val="auto"/>
                      <w:sz w:val="18"/>
                      <w:szCs w:val="18"/>
                    </w:rPr>
                  </w:pPr>
                  <w:r>
                    <w:rPr>
                      <w:rFonts w:hint="eastAsia" w:ascii="Times New Roman" w:hAnsi="Times New Roman" w:cs="Times New Roman"/>
                      <w:color w:val="auto"/>
                      <w:sz w:val="18"/>
                      <w:szCs w:val="18"/>
                    </w:rPr>
                    <w:t>颗粒物</w:t>
                  </w:r>
                </w:p>
              </w:tc>
              <w:tc>
                <w:tcPr>
                  <w:tcW w:w="862" w:type="dxa"/>
                  <w:noWrap w:val="0"/>
                  <w:tcMar>
                    <w:top w:w="15" w:type="dxa"/>
                    <w:left w:w="15" w:type="dxa"/>
                    <w:bottom w:w="15" w:type="dxa"/>
                    <w:right w:w="15" w:type="dxa"/>
                  </w:tcMar>
                  <w:vAlign w:val="center"/>
                </w:tcPr>
                <w:p>
                  <w:pPr>
                    <w:adjustRightInd w:val="0"/>
                    <w:snapToGrid w:val="0"/>
                    <w:jc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color w:val="auto"/>
                      <w:sz w:val="18"/>
                      <w:szCs w:val="18"/>
                      <w:lang w:val="en-US" w:eastAsia="zh-CN"/>
                    </w:rPr>
                    <w:t xml:space="preserve">18.84 </w:t>
                  </w:r>
                </w:p>
              </w:tc>
              <w:tc>
                <w:tcPr>
                  <w:tcW w:w="838" w:type="dxa"/>
                  <w:noWrap w:val="0"/>
                  <w:tcMar>
                    <w:top w:w="15" w:type="dxa"/>
                    <w:left w:w="15" w:type="dxa"/>
                    <w:bottom w:w="15" w:type="dxa"/>
                    <w:right w:w="15" w:type="dxa"/>
                  </w:tcMar>
                  <w:vAlign w:val="center"/>
                </w:tcPr>
                <w:p>
                  <w:pPr>
                    <w:adjustRightInd w:val="0"/>
                    <w:snapToGrid w:val="0"/>
                    <w:jc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color w:val="auto"/>
                      <w:sz w:val="18"/>
                      <w:szCs w:val="18"/>
                      <w:lang w:val="en-US" w:eastAsia="zh-CN"/>
                    </w:rPr>
                    <w:t xml:space="preserve">0.2827 </w:t>
                  </w:r>
                </w:p>
              </w:tc>
              <w:tc>
                <w:tcPr>
                  <w:tcW w:w="850" w:type="dxa"/>
                  <w:noWrap w:val="0"/>
                  <w:tcMar>
                    <w:top w:w="15" w:type="dxa"/>
                    <w:left w:w="15" w:type="dxa"/>
                    <w:bottom w:w="15" w:type="dxa"/>
                    <w:right w:w="15" w:type="dxa"/>
                  </w:tcMar>
                  <w:vAlign w:val="center"/>
                </w:tcPr>
                <w:p>
                  <w:pPr>
                    <w:adjustRightInd w:val="0"/>
                    <w:snapToGrid w:val="0"/>
                    <w:jc w:val="center"/>
                    <w:rPr>
                      <w:rFonts w:hint="eastAsia" w:ascii="Times New Roman" w:hAnsi="Times New Roman"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2.0352 </w:t>
                  </w:r>
                </w:p>
              </w:tc>
              <w:tc>
                <w:tcPr>
                  <w:tcW w:w="512" w:type="dxa"/>
                  <w:vMerge w:val="continue"/>
                  <w:noWrap w:val="0"/>
                  <w:tcMar>
                    <w:top w:w="15" w:type="dxa"/>
                    <w:left w:w="15" w:type="dxa"/>
                    <w:bottom w:w="15" w:type="dxa"/>
                    <w:right w:w="15" w:type="dxa"/>
                  </w:tcMar>
                  <w:vAlign w:val="center"/>
                </w:tcPr>
                <w:p>
                  <w:pPr>
                    <w:jc w:val="center"/>
                    <w:textAlignment w:val="center"/>
                    <w:rPr>
                      <w:rFonts w:hint="eastAsia" w:ascii="Times New Roman" w:hAnsi="Times New Roman" w:eastAsia="宋体" w:cs="Times New Roman"/>
                      <w:bCs/>
                      <w:color w:val="auto"/>
                      <w:sz w:val="18"/>
                      <w:szCs w:val="18"/>
                      <w:lang w:eastAsia="zh-CN"/>
                    </w:rPr>
                  </w:pPr>
                </w:p>
              </w:tc>
              <w:tc>
                <w:tcPr>
                  <w:tcW w:w="775" w:type="dxa"/>
                  <w:vMerge w:val="continue"/>
                  <w:noWrap w:val="0"/>
                  <w:tcMar>
                    <w:top w:w="15" w:type="dxa"/>
                    <w:left w:w="15" w:type="dxa"/>
                    <w:bottom w:w="15" w:type="dxa"/>
                    <w:right w:w="15" w:type="dxa"/>
                  </w:tcMar>
                  <w:vAlign w:val="center"/>
                </w:tcPr>
                <w:p>
                  <w:pPr>
                    <w:jc w:val="center"/>
                    <w:textAlignment w:val="center"/>
                    <w:rPr>
                      <w:rFonts w:hint="eastAsia" w:eastAsia="宋体" w:cs="Times New Roman"/>
                      <w:bCs/>
                      <w:color w:val="auto"/>
                      <w:sz w:val="18"/>
                      <w:szCs w:val="18"/>
                      <w:lang w:val="en-US" w:eastAsia="zh-CN"/>
                    </w:rPr>
                  </w:pPr>
                </w:p>
              </w:tc>
              <w:tc>
                <w:tcPr>
                  <w:tcW w:w="688" w:type="dxa"/>
                  <w:vMerge w:val="continue"/>
                  <w:noWrap w:val="0"/>
                  <w:vAlign w:val="center"/>
                </w:tcPr>
                <w:p>
                  <w:pPr>
                    <w:jc w:val="center"/>
                    <w:textAlignment w:val="center"/>
                    <w:rPr>
                      <w:rFonts w:hint="eastAsia"/>
                      <w:bCs/>
                      <w:color w:val="auto"/>
                      <w:sz w:val="18"/>
                      <w:szCs w:val="18"/>
                    </w:rPr>
                  </w:pPr>
                </w:p>
              </w:tc>
              <w:tc>
                <w:tcPr>
                  <w:tcW w:w="700" w:type="dxa"/>
                  <w:vMerge w:val="continue"/>
                  <w:noWrap w:val="0"/>
                  <w:vAlign w:val="center"/>
                </w:tcPr>
                <w:p>
                  <w:pPr>
                    <w:jc w:val="center"/>
                    <w:textAlignment w:val="center"/>
                    <w:rPr>
                      <w:rFonts w:hint="eastAsia"/>
                      <w:bCs/>
                      <w:color w:val="auto"/>
                      <w:sz w:val="18"/>
                      <w:szCs w:val="18"/>
                    </w:rPr>
                  </w:pPr>
                </w:p>
              </w:tc>
              <w:tc>
                <w:tcPr>
                  <w:tcW w:w="612" w:type="dxa"/>
                  <w:noWrap w:val="0"/>
                  <w:vAlign w:val="center"/>
                </w:tcPr>
                <w:p>
                  <w:pPr>
                    <w:jc w:val="center"/>
                    <w:textAlignment w:val="center"/>
                    <w:rPr>
                      <w:rFonts w:hint="eastAsia"/>
                      <w:bCs/>
                      <w:color w:val="auto"/>
                      <w:sz w:val="18"/>
                      <w:szCs w:val="18"/>
                    </w:rPr>
                  </w:pPr>
                  <w:r>
                    <w:rPr>
                      <w:rFonts w:hint="eastAsia" w:ascii="Times New Roman" w:hAnsi="Times New Roman" w:eastAsia="宋体" w:cs="Times New Roman"/>
                      <w:bCs/>
                      <w:color w:val="auto"/>
                      <w:sz w:val="18"/>
                      <w:szCs w:val="18"/>
                      <w:lang w:val="en-US" w:eastAsia="zh-CN"/>
                    </w:rPr>
                    <w:t>0%</w:t>
                  </w:r>
                </w:p>
              </w:tc>
              <w:tc>
                <w:tcPr>
                  <w:tcW w:w="1013" w:type="dxa"/>
                  <w:noWrap w:val="0"/>
                  <w:vAlign w:val="center"/>
                </w:tcPr>
                <w:p>
                  <w:pPr>
                    <w:adjustRightInd w:val="0"/>
                    <w:snapToGrid w:val="0"/>
                    <w:jc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color w:val="auto"/>
                      <w:sz w:val="18"/>
                      <w:szCs w:val="18"/>
                      <w:lang w:val="en-US" w:eastAsia="zh-CN"/>
                    </w:rPr>
                    <w:t xml:space="preserve">18.84 </w:t>
                  </w:r>
                </w:p>
              </w:tc>
              <w:tc>
                <w:tcPr>
                  <w:tcW w:w="975" w:type="dxa"/>
                  <w:noWrap w:val="0"/>
                  <w:vAlign w:val="center"/>
                </w:tcPr>
                <w:p>
                  <w:pPr>
                    <w:adjustRightInd w:val="0"/>
                    <w:snapToGrid w:val="0"/>
                    <w:jc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color w:val="auto"/>
                      <w:sz w:val="18"/>
                      <w:szCs w:val="18"/>
                      <w:lang w:val="en-US" w:eastAsia="zh-CN"/>
                    </w:rPr>
                    <w:t xml:space="preserve">0.2827 </w:t>
                  </w:r>
                </w:p>
              </w:tc>
              <w:tc>
                <w:tcPr>
                  <w:tcW w:w="887" w:type="dxa"/>
                  <w:noWrap w:val="0"/>
                  <w:vAlign w:val="center"/>
                </w:tcPr>
                <w:p>
                  <w:pPr>
                    <w:adjustRightInd w:val="0"/>
                    <w:snapToGrid w:val="0"/>
                    <w:jc w:val="center"/>
                    <w:rPr>
                      <w:rFonts w:hint="eastAsia" w:ascii="Times New Roman" w:hAnsi="Times New Roman"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2.0352 </w:t>
                  </w:r>
                </w:p>
              </w:tc>
              <w:tc>
                <w:tcPr>
                  <w:tcW w:w="875" w:type="dxa"/>
                  <w:noWrap w:val="0"/>
                  <w:vAlign w:val="center"/>
                </w:tcPr>
                <w:p>
                  <w:pPr>
                    <w:pStyle w:val="30"/>
                    <w:keepNext w:val="0"/>
                    <w:keepLines w:val="0"/>
                    <w:pageBreakBefore w:val="0"/>
                    <w:widowControl/>
                    <w:kinsoku/>
                    <w:wordWrap/>
                    <w:overflowPunct/>
                    <w:topLinePunct w:val="0"/>
                    <w:autoSpaceDE/>
                    <w:autoSpaceDN/>
                    <w:bidi w:val="0"/>
                    <w:spacing w:line="240" w:lineRule="auto"/>
                    <w:ind w:firstLine="0" w:firstLineChars="0"/>
                    <w:textAlignment w:val="auto"/>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kern w:val="2"/>
                      <w:sz w:val="18"/>
                      <w:szCs w:val="18"/>
                      <w:lang w:val="en-US" w:eastAsia="zh-CN"/>
                    </w:rPr>
                    <w:t>20</w:t>
                  </w:r>
                </w:p>
              </w:tc>
              <w:tc>
                <w:tcPr>
                  <w:tcW w:w="700" w:type="dxa"/>
                  <w:noWrap w:val="0"/>
                  <w:tcMar>
                    <w:top w:w="15" w:type="dxa"/>
                    <w:left w:w="15" w:type="dxa"/>
                    <w:bottom w:w="15" w:type="dxa"/>
                    <w:right w:w="15" w:type="dxa"/>
                  </w:tcMar>
                  <w:vAlign w:val="center"/>
                </w:tcPr>
                <w:p>
                  <w:pPr>
                    <w:jc w:val="center"/>
                    <w:textAlignment w:val="center"/>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w:t>
                  </w:r>
                </w:p>
              </w:tc>
              <w:tc>
                <w:tcPr>
                  <w:tcW w:w="665" w:type="dxa"/>
                  <w:noWrap w:val="0"/>
                  <w:tcMar>
                    <w:top w:w="15" w:type="dxa"/>
                    <w:left w:w="15" w:type="dxa"/>
                    <w:bottom w:w="15" w:type="dxa"/>
                    <w:right w:w="15" w:type="dxa"/>
                  </w:tcMar>
                  <w:vAlign w:val="center"/>
                </w:tcPr>
                <w:p>
                  <w:pPr>
                    <w:jc w:val="center"/>
                    <w:textAlignment w:val="center"/>
                    <w:rPr>
                      <w:rFonts w:hint="eastAsia"/>
                      <w:bCs/>
                      <w:color w:val="auto"/>
                      <w:sz w:val="18"/>
                      <w:szCs w:val="18"/>
                      <w:lang w:val="en-US" w:eastAsia="zh-CN"/>
                    </w:rPr>
                  </w:pPr>
                  <w:r>
                    <w:rPr>
                      <w:rFonts w:hint="eastAsia"/>
                      <w:bCs/>
                      <w:color w:val="auto"/>
                      <w:sz w:val="18"/>
                      <w:szCs w:val="18"/>
                      <w:lang w:val="en-US" w:eastAsia="zh-CN"/>
                    </w:rPr>
                    <w:t>7200h</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108" w:type="dxa"/>
                  <w:bottom w:w="0" w:type="dxa"/>
                  <w:right w:w="108" w:type="dxa"/>
                </w:tblCellMar>
              </w:tblPrEx>
              <w:trPr>
                <w:trHeight w:val="545" w:hRule="atLeast"/>
                <w:jc w:val="center"/>
              </w:trPr>
              <w:tc>
                <w:tcPr>
                  <w:tcW w:w="692" w:type="dxa"/>
                  <w:vMerge w:val="restart"/>
                  <w:shd w:val="clear" w:color="auto" w:fill="auto"/>
                  <w:noWrap w:val="0"/>
                  <w:tcMar>
                    <w:top w:w="15" w:type="dxa"/>
                    <w:left w:w="15" w:type="dxa"/>
                    <w:bottom w:w="15" w:type="dxa"/>
                    <w:right w:w="15" w:type="dxa"/>
                  </w:tcMar>
                  <w:vAlign w:val="center"/>
                </w:tcPr>
                <w:p>
                  <w:pPr>
                    <w:pStyle w:val="49"/>
                    <w:ind w:firstLine="0" w:firstLineChars="0"/>
                    <w:jc w:val="center"/>
                    <w:rPr>
                      <w:rFonts w:hint="default" w:ascii="Times New Roman" w:hAnsi="Times New Roman" w:eastAsia="宋体" w:cs="Times New Roman"/>
                      <w:bCs/>
                      <w:color w:val="auto"/>
                      <w:kern w:val="0"/>
                      <w:sz w:val="18"/>
                      <w:szCs w:val="18"/>
                      <w:lang w:val="en-US" w:eastAsia="zh-CN" w:bidi="ar-SA"/>
                    </w:rPr>
                  </w:pPr>
                  <w:r>
                    <w:rPr>
                      <w:rFonts w:hint="eastAsia" w:ascii="Times New Roman" w:hAnsi="Times New Roman" w:eastAsia="宋体" w:cs="Times New Roman"/>
                      <w:bCs/>
                      <w:color w:val="auto"/>
                      <w:sz w:val="18"/>
                      <w:szCs w:val="18"/>
                      <w:lang w:val="en-US" w:eastAsia="zh-CN"/>
                    </w:rPr>
                    <w:t>DA003</w:t>
                  </w:r>
                </w:p>
              </w:tc>
              <w:tc>
                <w:tcPr>
                  <w:tcW w:w="693" w:type="dxa"/>
                  <w:vMerge w:val="restart"/>
                  <w:shd w:val="clear" w:color="auto" w:fill="auto"/>
                  <w:noWrap w:val="0"/>
                  <w:tcMar>
                    <w:top w:w="15" w:type="dxa"/>
                    <w:left w:w="15" w:type="dxa"/>
                    <w:bottom w:w="15" w:type="dxa"/>
                    <w:right w:w="15" w:type="dxa"/>
                  </w:tcMar>
                  <w:vAlign w:val="center"/>
                </w:tcPr>
                <w:p>
                  <w:pPr>
                    <w:pStyle w:val="49"/>
                    <w:ind w:firstLine="0" w:firstLineChars="0"/>
                    <w:jc w:val="center"/>
                    <w:rPr>
                      <w:rFonts w:hint="eastAsia" w:ascii="Times New Roman" w:hAnsi="Times New Roman" w:eastAsia="宋体" w:cs="Times New Roman"/>
                      <w:bCs/>
                      <w:color w:val="auto"/>
                      <w:kern w:val="2"/>
                      <w:sz w:val="18"/>
                      <w:szCs w:val="18"/>
                      <w:lang w:val="en-US" w:eastAsia="zh-CN" w:bidi="ar-SA"/>
                    </w:rPr>
                  </w:pPr>
                  <w:r>
                    <w:rPr>
                      <w:rFonts w:hint="eastAsia" w:ascii="Times New Roman" w:hAnsi="Times New Roman" w:cs="Times New Roman"/>
                      <w:color w:val="auto"/>
                      <w:sz w:val="18"/>
                      <w:szCs w:val="18"/>
                      <w:lang w:eastAsia="zh-CN"/>
                    </w:rPr>
                    <w:t>天然气燃烧</w:t>
                  </w:r>
                </w:p>
              </w:tc>
              <w:tc>
                <w:tcPr>
                  <w:tcW w:w="688" w:type="dxa"/>
                  <w:shd w:val="clear" w:color="auto" w:fill="auto"/>
                  <w:noWrap w:val="0"/>
                  <w:tcMar>
                    <w:top w:w="15" w:type="dxa"/>
                    <w:left w:w="15" w:type="dxa"/>
                    <w:bottom w:w="15" w:type="dxa"/>
                    <w:right w:w="15" w:type="dxa"/>
                  </w:tcMar>
                  <w:vAlign w:val="center"/>
                </w:tcPr>
                <w:p>
                  <w:pPr>
                    <w:pStyle w:val="49"/>
                    <w:ind w:firstLine="0" w:firstLineChars="0"/>
                    <w:jc w:val="center"/>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sz w:val="18"/>
                      <w:szCs w:val="18"/>
                    </w:rPr>
                    <w:t>SO</w:t>
                  </w:r>
                  <w:r>
                    <w:rPr>
                      <w:rFonts w:hint="eastAsia" w:ascii="Times New Roman" w:hAnsi="Times New Roman" w:cs="Times New Roman"/>
                      <w:color w:val="auto"/>
                      <w:sz w:val="18"/>
                      <w:szCs w:val="18"/>
                      <w:vertAlign w:val="subscript"/>
                    </w:rPr>
                    <w:t>2</w:t>
                  </w:r>
                </w:p>
              </w:tc>
              <w:tc>
                <w:tcPr>
                  <w:tcW w:w="862" w:type="dxa"/>
                  <w:shd w:val="clear" w:color="auto" w:fill="auto"/>
                  <w:noWrap w:val="0"/>
                  <w:tcMar>
                    <w:top w:w="15" w:type="dxa"/>
                    <w:left w:w="15" w:type="dxa"/>
                    <w:bottom w:w="15" w:type="dxa"/>
                    <w:right w:w="15" w:type="dxa"/>
                  </w:tcMar>
                  <w:vAlign w:val="center"/>
                </w:tcPr>
                <w:p>
                  <w:pPr>
                    <w:adjustRightInd w:val="0"/>
                    <w:snapToGrid w:val="0"/>
                    <w:jc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color w:val="auto"/>
                      <w:sz w:val="18"/>
                      <w:szCs w:val="18"/>
                      <w:lang w:val="en-US" w:eastAsia="zh-CN"/>
                    </w:rPr>
                    <w:t xml:space="preserve">13.29 </w:t>
                  </w:r>
                </w:p>
              </w:tc>
              <w:tc>
                <w:tcPr>
                  <w:tcW w:w="838" w:type="dxa"/>
                  <w:shd w:val="clear" w:color="auto" w:fill="auto"/>
                  <w:noWrap w:val="0"/>
                  <w:tcMar>
                    <w:top w:w="15" w:type="dxa"/>
                    <w:left w:w="15" w:type="dxa"/>
                    <w:bottom w:w="15" w:type="dxa"/>
                    <w:right w:w="15" w:type="dxa"/>
                  </w:tcMar>
                  <w:vAlign w:val="center"/>
                </w:tcPr>
                <w:p>
                  <w:pPr>
                    <w:adjustRightInd w:val="0"/>
                    <w:snapToGrid w:val="0"/>
                    <w:jc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color w:val="auto"/>
                      <w:sz w:val="18"/>
                      <w:szCs w:val="18"/>
                      <w:lang w:val="en-US" w:eastAsia="zh-CN"/>
                    </w:rPr>
                    <w:t xml:space="preserve">0.3720 </w:t>
                  </w:r>
                </w:p>
              </w:tc>
              <w:tc>
                <w:tcPr>
                  <w:tcW w:w="850" w:type="dxa"/>
                  <w:shd w:val="clear" w:color="auto" w:fill="auto"/>
                  <w:noWrap w:val="0"/>
                  <w:tcMar>
                    <w:top w:w="15" w:type="dxa"/>
                    <w:left w:w="15" w:type="dxa"/>
                    <w:bottom w:w="15" w:type="dxa"/>
                    <w:right w:w="15" w:type="dxa"/>
                  </w:tcMar>
                  <w:vAlign w:val="center"/>
                </w:tcPr>
                <w:p>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 xml:space="preserve">2.6784 </w:t>
                  </w:r>
                </w:p>
              </w:tc>
              <w:tc>
                <w:tcPr>
                  <w:tcW w:w="512" w:type="dxa"/>
                  <w:vMerge w:val="restart"/>
                  <w:shd w:val="clear" w:color="auto" w:fill="auto"/>
                  <w:noWrap w:val="0"/>
                  <w:tcMar>
                    <w:top w:w="15" w:type="dxa"/>
                    <w:left w:w="15" w:type="dxa"/>
                    <w:bottom w:w="15" w:type="dxa"/>
                    <w:right w:w="15" w:type="dxa"/>
                  </w:tcMar>
                  <w:vAlign w:val="center"/>
                </w:tcPr>
                <w:p>
                  <w:pPr>
                    <w:jc w:val="center"/>
                    <w:textAlignment w:val="center"/>
                    <w:rPr>
                      <w:rFonts w:hint="eastAsia" w:ascii="Times New Roman" w:hAnsi="Times New Roman" w:eastAsia="宋体" w:cs="Times New Roman"/>
                      <w:bCs/>
                      <w:color w:val="auto"/>
                      <w:kern w:val="2"/>
                      <w:sz w:val="18"/>
                      <w:szCs w:val="18"/>
                      <w:lang w:val="en-US" w:eastAsia="zh-CN" w:bidi="ar-SA"/>
                    </w:rPr>
                  </w:pPr>
                  <w:r>
                    <w:rPr>
                      <w:rFonts w:hint="eastAsia" w:ascii="Times New Roman" w:hAnsi="Times New Roman" w:eastAsia="宋体" w:cs="Times New Roman"/>
                      <w:bCs/>
                      <w:color w:val="auto"/>
                      <w:sz w:val="18"/>
                      <w:szCs w:val="18"/>
                      <w:lang w:eastAsia="zh-CN"/>
                    </w:rPr>
                    <w:t>有</w:t>
                  </w:r>
                  <w:r>
                    <w:rPr>
                      <w:rFonts w:hint="eastAsia" w:ascii="Times New Roman" w:hAnsi="Times New Roman" w:eastAsia="宋体" w:cs="Times New Roman"/>
                      <w:bCs/>
                      <w:color w:val="auto"/>
                      <w:sz w:val="18"/>
                      <w:szCs w:val="18"/>
                    </w:rPr>
                    <w:t>组织</w:t>
                  </w:r>
                </w:p>
              </w:tc>
              <w:tc>
                <w:tcPr>
                  <w:tcW w:w="775" w:type="dxa"/>
                  <w:vMerge w:val="restart"/>
                  <w:shd w:val="clear" w:color="auto" w:fill="auto"/>
                  <w:noWrap w:val="0"/>
                  <w:tcMar>
                    <w:top w:w="15" w:type="dxa"/>
                    <w:left w:w="15" w:type="dxa"/>
                    <w:bottom w:w="15" w:type="dxa"/>
                    <w:right w:w="15" w:type="dxa"/>
                  </w:tcMar>
                  <w:vAlign w:val="center"/>
                </w:tcPr>
                <w:p>
                  <w:pPr>
                    <w:jc w:val="center"/>
                    <w:textAlignment w:val="center"/>
                    <w:rPr>
                      <w:rFonts w:hint="eastAsia" w:cs="Times New Roman"/>
                      <w:bCs/>
                      <w:color w:val="auto"/>
                      <w:sz w:val="18"/>
                      <w:szCs w:val="18"/>
                      <w:lang w:val="en-US" w:eastAsia="zh-CN"/>
                    </w:rPr>
                  </w:pPr>
                  <w:r>
                    <w:rPr>
                      <w:rFonts w:hint="eastAsia" w:cs="Times New Roman"/>
                      <w:bCs/>
                      <w:color w:val="auto"/>
                      <w:sz w:val="18"/>
                      <w:szCs w:val="18"/>
                      <w:lang w:val="en-US" w:eastAsia="zh-CN"/>
                    </w:rPr>
                    <w:t>低氮燃烧</w:t>
                  </w:r>
                </w:p>
              </w:tc>
              <w:tc>
                <w:tcPr>
                  <w:tcW w:w="688" w:type="dxa"/>
                  <w:vMerge w:val="restart"/>
                  <w:shd w:val="clear" w:color="auto" w:fill="auto"/>
                  <w:noWrap w:val="0"/>
                  <w:vAlign w:val="center"/>
                </w:tcPr>
                <w:p>
                  <w:pPr>
                    <w:jc w:val="center"/>
                    <w:textAlignment w:val="center"/>
                    <w:rPr>
                      <w:rFonts w:hint="eastAsia" w:ascii="Times New Roman" w:hAnsi="Times New Roman" w:eastAsia="宋体" w:cs="Times New Roman"/>
                      <w:bCs/>
                      <w:color w:val="auto"/>
                      <w:kern w:val="2"/>
                      <w:sz w:val="18"/>
                      <w:szCs w:val="18"/>
                      <w:lang w:val="en-US" w:eastAsia="zh-CN" w:bidi="ar-SA"/>
                    </w:rPr>
                  </w:pPr>
                  <w:r>
                    <w:rPr>
                      <w:rFonts w:hint="eastAsia"/>
                      <w:bCs/>
                      <w:color w:val="auto"/>
                      <w:sz w:val="18"/>
                      <w:szCs w:val="18"/>
                      <w:lang w:val="en-US" w:eastAsia="zh-CN"/>
                    </w:rPr>
                    <w:t>280</w:t>
                  </w:r>
                  <w:r>
                    <w:rPr>
                      <w:rFonts w:hint="eastAsia"/>
                      <w:bCs/>
                      <w:color w:val="auto"/>
                      <w:sz w:val="18"/>
                      <w:szCs w:val="18"/>
                    </w:rPr>
                    <w:t>00m</w:t>
                  </w:r>
                  <w:r>
                    <w:rPr>
                      <w:rFonts w:hint="eastAsia"/>
                      <w:bCs/>
                      <w:color w:val="auto"/>
                      <w:sz w:val="18"/>
                      <w:szCs w:val="18"/>
                      <w:vertAlign w:val="superscript"/>
                    </w:rPr>
                    <w:t>3</w:t>
                  </w:r>
                  <w:r>
                    <w:rPr>
                      <w:rFonts w:hint="eastAsia"/>
                      <w:bCs/>
                      <w:color w:val="auto"/>
                      <w:sz w:val="18"/>
                      <w:szCs w:val="18"/>
                    </w:rPr>
                    <w:t>/h</w:t>
                  </w:r>
                </w:p>
              </w:tc>
              <w:tc>
                <w:tcPr>
                  <w:tcW w:w="700" w:type="dxa"/>
                  <w:vMerge w:val="restart"/>
                  <w:shd w:val="clear" w:color="auto" w:fill="auto"/>
                  <w:noWrap w:val="0"/>
                  <w:vAlign w:val="center"/>
                </w:tcPr>
                <w:p>
                  <w:pPr>
                    <w:jc w:val="center"/>
                    <w:textAlignment w:val="center"/>
                    <w:rPr>
                      <w:rFonts w:hint="eastAsia" w:ascii="Times New Roman" w:hAnsi="Times New Roman" w:eastAsia="宋体" w:cs="Times New Roman"/>
                      <w:bCs/>
                      <w:color w:val="auto"/>
                      <w:kern w:val="2"/>
                      <w:sz w:val="18"/>
                      <w:szCs w:val="18"/>
                      <w:lang w:val="en-US" w:eastAsia="zh-CN" w:bidi="ar-SA"/>
                    </w:rPr>
                  </w:pPr>
                  <w:r>
                    <w:rPr>
                      <w:rFonts w:hint="eastAsia" w:eastAsia="宋体" w:cs="Times New Roman"/>
                      <w:bCs/>
                      <w:color w:val="auto"/>
                      <w:sz w:val="18"/>
                      <w:szCs w:val="18"/>
                      <w:lang w:val="en-US" w:eastAsia="zh-CN"/>
                    </w:rPr>
                    <w:t>100%</w:t>
                  </w:r>
                </w:p>
              </w:tc>
              <w:tc>
                <w:tcPr>
                  <w:tcW w:w="612" w:type="dxa"/>
                  <w:shd w:val="clear" w:color="auto" w:fill="auto"/>
                  <w:noWrap w:val="0"/>
                  <w:vAlign w:val="center"/>
                </w:tcPr>
                <w:p>
                  <w:pPr>
                    <w:jc w:val="center"/>
                    <w:textAlignment w:val="center"/>
                    <w:rPr>
                      <w:rFonts w:hint="eastAsia" w:ascii="Times New Roman" w:hAnsi="Times New Roman" w:eastAsia="宋体" w:cs="Times New Roman"/>
                      <w:bCs/>
                      <w:color w:val="auto"/>
                      <w:kern w:val="2"/>
                      <w:sz w:val="18"/>
                      <w:szCs w:val="18"/>
                      <w:lang w:val="en-US" w:eastAsia="zh-CN" w:bidi="ar-SA"/>
                    </w:rPr>
                  </w:pPr>
                  <w:r>
                    <w:rPr>
                      <w:rFonts w:hint="eastAsia" w:ascii="Times New Roman" w:hAnsi="Times New Roman" w:eastAsia="宋体" w:cs="Times New Roman"/>
                      <w:bCs/>
                      <w:color w:val="auto"/>
                      <w:sz w:val="18"/>
                      <w:szCs w:val="18"/>
                      <w:lang w:val="en-US" w:eastAsia="zh-CN"/>
                    </w:rPr>
                    <w:t>0%</w:t>
                  </w:r>
                </w:p>
              </w:tc>
              <w:tc>
                <w:tcPr>
                  <w:tcW w:w="1013" w:type="dxa"/>
                  <w:shd w:val="clear" w:color="auto" w:fill="auto"/>
                  <w:noWrap w:val="0"/>
                  <w:vAlign w:val="center"/>
                </w:tcPr>
                <w:p>
                  <w:pPr>
                    <w:adjustRightInd w:val="0"/>
                    <w:snapToGrid w:val="0"/>
                    <w:jc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color w:val="auto"/>
                      <w:sz w:val="18"/>
                      <w:szCs w:val="18"/>
                      <w:lang w:val="en-US" w:eastAsia="zh-CN"/>
                    </w:rPr>
                    <w:t xml:space="preserve">13.29 </w:t>
                  </w:r>
                </w:p>
              </w:tc>
              <w:tc>
                <w:tcPr>
                  <w:tcW w:w="975" w:type="dxa"/>
                  <w:shd w:val="clear" w:color="auto" w:fill="auto"/>
                  <w:noWrap w:val="0"/>
                  <w:vAlign w:val="center"/>
                </w:tcPr>
                <w:p>
                  <w:pPr>
                    <w:adjustRightInd w:val="0"/>
                    <w:snapToGrid w:val="0"/>
                    <w:jc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color w:val="auto"/>
                      <w:sz w:val="18"/>
                      <w:szCs w:val="18"/>
                      <w:lang w:val="en-US" w:eastAsia="zh-CN"/>
                    </w:rPr>
                    <w:t xml:space="preserve">0.3720 </w:t>
                  </w:r>
                </w:p>
              </w:tc>
              <w:tc>
                <w:tcPr>
                  <w:tcW w:w="887" w:type="dxa"/>
                  <w:shd w:val="clear" w:color="auto" w:fill="auto"/>
                  <w:noWrap w:val="0"/>
                  <w:vAlign w:val="center"/>
                </w:tcPr>
                <w:p>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 xml:space="preserve">2.6784 </w:t>
                  </w:r>
                </w:p>
              </w:tc>
              <w:tc>
                <w:tcPr>
                  <w:tcW w:w="875" w:type="dxa"/>
                  <w:shd w:val="clear" w:color="auto" w:fill="auto"/>
                  <w:noWrap w:val="0"/>
                  <w:vAlign w:val="center"/>
                </w:tcPr>
                <w:p>
                  <w:pPr>
                    <w:pStyle w:val="30"/>
                    <w:keepNext w:val="0"/>
                    <w:keepLines w:val="0"/>
                    <w:pageBreakBefore w:val="0"/>
                    <w:widowControl/>
                    <w:kinsoku/>
                    <w:wordWrap/>
                    <w:overflowPunct/>
                    <w:topLinePunct w:val="0"/>
                    <w:autoSpaceDE/>
                    <w:autoSpaceDN/>
                    <w:bidi w:val="0"/>
                    <w:spacing w:line="240" w:lineRule="auto"/>
                    <w:ind w:firstLine="0" w:firstLineChars="0"/>
                    <w:textAlignment w:val="auto"/>
                    <w:rPr>
                      <w:rFonts w:hint="eastAsia" w:ascii="Times New Roman" w:hAnsi="Times New Roman" w:eastAsia="宋体" w:cs="Times New Roman"/>
                      <w:bCs/>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rPr>
                    <w:t>80</w:t>
                  </w:r>
                </w:p>
              </w:tc>
              <w:tc>
                <w:tcPr>
                  <w:tcW w:w="700" w:type="dxa"/>
                  <w:shd w:val="clear" w:color="auto" w:fill="auto"/>
                  <w:noWrap w:val="0"/>
                  <w:tcMar>
                    <w:top w:w="15" w:type="dxa"/>
                    <w:left w:w="15" w:type="dxa"/>
                    <w:bottom w:w="15" w:type="dxa"/>
                    <w:right w:w="15" w:type="dxa"/>
                  </w:tcMar>
                  <w:vAlign w:val="center"/>
                </w:tcPr>
                <w:p>
                  <w:pPr>
                    <w:jc w:val="center"/>
                    <w:textAlignment w:val="center"/>
                    <w:rPr>
                      <w:rFonts w:hint="eastAsia" w:ascii="Times New Roman" w:hAnsi="Times New Roman" w:eastAsia="宋体" w:cs="Times New Roman"/>
                      <w:bCs/>
                      <w:color w:val="auto"/>
                      <w:kern w:val="2"/>
                      <w:sz w:val="18"/>
                      <w:szCs w:val="18"/>
                      <w:lang w:val="en-US" w:eastAsia="zh-CN" w:bidi="ar-SA"/>
                    </w:rPr>
                  </w:pPr>
                  <w:r>
                    <w:rPr>
                      <w:rFonts w:hint="eastAsia" w:ascii="Times New Roman" w:hAnsi="Times New Roman" w:eastAsia="宋体" w:cs="Times New Roman"/>
                      <w:bCs/>
                      <w:color w:val="auto"/>
                      <w:sz w:val="18"/>
                      <w:szCs w:val="18"/>
                      <w:lang w:val="en-US" w:eastAsia="zh-CN"/>
                    </w:rPr>
                    <w:t>/</w:t>
                  </w:r>
                </w:p>
              </w:tc>
              <w:tc>
                <w:tcPr>
                  <w:tcW w:w="665" w:type="dxa"/>
                  <w:shd w:val="clear" w:color="auto" w:fill="auto"/>
                  <w:noWrap w:val="0"/>
                  <w:tcMar>
                    <w:top w:w="15" w:type="dxa"/>
                    <w:left w:w="15" w:type="dxa"/>
                    <w:bottom w:w="15" w:type="dxa"/>
                    <w:right w:w="15" w:type="dxa"/>
                  </w:tcMar>
                  <w:vAlign w:val="center"/>
                </w:tcPr>
                <w:p>
                  <w:pPr>
                    <w:jc w:val="center"/>
                    <w:textAlignment w:val="center"/>
                    <w:rPr>
                      <w:rFonts w:hint="eastAsia" w:ascii="Times New Roman" w:hAnsi="Times New Roman" w:eastAsia="宋体" w:cs="Times New Roman"/>
                      <w:bCs/>
                      <w:color w:val="auto"/>
                      <w:kern w:val="2"/>
                      <w:sz w:val="18"/>
                      <w:szCs w:val="18"/>
                      <w:lang w:val="en-US" w:eastAsia="zh-CN" w:bidi="ar-SA"/>
                    </w:rPr>
                  </w:pPr>
                  <w:r>
                    <w:rPr>
                      <w:rFonts w:hint="eastAsia"/>
                      <w:bCs/>
                      <w:color w:val="auto"/>
                      <w:sz w:val="18"/>
                      <w:szCs w:val="18"/>
                      <w:lang w:val="en-US" w:eastAsia="zh-CN"/>
                    </w:rPr>
                    <w:t>7200h</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108" w:type="dxa"/>
                  <w:bottom w:w="0" w:type="dxa"/>
                  <w:right w:w="108" w:type="dxa"/>
                </w:tblCellMar>
              </w:tblPrEx>
              <w:trPr>
                <w:trHeight w:val="545" w:hRule="atLeast"/>
                <w:jc w:val="center"/>
              </w:trPr>
              <w:tc>
                <w:tcPr>
                  <w:tcW w:w="692" w:type="dxa"/>
                  <w:vMerge w:val="continue"/>
                  <w:noWrap w:val="0"/>
                  <w:tcMar>
                    <w:top w:w="15" w:type="dxa"/>
                    <w:left w:w="15" w:type="dxa"/>
                    <w:bottom w:w="15" w:type="dxa"/>
                    <w:right w:w="15" w:type="dxa"/>
                  </w:tcMar>
                  <w:vAlign w:val="center"/>
                </w:tcPr>
                <w:p>
                  <w:pPr>
                    <w:jc w:val="center"/>
                    <w:textAlignment w:val="center"/>
                    <w:rPr>
                      <w:rFonts w:hint="default" w:ascii="Times New Roman" w:hAnsi="Times New Roman" w:eastAsia="宋体" w:cs="Times New Roman"/>
                      <w:bCs/>
                      <w:color w:val="auto"/>
                      <w:sz w:val="18"/>
                      <w:szCs w:val="18"/>
                      <w:lang w:val="en-US" w:eastAsia="zh-CN"/>
                    </w:rPr>
                  </w:pPr>
                </w:p>
              </w:tc>
              <w:tc>
                <w:tcPr>
                  <w:tcW w:w="693" w:type="dxa"/>
                  <w:vMerge w:val="continue"/>
                  <w:noWrap w:val="0"/>
                  <w:tcMar>
                    <w:top w:w="15" w:type="dxa"/>
                    <w:left w:w="15" w:type="dxa"/>
                    <w:bottom w:w="15" w:type="dxa"/>
                    <w:right w:w="15" w:type="dxa"/>
                  </w:tcMar>
                  <w:vAlign w:val="center"/>
                </w:tcPr>
                <w:p>
                  <w:pPr>
                    <w:jc w:val="center"/>
                    <w:textAlignment w:val="center"/>
                    <w:rPr>
                      <w:rFonts w:hint="eastAsia" w:ascii="Times New Roman" w:hAnsi="Times New Roman" w:eastAsia="宋体" w:cs="Times New Roman"/>
                      <w:bCs/>
                      <w:color w:val="auto"/>
                      <w:kern w:val="2"/>
                      <w:sz w:val="18"/>
                      <w:szCs w:val="18"/>
                      <w:lang w:val="en-US" w:eastAsia="zh-CN" w:bidi="ar-SA"/>
                    </w:rPr>
                  </w:pPr>
                </w:p>
              </w:tc>
              <w:tc>
                <w:tcPr>
                  <w:tcW w:w="688" w:type="dxa"/>
                  <w:shd w:val="clear" w:color="auto" w:fill="auto"/>
                  <w:noWrap w:val="0"/>
                  <w:tcMar>
                    <w:top w:w="15" w:type="dxa"/>
                    <w:left w:w="15" w:type="dxa"/>
                    <w:bottom w:w="15" w:type="dxa"/>
                    <w:right w:w="15" w:type="dxa"/>
                  </w:tcMar>
                  <w:vAlign w:val="center"/>
                </w:tcPr>
                <w:p>
                  <w:pPr>
                    <w:pStyle w:val="49"/>
                    <w:ind w:firstLine="0" w:firstLineChars="0"/>
                    <w:jc w:val="center"/>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sz w:val="18"/>
                      <w:szCs w:val="18"/>
                    </w:rPr>
                    <w:t>NOx</w:t>
                  </w:r>
                </w:p>
              </w:tc>
              <w:tc>
                <w:tcPr>
                  <w:tcW w:w="862" w:type="dxa"/>
                  <w:shd w:val="clear" w:color="auto" w:fill="auto"/>
                  <w:noWrap w:val="0"/>
                  <w:tcMar>
                    <w:top w:w="15" w:type="dxa"/>
                    <w:left w:w="15" w:type="dxa"/>
                    <w:bottom w:w="15" w:type="dxa"/>
                    <w:right w:w="15" w:type="dxa"/>
                  </w:tcMar>
                  <w:vAlign w:val="center"/>
                </w:tcPr>
                <w:p>
                  <w:pPr>
                    <w:adjustRightInd w:val="0"/>
                    <w:snapToGrid w:val="0"/>
                    <w:jc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color w:val="auto"/>
                      <w:sz w:val="18"/>
                      <w:szCs w:val="18"/>
                      <w:lang w:val="en-US" w:eastAsia="zh-CN"/>
                    </w:rPr>
                    <w:t xml:space="preserve">124.22 </w:t>
                  </w:r>
                </w:p>
              </w:tc>
              <w:tc>
                <w:tcPr>
                  <w:tcW w:w="838" w:type="dxa"/>
                  <w:shd w:val="clear" w:color="auto" w:fill="auto"/>
                  <w:noWrap w:val="0"/>
                  <w:tcMar>
                    <w:top w:w="15" w:type="dxa"/>
                    <w:left w:w="15" w:type="dxa"/>
                    <w:bottom w:w="15" w:type="dxa"/>
                    <w:right w:w="15" w:type="dxa"/>
                  </w:tcMar>
                  <w:vAlign w:val="center"/>
                </w:tcPr>
                <w:p>
                  <w:pPr>
                    <w:adjustRightInd w:val="0"/>
                    <w:snapToGrid w:val="0"/>
                    <w:jc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color w:val="auto"/>
                      <w:sz w:val="18"/>
                      <w:szCs w:val="18"/>
                      <w:lang w:val="en-US" w:eastAsia="zh-CN"/>
                    </w:rPr>
                    <w:t xml:space="preserve">3.4782 </w:t>
                  </w:r>
                </w:p>
              </w:tc>
              <w:tc>
                <w:tcPr>
                  <w:tcW w:w="850" w:type="dxa"/>
                  <w:shd w:val="clear" w:color="auto" w:fill="auto"/>
                  <w:noWrap w:val="0"/>
                  <w:tcMar>
                    <w:top w:w="15" w:type="dxa"/>
                    <w:left w:w="15" w:type="dxa"/>
                    <w:bottom w:w="15" w:type="dxa"/>
                    <w:right w:w="15" w:type="dxa"/>
                  </w:tcMar>
                  <w:vAlign w:val="center"/>
                </w:tcPr>
                <w:p>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 xml:space="preserve">25.0430 </w:t>
                  </w:r>
                </w:p>
              </w:tc>
              <w:tc>
                <w:tcPr>
                  <w:tcW w:w="512" w:type="dxa"/>
                  <w:vMerge w:val="continue"/>
                  <w:noWrap w:val="0"/>
                  <w:tcMar>
                    <w:top w:w="15" w:type="dxa"/>
                    <w:left w:w="15" w:type="dxa"/>
                    <w:bottom w:w="15" w:type="dxa"/>
                    <w:right w:w="15" w:type="dxa"/>
                  </w:tcMar>
                  <w:vAlign w:val="center"/>
                </w:tcPr>
                <w:p>
                  <w:pPr>
                    <w:jc w:val="center"/>
                    <w:textAlignment w:val="center"/>
                    <w:rPr>
                      <w:rFonts w:hint="eastAsia" w:ascii="Times New Roman" w:hAnsi="Times New Roman" w:eastAsia="宋体" w:cs="Times New Roman"/>
                      <w:bCs/>
                      <w:color w:val="auto"/>
                      <w:sz w:val="18"/>
                      <w:szCs w:val="18"/>
                      <w:lang w:eastAsia="zh-CN"/>
                    </w:rPr>
                  </w:pPr>
                </w:p>
              </w:tc>
              <w:tc>
                <w:tcPr>
                  <w:tcW w:w="775" w:type="dxa"/>
                  <w:vMerge w:val="continue"/>
                  <w:noWrap w:val="0"/>
                  <w:tcMar>
                    <w:top w:w="15" w:type="dxa"/>
                    <w:left w:w="15" w:type="dxa"/>
                    <w:bottom w:w="15" w:type="dxa"/>
                    <w:right w:w="15" w:type="dxa"/>
                  </w:tcMar>
                  <w:vAlign w:val="center"/>
                </w:tcPr>
                <w:p>
                  <w:pPr>
                    <w:jc w:val="center"/>
                    <w:textAlignment w:val="center"/>
                    <w:rPr>
                      <w:rFonts w:hint="eastAsia" w:eastAsia="宋体" w:cs="Times New Roman"/>
                      <w:bCs/>
                      <w:color w:val="auto"/>
                      <w:sz w:val="18"/>
                      <w:szCs w:val="18"/>
                      <w:lang w:val="en-US" w:eastAsia="zh-CN"/>
                    </w:rPr>
                  </w:pPr>
                </w:p>
              </w:tc>
              <w:tc>
                <w:tcPr>
                  <w:tcW w:w="688" w:type="dxa"/>
                  <w:vMerge w:val="continue"/>
                  <w:noWrap w:val="0"/>
                  <w:vAlign w:val="center"/>
                </w:tcPr>
                <w:p>
                  <w:pPr>
                    <w:jc w:val="center"/>
                    <w:textAlignment w:val="center"/>
                    <w:rPr>
                      <w:rFonts w:hint="eastAsia"/>
                      <w:bCs/>
                      <w:color w:val="auto"/>
                      <w:sz w:val="18"/>
                      <w:szCs w:val="18"/>
                    </w:rPr>
                  </w:pPr>
                </w:p>
              </w:tc>
              <w:tc>
                <w:tcPr>
                  <w:tcW w:w="700" w:type="dxa"/>
                  <w:vMerge w:val="continue"/>
                  <w:noWrap w:val="0"/>
                  <w:vAlign w:val="center"/>
                </w:tcPr>
                <w:p>
                  <w:pPr>
                    <w:jc w:val="center"/>
                    <w:textAlignment w:val="center"/>
                    <w:rPr>
                      <w:rFonts w:hint="eastAsia"/>
                      <w:bCs/>
                      <w:color w:val="auto"/>
                      <w:sz w:val="18"/>
                      <w:szCs w:val="18"/>
                    </w:rPr>
                  </w:pPr>
                </w:p>
              </w:tc>
              <w:tc>
                <w:tcPr>
                  <w:tcW w:w="612" w:type="dxa"/>
                  <w:noWrap w:val="0"/>
                  <w:vAlign w:val="center"/>
                </w:tcPr>
                <w:p>
                  <w:pPr>
                    <w:jc w:val="center"/>
                    <w:textAlignment w:val="center"/>
                    <w:rPr>
                      <w:rFonts w:hint="eastAsia"/>
                      <w:bCs/>
                      <w:color w:val="auto"/>
                      <w:sz w:val="18"/>
                      <w:szCs w:val="18"/>
                    </w:rPr>
                  </w:pPr>
                  <w:r>
                    <w:rPr>
                      <w:rFonts w:hint="eastAsia" w:cs="Times New Roman"/>
                      <w:bCs/>
                      <w:color w:val="auto"/>
                      <w:sz w:val="18"/>
                      <w:szCs w:val="18"/>
                      <w:lang w:val="en-US" w:eastAsia="zh-CN"/>
                    </w:rPr>
                    <w:t>50%</w:t>
                  </w:r>
                </w:p>
              </w:tc>
              <w:tc>
                <w:tcPr>
                  <w:tcW w:w="1013" w:type="dxa"/>
                  <w:shd w:val="clear" w:color="auto" w:fill="auto"/>
                  <w:noWrap w:val="0"/>
                  <w:vAlign w:val="center"/>
                </w:tcPr>
                <w:p>
                  <w:pPr>
                    <w:adjustRightInd w:val="0"/>
                    <w:snapToGrid w:val="0"/>
                    <w:jc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color w:val="auto"/>
                      <w:sz w:val="18"/>
                      <w:szCs w:val="18"/>
                      <w:lang w:val="en-US" w:eastAsia="zh-CN"/>
                    </w:rPr>
                    <w:t xml:space="preserve">62.11 </w:t>
                  </w:r>
                </w:p>
              </w:tc>
              <w:tc>
                <w:tcPr>
                  <w:tcW w:w="975" w:type="dxa"/>
                  <w:shd w:val="clear" w:color="auto" w:fill="auto"/>
                  <w:noWrap w:val="0"/>
                  <w:vAlign w:val="center"/>
                </w:tcPr>
                <w:p>
                  <w:pPr>
                    <w:adjustRightInd w:val="0"/>
                    <w:snapToGrid w:val="0"/>
                    <w:jc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color w:val="auto"/>
                      <w:sz w:val="18"/>
                      <w:szCs w:val="18"/>
                      <w:lang w:val="en-US" w:eastAsia="zh-CN"/>
                    </w:rPr>
                    <w:t xml:space="preserve">1.7391 </w:t>
                  </w:r>
                </w:p>
              </w:tc>
              <w:tc>
                <w:tcPr>
                  <w:tcW w:w="887" w:type="dxa"/>
                  <w:shd w:val="clear" w:color="auto" w:fill="auto"/>
                  <w:noWrap w:val="0"/>
                  <w:vAlign w:val="center"/>
                </w:tcPr>
                <w:p>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 xml:space="preserve">12.5215 </w:t>
                  </w:r>
                </w:p>
              </w:tc>
              <w:tc>
                <w:tcPr>
                  <w:tcW w:w="875" w:type="dxa"/>
                  <w:shd w:val="clear" w:color="auto" w:fill="auto"/>
                  <w:noWrap w:val="0"/>
                  <w:vAlign w:val="center"/>
                </w:tcPr>
                <w:p>
                  <w:pPr>
                    <w:pStyle w:val="30"/>
                    <w:keepNext w:val="0"/>
                    <w:keepLines w:val="0"/>
                    <w:pageBreakBefore w:val="0"/>
                    <w:widowControl/>
                    <w:kinsoku/>
                    <w:wordWrap/>
                    <w:overflowPunct/>
                    <w:topLinePunct w:val="0"/>
                    <w:autoSpaceDE/>
                    <w:autoSpaceDN/>
                    <w:bidi w:val="0"/>
                    <w:spacing w:line="240" w:lineRule="auto"/>
                    <w:ind w:firstLine="0" w:firstLineChars="0"/>
                    <w:textAlignment w:val="auto"/>
                    <w:rPr>
                      <w:rFonts w:hint="eastAsia" w:ascii="Times New Roman" w:hAnsi="Times New Roman" w:eastAsia="宋体" w:cs="Times New Roman"/>
                      <w:bCs/>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rPr>
                    <w:t>180</w:t>
                  </w:r>
                </w:p>
              </w:tc>
              <w:tc>
                <w:tcPr>
                  <w:tcW w:w="700" w:type="dxa"/>
                  <w:shd w:val="clear" w:color="auto" w:fill="auto"/>
                  <w:noWrap w:val="0"/>
                  <w:tcMar>
                    <w:top w:w="15" w:type="dxa"/>
                    <w:left w:w="15" w:type="dxa"/>
                    <w:bottom w:w="15" w:type="dxa"/>
                    <w:right w:w="15" w:type="dxa"/>
                  </w:tcMar>
                  <w:vAlign w:val="center"/>
                </w:tcPr>
                <w:p>
                  <w:pPr>
                    <w:jc w:val="center"/>
                    <w:textAlignment w:val="center"/>
                    <w:rPr>
                      <w:rFonts w:hint="eastAsia" w:ascii="Times New Roman" w:hAnsi="Times New Roman" w:eastAsia="宋体" w:cs="Times New Roman"/>
                      <w:bCs/>
                      <w:color w:val="auto"/>
                      <w:kern w:val="2"/>
                      <w:sz w:val="18"/>
                      <w:szCs w:val="18"/>
                      <w:lang w:val="en-US" w:eastAsia="zh-CN" w:bidi="ar-SA"/>
                    </w:rPr>
                  </w:pPr>
                  <w:r>
                    <w:rPr>
                      <w:rFonts w:hint="eastAsia" w:ascii="Times New Roman" w:hAnsi="Times New Roman" w:eastAsia="宋体" w:cs="Times New Roman"/>
                      <w:bCs/>
                      <w:color w:val="auto"/>
                      <w:sz w:val="18"/>
                      <w:szCs w:val="18"/>
                      <w:lang w:val="en-US" w:eastAsia="zh-CN"/>
                    </w:rPr>
                    <w:t>/</w:t>
                  </w:r>
                </w:p>
              </w:tc>
              <w:tc>
                <w:tcPr>
                  <w:tcW w:w="665" w:type="dxa"/>
                  <w:shd w:val="clear" w:color="auto" w:fill="auto"/>
                  <w:noWrap w:val="0"/>
                  <w:tcMar>
                    <w:top w:w="15" w:type="dxa"/>
                    <w:left w:w="15" w:type="dxa"/>
                    <w:bottom w:w="15" w:type="dxa"/>
                    <w:right w:w="15" w:type="dxa"/>
                  </w:tcMar>
                  <w:vAlign w:val="center"/>
                </w:tcPr>
                <w:p>
                  <w:pPr>
                    <w:jc w:val="center"/>
                    <w:textAlignment w:val="center"/>
                    <w:rPr>
                      <w:rFonts w:hint="eastAsia" w:ascii="Times New Roman" w:hAnsi="Times New Roman" w:eastAsia="宋体" w:cs="Times New Roman"/>
                      <w:bCs/>
                      <w:color w:val="auto"/>
                      <w:kern w:val="2"/>
                      <w:sz w:val="18"/>
                      <w:szCs w:val="18"/>
                      <w:lang w:val="en-US" w:eastAsia="zh-CN" w:bidi="ar-SA"/>
                    </w:rPr>
                  </w:pPr>
                  <w:r>
                    <w:rPr>
                      <w:rFonts w:hint="eastAsia"/>
                      <w:bCs/>
                      <w:color w:val="auto"/>
                      <w:sz w:val="18"/>
                      <w:szCs w:val="18"/>
                      <w:lang w:val="en-US" w:eastAsia="zh-CN"/>
                    </w:rPr>
                    <w:t>7200h</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108" w:type="dxa"/>
                  <w:bottom w:w="0" w:type="dxa"/>
                  <w:right w:w="108" w:type="dxa"/>
                </w:tblCellMar>
              </w:tblPrEx>
              <w:trPr>
                <w:trHeight w:val="545" w:hRule="atLeast"/>
                <w:jc w:val="center"/>
              </w:trPr>
              <w:tc>
                <w:tcPr>
                  <w:tcW w:w="692" w:type="dxa"/>
                  <w:vMerge w:val="continue"/>
                  <w:noWrap w:val="0"/>
                  <w:tcMar>
                    <w:top w:w="15" w:type="dxa"/>
                    <w:left w:w="15" w:type="dxa"/>
                    <w:bottom w:w="15" w:type="dxa"/>
                    <w:right w:w="15" w:type="dxa"/>
                  </w:tcMar>
                  <w:vAlign w:val="center"/>
                </w:tcPr>
                <w:p>
                  <w:pPr>
                    <w:jc w:val="center"/>
                    <w:textAlignment w:val="center"/>
                    <w:rPr>
                      <w:rFonts w:hint="default" w:ascii="Times New Roman" w:hAnsi="Times New Roman" w:eastAsia="宋体" w:cs="Times New Roman"/>
                      <w:bCs/>
                      <w:color w:val="auto"/>
                      <w:sz w:val="18"/>
                      <w:szCs w:val="18"/>
                      <w:lang w:val="en-US" w:eastAsia="zh-CN"/>
                    </w:rPr>
                  </w:pPr>
                </w:p>
              </w:tc>
              <w:tc>
                <w:tcPr>
                  <w:tcW w:w="693" w:type="dxa"/>
                  <w:vMerge w:val="continue"/>
                  <w:noWrap w:val="0"/>
                  <w:tcMar>
                    <w:top w:w="15" w:type="dxa"/>
                    <w:left w:w="15" w:type="dxa"/>
                    <w:bottom w:w="15" w:type="dxa"/>
                    <w:right w:w="15" w:type="dxa"/>
                  </w:tcMar>
                  <w:vAlign w:val="center"/>
                </w:tcPr>
                <w:p>
                  <w:pPr>
                    <w:jc w:val="center"/>
                    <w:textAlignment w:val="center"/>
                    <w:rPr>
                      <w:rFonts w:hint="eastAsia" w:ascii="Times New Roman" w:hAnsi="Times New Roman" w:eastAsia="宋体" w:cs="Times New Roman"/>
                      <w:bCs/>
                      <w:color w:val="auto"/>
                      <w:kern w:val="2"/>
                      <w:sz w:val="18"/>
                      <w:szCs w:val="18"/>
                      <w:lang w:val="en-US" w:eastAsia="zh-CN" w:bidi="ar-SA"/>
                    </w:rPr>
                  </w:pPr>
                </w:p>
              </w:tc>
              <w:tc>
                <w:tcPr>
                  <w:tcW w:w="688" w:type="dxa"/>
                  <w:shd w:val="clear" w:color="auto" w:fill="auto"/>
                  <w:noWrap w:val="0"/>
                  <w:tcMar>
                    <w:top w:w="15" w:type="dxa"/>
                    <w:left w:w="15" w:type="dxa"/>
                    <w:bottom w:w="15" w:type="dxa"/>
                    <w:right w:w="15" w:type="dxa"/>
                  </w:tcMar>
                  <w:vAlign w:val="center"/>
                </w:tcPr>
                <w:p>
                  <w:pPr>
                    <w:pStyle w:val="49"/>
                    <w:ind w:firstLine="0" w:firstLineChars="0"/>
                    <w:jc w:val="center"/>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sz w:val="18"/>
                      <w:szCs w:val="18"/>
                    </w:rPr>
                    <w:t>颗粒物</w:t>
                  </w:r>
                </w:p>
              </w:tc>
              <w:tc>
                <w:tcPr>
                  <w:tcW w:w="862" w:type="dxa"/>
                  <w:shd w:val="clear" w:color="auto" w:fill="auto"/>
                  <w:noWrap w:val="0"/>
                  <w:tcMar>
                    <w:top w:w="15" w:type="dxa"/>
                    <w:left w:w="15" w:type="dxa"/>
                    <w:bottom w:w="15" w:type="dxa"/>
                    <w:right w:w="15" w:type="dxa"/>
                  </w:tcMar>
                  <w:vAlign w:val="center"/>
                </w:tcPr>
                <w:p>
                  <w:pPr>
                    <w:adjustRightInd w:val="0"/>
                    <w:snapToGrid w:val="0"/>
                    <w:jc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color w:val="auto"/>
                      <w:sz w:val="18"/>
                      <w:szCs w:val="18"/>
                      <w:lang w:val="en-US" w:eastAsia="zh-CN"/>
                    </w:rPr>
                    <w:t xml:space="preserve">19.00 </w:t>
                  </w:r>
                </w:p>
              </w:tc>
              <w:tc>
                <w:tcPr>
                  <w:tcW w:w="838" w:type="dxa"/>
                  <w:shd w:val="clear" w:color="auto" w:fill="auto"/>
                  <w:noWrap w:val="0"/>
                  <w:tcMar>
                    <w:top w:w="15" w:type="dxa"/>
                    <w:left w:w="15" w:type="dxa"/>
                    <w:bottom w:w="15" w:type="dxa"/>
                    <w:right w:w="15" w:type="dxa"/>
                  </w:tcMar>
                  <w:vAlign w:val="center"/>
                </w:tcPr>
                <w:p>
                  <w:pPr>
                    <w:adjustRightInd w:val="0"/>
                    <w:snapToGrid w:val="0"/>
                    <w:jc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color w:val="auto"/>
                      <w:sz w:val="18"/>
                      <w:szCs w:val="18"/>
                      <w:lang w:val="en-US" w:eastAsia="zh-CN"/>
                    </w:rPr>
                    <w:t xml:space="preserve">0.5320 </w:t>
                  </w:r>
                </w:p>
              </w:tc>
              <w:tc>
                <w:tcPr>
                  <w:tcW w:w="850" w:type="dxa"/>
                  <w:shd w:val="clear" w:color="auto" w:fill="auto"/>
                  <w:noWrap w:val="0"/>
                  <w:tcMar>
                    <w:top w:w="15" w:type="dxa"/>
                    <w:left w:w="15" w:type="dxa"/>
                    <w:bottom w:w="15" w:type="dxa"/>
                    <w:right w:w="15" w:type="dxa"/>
                  </w:tcMar>
                  <w:vAlign w:val="center"/>
                </w:tcPr>
                <w:p>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 xml:space="preserve">3.8301 </w:t>
                  </w:r>
                </w:p>
              </w:tc>
              <w:tc>
                <w:tcPr>
                  <w:tcW w:w="512" w:type="dxa"/>
                  <w:vMerge w:val="continue"/>
                  <w:noWrap w:val="0"/>
                  <w:tcMar>
                    <w:top w:w="15" w:type="dxa"/>
                    <w:left w:w="15" w:type="dxa"/>
                    <w:bottom w:w="15" w:type="dxa"/>
                    <w:right w:w="15" w:type="dxa"/>
                  </w:tcMar>
                  <w:vAlign w:val="center"/>
                </w:tcPr>
                <w:p>
                  <w:pPr>
                    <w:jc w:val="center"/>
                    <w:textAlignment w:val="center"/>
                    <w:rPr>
                      <w:rFonts w:hint="eastAsia" w:ascii="Times New Roman" w:hAnsi="Times New Roman" w:eastAsia="宋体" w:cs="Times New Roman"/>
                      <w:bCs/>
                      <w:color w:val="auto"/>
                      <w:sz w:val="18"/>
                      <w:szCs w:val="18"/>
                      <w:lang w:eastAsia="zh-CN"/>
                    </w:rPr>
                  </w:pPr>
                </w:p>
              </w:tc>
              <w:tc>
                <w:tcPr>
                  <w:tcW w:w="775" w:type="dxa"/>
                  <w:vMerge w:val="continue"/>
                  <w:noWrap w:val="0"/>
                  <w:tcMar>
                    <w:top w:w="15" w:type="dxa"/>
                    <w:left w:w="15" w:type="dxa"/>
                    <w:bottom w:w="15" w:type="dxa"/>
                    <w:right w:w="15" w:type="dxa"/>
                  </w:tcMar>
                  <w:vAlign w:val="center"/>
                </w:tcPr>
                <w:p>
                  <w:pPr>
                    <w:jc w:val="center"/>
                    <w:textAlignment w:val="center"/>
                    <w:rPr>
                      <w:rFonts w:hint="eastAsia" w:eastAsia="宋体" w:cs="Times New Roman"/>
                      <w:bCs/>
                      <w:color w:val="auto"/>
                      <w:sz w:val="18"/>
                      <w:szCs w:val="18"/>
                      <w:lang w:val="en-US" w:eastAsia="zh-CN"/>
                    </w:rPr>
                  </w:pPr>
                </w:p>
              </w:tc>
              <w:tc>
                <w:tcPr>
                  <w:tcW w:w="688" w:type="dxa"/>
                  <w:vMerge w:val="continue"/>
                  <w:noWrap w:val="0"/>
                  <w:vAlign w:val="center"/>
                </w:tcPr>
                <w:p>
                  <w:pPr>
                    <w:jc w:val="center"/>
                    <w:textAlignment w:val="center"/>
                    <w:rPr>
                      <w:rFonts w:hint="eastAsia"/>
                      <w:bCs/>
                      <w:color w:val="auto"/>
                      <w:sz w:val="18"/>
                      <w:szCs w:val="18"/>
                    </w:rPr>
                  </w:pPr>
                </w:p>
              </w:tc>
              <w:tc>
                <w:tcPr>
                  <w:tcW w:w="700" w:type="dxa"/>
                  <w:vMerge w:val="continue"/>
                  <w:noWrap w:val="0"/>
                  <w:vAlign w:val="center"/>
                </w:tcPr>
                <w:p>
                  <w:pPr>
                    <w:jc w:val="center"/>
                    <w:textAlignment w:val="center"/>
                    <w:rPr>
                      <w:rFonts w:hint="eastAsia"/>
                      <w:bCs/>
                      <w:color w:val="auto"/>
                      <w:sz w:val="18"/>
                      <w:szCs w:val="18"/>
                    </w:rPr>
                  </w:pPr>
                </w:p>
              </w:tc>
              <w:tc>
                <w:tcPr>
                  <w:tcW w:w="612" w:type="dxa"/>
                  <w:noWrap w:val="0"/>
                  <w:vAlign w:val="center"/>
                </w:tcPr>
                <w:p>
                  <w:pPr>
                    <w:jc w:val="center"/>
                    <w:textAlignment w:val="center"/>
                    <w:rPr>
                      <w:rFonts w:hint="eastAsia"/>
                      <w:bCs/>
                      <w:color w:val="auto"/>
                      <w:sz w:val="18"/>
                      <w:szCs w:val="18"/>
                    </w:rPr>
                  </w:pPr>
                  <w:r>
                    <w:rPr>
                      <w:rFonts w:hint="eastAsia" w:ascii="Times New Roman" w:hAnsi="Times New Roman" w:eastAsia="宋体" w:cs="Times New Roman"/>
                      <w:bCs/>
                      <w:color w:val="auto"/>
                      <w:sz w:val="18"/>
                      <w:szCs w:val="18"/>
                      <w:lang w:val="en-US" w:eastAsia="zh-CN"/>
                    </w:rPr>
                    <w:t>0%</w:t>
                  </w:r>
                </w:p>
              </w:tc>
              <w:tc>
                <w:tcPr>
                  <w:tcW w:w="1013" w:type="dxa"/>
                  <w:shd w:val="clear" w:color="auto" w:fill="auto"/>
                  <w:noWrap w:val="0"/>
                  <w:vAlign w:val="center"/>
                </w:tcPr>
                <w:p>
                  <w:pPr>
                    <w:adjustRightInd w:val="0"/>
                    <w:snapToGrid w:val="0"/>
                    <w:jc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color w:val="auto"/>
                      <w:sz w:val="18"/>
                      <w:szCs w:val="18"/>
                      <w:lang w:val="en-US" w:eastAsia="zh-CN"/>
                    </w:rPr>
                    <w:t xml:space="preserve">19.00 </w:t>
                  </w:r>
                </w:p>
              </w:tc>
              <w:tc>
                <w:tcPr>
                  <w:tcW w:w="975" w:type="dxa"/>
                  <w:shd w:val="clear" w:color="auto" w:fill="auto"/>
                  <w:noWrap w:val="0"/>
                  <w:vAlign w:val="center"/>
                </w:tcPr>
                <w:p>
                  <w:pPr>
                    <w:adjustRightInd w:val="0"/>
                    <w:snapToGrid w:val="0"/>
                    <w:jc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color w:val="auto"/>
                      <w:sz w:val="18"/>
                      <w:szCs w:val="18"/>
                      <w:lang w:val="en-US" w:eastAsia="zh-CN"/>
                    </w:rPr>
                    <w:t xml:space="preserve">0.5320 </w:t>
                  </w:r>
                </w:p>
              </w:tc>
              <w:tc>
                <w:tcPr>
                  <w:tcW w:w="887" w:type="dxa"/>
                  <w:shd w:val="clear" w:color="auto" w:fill="auto"/>
                  <w:noWrap w:val="0"/>
                  <w:vAlign w:val="center"/>
                </w:tcPr>
                <w:p>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 xml:space="preserve">3.8301 </w:t>
                  </w:r>
                </w:p>
              </w:tc>
              <w:tc>
                <w:tcPr>
                  <w:tcW w:w="875" w:type="dxa"/>
                  <w:shd w:val="clear" w:color="auto" w:fill="auto"/>
                  <w:noWrap w:val="0"/>
                  <w:vAlign w:val="center"/>
                </w:tcPr>
                <w:p>
                  <w:pPr>
                    <w:pStyle w:val="30"/>
                    <w:keepNext w:val="0"/>
                    <w:keepLines w:val="0"/>
                    <w:pageBreakBefore w:val="0"/>
                    <w:widowControl/>
                    <w:kinsoku/>
                    <w:wordWrap/>
                    <w:overflowPunct/>
                    <w:topLinePunct w:val="0"/>
                    <w:autoSpaceDE/>
                    <w:autoSpaceDN/>
                    <w:bidi w:val="0"/>
                    <w:spacing w:line="240" w:lineRule="auto"/>
                    <w:ind w:firstLine="0" w:firstLineChars="0"/>
                    <w:textAlignment w:val="auto"/>
                    <w:rPr>
                      <w:rFonts w:hint="eastAsia" w:ascii="Times New Roman" w:hAnsi="Times New Roman" w:eastAsia="宋体" w:cs="Times New Roman"/>
                      <w:bCs/>
                      <w:color w:val="auto"/>
                      <w:kern w:val="2"/>
                      <w:sz w:val="18"/>
                      <w:szCs w:val="18"/>
                      <w:lang w:val="en-US" w:eastAsia="zh-CN" w:bidi="ar-SA"/>
                    </w:rPr>
                  </w:pPr>
                  <w:r>
                    <w:rPr>
                      <w:rFonts w:hint="eastAsia" w:ascii="Times New Roman" w:hAnsi="Times New Roman" w:eastAsia="宋体" w:cs="Times New Roman"/>
                      <w:bCs/>
                      <w:color w:val="auto"/>
                      <w:kern w:val="2"/>
                      <w:sz w:val="18"/>
                      <w:szCs w:val="18"/>
                      <w:lang w:val="en-US" w:eastAsia="zh-CN"/>
                    </w:rPr>
                    <w:t>20</w:t>
                  </w:r>
                </w:p>
              </w:tc>
              <w:tc>
                <w:tcPr>
                  <w:tcW w:w="700" w:type="dxa"/>
                  <w:shd w:val="clear" w:color="auto" w:fill="auto"/>
                  <w:noWrap w:val="0"/>
                  <w:tcMar>
                    <w:top w:w="15" w:type="dxa"/>
                    <w:left w:w="15" w:type="dxa"/>
                    <w:bottom w:w="15" w:type="dxa"/>
                    <w:right w:w="15" w:type="dxa"/>
                  </w:tcMar>
                  <w:vAlign w:val="center"/>
                </w:tcPr>
                <w:p>
                  <w:pPr>
                    <w:jc w:val="center"/>
                    <w:textAlignment w:val="center"/>
                    <w:rPr>
                      <w:rFonts w:hint="eastAsia" w:ascii="Times New Roman" w:hAnsi="Times New Roman" w:eastAsia="宋体" w:cs="Times New Roman"/>
                      <w:bCs/>
                      <w:color w:val="auto"/>
                      <w:kern w:val="2"/>
                      <w:sz w:val="18"/>
                      <w:szCs w:val="18"/>
                      <w:lang w:val="en-US" w:eastAsia="zh-CN" w:bidi="ar-SA"/>
                    </w:rPr>
                  </w:pPr>
                  <w:r>
                    <w:rPr>
                      <w:rFonts w:hint="eastAsia" w:ascii="Times New Roman" w:hAnsi="Times New Roman" w:eastAsia="宋体" w:cs="Times New Roman"/>
                      <w:bCs/>
                      <w:color w:val="auto"/>
                      <w:sz w:val="18"/>
                      <w:szCs w:val="18"/>
                      <w:lang w:val="en-US" w:eastAsia="zh-CN"/>
                    </w:rPr>
                    <w:t>/</w:t>
                  </w:r>
                </w:p>
              </w:tc>
              <w:tc>
                <w:tcPr>
                  <w:tcW w:w="665" w:type="dxa"/>
                  <w:shd w:val="clear" w:color="auto" w:fill="auto"/>
                  <w:noWrap w:val="0"/>
                  <w:tcMar>
                    <w:top w:w="15" w:type="dxa"/>
                    <w:left w:w="15" w:type="dxa"/>
                    <w:bottom w:w="15" w:type="dxa"/>
                    <w:right w:w="15" w:type="dxa"/>
                  </w:tcMar>
                  <w:vAlign w:val="center"/>
                </w:tcPr>
                <w:p>
                  <w:pPr>
                    <w:jc w:val="center"/>
                    <w:textAlignment w:val="center"/>
                    <w:rPr>
                      <w:rFonts w:hint="eastAsia" w:ascii="Times New Roman" w:hAnsi="Times New Roman" w:eastAsia="宋体" w:cs="Times New Roman"/>
                      <w:bCs/>
                      <w:color w:val="auto"/>
                      <w:kern w:val="2"/>
                      <w:sz w:val="18"/>
                      <w:szCs w:val="18"/>
                      <w:lang w:val="en-US" w:eastAsia="zh-CN" w:bidi="ar-SA"/>
                    </w:rPr>
                  </w:pPr>
                  <w:r>
                    <w:rPr>
                      <w:rFonts w:hint="eastAsia"/>
                      <w:bCs/>
                      <w:color w:val="auto"/>
                      <w:sz w:val="18"/>
                      <w:szCs w:val="18"/>
                      <w:lang w:val="en-US" w:eastAsia="zh-CN"/>
                    </w:rPr>
                    <w:t>7200h</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108" w:type="dxa"/>
                  <w:bottom w:w="0" w:type="dxa"/>
                  <w:right w:w="108" w:type="dxa"/>
                </w:tblCellMar>
              </w:tblPrEx>
              <w:trPr>
                <w:trHeight w:val="545" w:hRule="atLeast"/>
                <w:jc w:val="center"/>
              </w:trPr>
              <w:tc>
                <w:tcPr>
                  <w:tcW w:w="692" w:type="dxa"/>
                  <w:vMerge w:val="restart"/>
                  <w:noWrap w:val="0"/>
                  <w:tcMar>
                    <w:top w:w="15" w:type="dxa"/>
                    <w:left w:w="15" w:type="dxa"/>
                    <w:bottom w:w="15" w:type="dxa"/>
                    <w:right w:w="15" w:type="dxa"/>
                  </w:tcMar>
                  <w:vAlign w:val="center"/>
                </w:tcPr>
                <w:p>
                  <w:pPr>
                    <w:pStyle w:val="49"/>
                    <w:ind w:firstLine="0" w:firstLineChars="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DA008</w:t>
                  </w:r>
                </w:p>
              </w:tc>
              <w:tc>
                <w:tcPr>
                  <w:tcW w:w="693" w:type="dxa"/>
                  <w:vMerge w:val="restart"/>
                  <w:noWrap w:val="0"/>
                  <w:tcMar>
                    <w:top w:w="15" w:type="dxa"/>
                    <w:left w:w="15" w:type="dxa"/>
                    <w:bottom w:w="15" w:type="dxa"/>
                    <w:right w:w="15" w:type="dxa"/>
                  </w:tcMar>
                  <w:vAlign w:val="center"/>
                </w:tcPr>
                <w:p>
                  <w:pPr>
                    <w:pStyle w:val="49"/>
                    <w:ind w:firstLine="0" w:firstLineChars="0"/>
                    <w:jc w:val="center"/>
                    <w:rPr>
                      <w:rFonts w:hint="eastAsia" w:ascii="Times New Roman" w:hAnsi="Times New Roman" w:eastAsia="宋体" w:cs="Times New Roman"/>
                      <w:bCs/>
                      <w:color w:val="auto"/>
                      <w:kern w:val="2"/>
                      <w:sz w:val="18"/>
                      <w:szCs w:val="18"/>
                      <w:lang w:val="en-US" w:eastAsia="zh-CN" w:bidi="ar-SA"/>
                    </w:rPr>
                  </w:pPr>
                  <w:r>
                    <w:rPr>
                      <w:rFonts w:hint="eastAsia" w:ascii="Times New Roman" w:hAnsi="Times New Roman" w:cs="Times New Roman"/>
                      <w:color w:val="auto"/>
                      <w:sz w:val="18"/>
                      <w:szCs w:val="18"/>
                      <w:lang w:eastAsia="zh-CN"/>
                    </w:rPr>
                    <w:t>天然气燃烧</w:t>
                  </w:r>
                </w:p>
              </w:tc>
              <w:tc>
                <w:tcPr>
                  <w:tcW w:w="688" w:type="dxa"/>
                  <w:shd w:val="clear" w:color="auto" w:fill="auto"/>
                  <w:noWrap w:val="0"/>
                  <w:tcMar>
                    <w:top w:w="15" w:type="dxa"/>
                    <w:left w:w="15" w:type="dxa"/>
                    <w:bottom w:w="15" w:type="dxa"/>
                    <w:right w:w="15" w:type="dxa"/>
                  </w:tcMar>
                  <w:vAlign w:val="center"/>
                </w:tcPr>
                <w:p>
                  <w:pPr>
                    <w:pStyle w:val="49"/>
                    <w:ind w:firstLine="0" w:firstLineChars="0"/>
                    <w:jc w:val="center"/>
                    <w:rPr>
                      <w:rFonts w:hint="eastAsia" w:ascii="Times New Roman" w:hAnsi="Times New Roman" w:cs="Times New Roman"/>
                      <w:color w:val="auto"/>
                      <w:sz w:val="18"/>
                      <w:szCs w:val="18"/>
                    </w:rPr>
                  </w:pPr>
                  <w:r>
                    <w:rPr>
                      <w:rFonts w:hint="eastAsia" w:ascii="Times New Roman" w:hAnsi="Times New Roman" w:cs="Times New Roman"/>
                      <w:color w:val="auto"/>
                      <w:sz w:val="18"/>
                      <w:szCs w:val="18"/>
                    </w:rPr>
                    <w:t>SO</w:t>
                  </w:r>
                  <w:r>
                    <w:rPr>
                      <w:rFonts w:hint="eastAsia" w:ascii="Times New Roman" w:hAnsi="Times New Roman" w:cs="Times New Roman"/>
                      <w:color w:val="auto"/>
                      <w:sz w:val="18"/>
                      <w:szCs w:val="18"/>
                      <w:vertAlign w:val="subscript"/>
                    </w:rPr>
                    <w:t>2</w:t>
                  </w:r>
                </w:p>
              </w:tc>
              <w:tc>
                <w:tcPr>
                  <w:tcW w:w="862" w:type="dxa"/>
                  <w:shd w:val="clear" w:color="auto" w:fill="auto"/>
                  <w:noWrap w:val="0"/>
                  <w:tcMar>
                    <w:top w:w="15" w:type="dxa"/>
                    <w:left w:w="15" w:type="dxa"/>
                    <w:bottom w:w="15"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5.33 </w:t>
                  </w:r>
                </w:p>
              </w:tc>
              <w:tc>
                <w:tcPr>
                  <w:tcW w:w="838" w:type="dxa"/>
                  <w:shd w:val="clear" w:color="auto" w:fill="auto"/>
                  <w:noWrap w:val="0"/>
                  <w:tcMar>
                    <w:top w:w="15" w:type="dxa"/>
                    <w:left w:w="15" w:type="dxa"/>
                    <w:bottom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0.0640 </w:t>
                  </w:r>
                </w:p>
              </w:tc>
              <w:tc>
                <w:tcPr>
                  <w:tcW w:w="850" w:type="dxa"/>
                  <w:shd w:val="clear" w:color="auto" w:fill="auto"/>
                  <w:noWrap w:val="0"/>
                  <w:tcMar>
                    <w:top w:w="15" w:type="dxa"/>
                    <w:left w:w="15" w:type="dxa"/>
                    <w:bottom w:w="15" w:type="dxa"/>
                    <w:right w:w="15" w:type="dxa"/>
                  </w:tcMar>
                  <w:vAlign w:val="center"/>
                </w:tcPr>
                <w:p>
                  <w:pPr>
                    <w:keepNext w:val="0"/>
                    <w:keepLines w:val="0"/>
                    <w:widowControl/>
                    <w:suppressLineNumbers w:val="0"/>
                    <w:jc w:val="center"/>
                    <w:textAlignment w:val="center"/>
                    <w:rPr>
                      <w:rFonts w:hint="eastAsia"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0.4608 </w:t>
                  </w:r>
                </w:p>
              </w:tc>
              <w:tc>
                <w:tcPr>
                  <w:tcW w:w="512" w:type="dxa"/>
                  <w:vMerge w:val="restart"/>
                  <w:noWrap w:val="0"/>
                  <w:tcMar>
                    <w:top w:w="15" w:type="dxa"/>
                    <w:left w:w="15" w:type="dxa"/>
                    <w:bottom w:w="15" w:type="dxa"/>
                    <w:right w:w="15" w:type="dxa"/>
                  </w:tcMar>
                  <w:vAlign w:val="center"/>
                </w:tcPr>
                <w:p>
                  <w:pPr>
                    <w:jc w:val="center"/>
                    <w:textAlignment w:val="center"/>
                    <w:rPr>
                      <w:rFonts w:hint="eastAsia" w:ascii="Times New Roman" w:hAnsi="Times New Roman" w:eastAsia="宋体" w:cs="Times New Roman"/>
                      <w:bCs/>
                      <w:color w:val="auto"/>
                      <w:sz w:val="18"/>
                      <w:szCs w:val="18"/>
                      <w:lang w:eastAsia="zh-CN"/>
                    </w:rPr>
                  </w:pPr>
                  <w:r>
                    <w:rPr>
                      <w:rFonts w:hint="eastAsia" w:ascii="Times New Roman" w:hAnsi="Times New Roman" w:eastAsia="宋体" w:cs="Times New Roman"/>
                      <w:bCs/>
                      <w:color w:val="auto"/>
                      <w:sz w:val="18"/>
                      <w:szCs w:val="18"/>
                      <w:lang w:eastAsia="zh-CN"/>
                    </w:rPr>
                    <w:t>有</w:t>
                  </w:r>
                  <w:r>
                    <w:rPr>
                      <w:rFonts w:hint="eastAsia" w:ascii="Times New Roman" w:hAnsi="Times New Roman" w:eastAsia="宋体" w:cs="Times New Roman"/>
                      <w:bCs/>
                      <w:color w:val="auto"/>
                      <w:sz w:val="18"/>
                      <w:szCs w:val="18"/>
                    </w:rPr>
                    <w:t>组织</w:t>
                  </w:r>
                </w:p>
              </w:tc>
              <w:tc>
                <w:tcPr>
                  <w:tcW w:w="775" w:type="dxa"/>
                  <w:vMerge w:val="restart"/>
                  <w:noWrap w:val="0"/>
                  <w:tcMar>
                    <w:top w:w="15" w:type="dxa"/>
                    <w:left w:w="15" w:type="dxa"/>
                    <w:bottom w:w="15" w:type="dxa"/>
                    <w:right w:w="15" w:type="dxa"/>
                  </w:tcMar>
                  <w:vAlign w:val="center"/>
                </w:tcPr>
                <w:p>
                  <w:pPr>
                    <w:jc w:val="center"/>
                    <w:textAlignment w:val="center"/>
                    <w:rPr>
                      <w:rFonts w:hint="eastAsia" w:cs="Times New Roman"/>
                      <w:bCs/>
                      <w:color w:val="auto"/>
                      <w:sz w:val="18"/>
                      <w:szCs w:val="18"/>
                      <w:lang w:val="en-US" w:eastAsia="zh-CN"/>
                    </w:rPr>
                  </w:pPr>
                  <w:r>
                    <w:rPr>
                      <w:rFonts w:hint="eastAsia" w:cs="Times New Roman"/>
                      <w:bCs/>
                      <w:color w:val="auto"/>
                      <w:sz w:val="18"/>
                      <w:szCs w:val="18"/>
                      <w:lang w:val="en-US" w:eastAsia="zh-CN"/>
                    </w:rPr>
                    <w:t>低氮燃烧</w:t>
                  </w:r>
                </w:p>
              </w:tc>
              <w:tc>
                <w:tcPr>
                  <w:tcW w:w="688" w:type="dxa"/>
                  <w:vMerge w:val="restart"/>
                  <w:noWrap w:val="0"/>
                  <w:vAlign w:val="center"/>
                </w:tcPr>
                <w:p>
                  <w:pPr>
                    <w:jc w:val="center"/>
                    <w:textAlignment w:val="center"/>
                    <w:rPr>
                      <w:rFonts w:hint="eastAsia"/>
                      <w:bCs/>
                      <w:color w:val="auto"/>
                      <w:sz w:val="18"/>
                      <w:szCs w:val="18"/>
                    </w:rPr>
                  </w:pPr>
                  <w:r>
                    <w:rPr>
                      <w:rFonts w:hint="eastAsia"/>
                      <w:bCs/>
                      <w:color w:val="auto"/>
                      <w:sz w:val="18"/>
                      <w:szCs w:val="18"/>
                      <w:lang w:val="en-US" w:eastAsia="zh-CN"/>
                    </w:rPr>
                    <w:t>120</w:t>
                  </w:r>
                  <w:r>
                    <w:rPr>
                      <w:rFonts w:hint="eastAsia"/>
                      <w:bCs/>
                      <w:color w:val="auto"/>
                      <w:sz w:val="18"/>
                      <w:szCs w:val="18"/>
                    </w:rPr>
                    <w:t>00m</w:t>
                  </w:r>
                  <w:r>
                    <w:rPr>
                      <w:rFonts w:hint="eastAsia"/>
                      <w:bCs/>
                      <w:color w:val="auto"/>
                      <w:sz w:val="18"/>
                      <w:szCs w:val="18"/>
                      <w:vertAlign w:val="superscript"/>
                    </w:rPr>
                    <w:t>3</w:t>
                  </w:r>
                  <w:r>
                    <w:rPr>
                      <w:rFonts w:hint="eastAsia"/>
                      <w:bCs/>
                      <w:color w:val="auto"/>
                      <w:sz w:val="18"/>
                      <w:szCs w:val="18"/>
                    </w:rPr>
                    <w:t>/h</w:t>
                  </w:r>
                </w:p>
              </w:tc>
              <w:tc>
                <w:tcPr>
                  <w:tcW w:w="700" w:type="dxa"/>
                  <w:vMerge w:val="restart"/>
                  <w:noWrap w:val="0"/>
                  <w:vAlign w:val="center"/>
                </w:tcPr>
                <w:p>
                  <w:pPr>
                    <w:jc w:val="center"/>
                    <w:textAlignment w:val="center"/>
                    <w:rPr>
                      <w:rFonts w:hint="eastAsia"/>
                      <w:bCs/>
                      <w:color w:val="auto"/>
                      <w:sz w:val="18"/>
                      <w:szCs w:val="18"/>
                    </w:rPr>
                  </w:pPr>
                  <w:r>
                    <w:rPr>
                      <w:rFonts w:hint="eastAsia" w:eastAsia="宋体" w:cs="Times New Roman"/>
                      <w:bCs/>
                      <w:color w:val="auto"/>
                      <w:sz w:val="18"/>
                      <w:szCs w:val="18"/>
                      <w:lang w:val="en-US" w:eastAsia="zh-CN"/>
                    </w:rPr>
                    <w:t>100%</w:t>
                  </w:r>
                </w:p>
              </w:tc>
              <w:tc>
                <w:tcPr>
                  <w:tcW w:w="612" w:type="dxa"/>
                  <w:noWrap w:val="0"/>
                  <w:vAlign w:val="center"/>
                </w:tcPr>
                <w:p>
                  <w:pPr>
                    <w:jc w:val="center"/>
                    <w:textAlignment w:val="center"/>
                    <w:rPr>
                      <w:rFonts w:hint="eastAsia"/>
                      <w:bCs/>
                      <w:color w:val="auto"/>
                      <w:sz w:val="18"/>
                      <w:szCs w:val="18"/>
                    </w:rPr>
                  </w:pPr>
                  <w:r>
                    <w:rPr>
                      <w:rFonts w:hint="eastAsia" w:ascii="Times New Roman" w:hAnsi="Times New Roman" w:eastAsia="宋体" w:cs="Times New Roman"/>
                      <w:bCs/>
                      <w:color w:val="auto"/>
                      <w:sz w:val="18"/>
                      <w:szCs w:val="18"/>
                      <w:lang w:val="en-US" w:eastAsia="zh-CN"/>
                    </w:rPr>
                    <w:t>0%</w:t>
                  </w:r>
                </w:p>
              </w:tc>
              <w:tc>
                <w:tcPr>
                  <w:tcW w:w="1013"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5.33 </w:t>
                  </w:r>
                </w:p>
              </w:tc>
              <w:tc>
                <w:tcPr>
                  <w:tcW w:w="975"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0.0640 </w:t>
                  </w:r>
                </w:p>
              </w:tc>
              <w:tc>
                <w:tcPr>
                  <w:tcW w:w="887"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0.4608 </w:t>
                  </w:r>
                </w:p>
              </w:tc>
              <w:tc>
                <w:tcPr>
                  <w:tcW w:w="875" w:type="dxa"/>
                  <w:shd w:val="clear" w:color="auto" w:fill="auto"/>
                  <w:noWrap w:val="0"/>
                  <w:vAlign w:val="center"/>
                </w:tcPr>
                <w:p>
                  <w:pPr>
                    <w:pStyle w:val="30"/>
                    <w:keepNext w:val="0"/>
                    <w:keepLines w:val="0"/>
                    <w:pageBreakBefore w:val="0"/>
                    <w:widowControl/>
                    <w:kinsoku/>
                    <w:wordWrap/>
                    <w:overflowPunct/>
                    <w:topLinePunct w:val="0"/>
                    <w:autoSpaceDE/>
                    <w:autoSpaceDN/>
                    <w:bidi w:val="0"/>
                    <w:spacing w:line="240" w:lineRule="auto"/>
                    <w:ind w:firstLine="0" w:firstLineChars="0"/>
                    <w:textAlignment w:val="auto"/>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color w:val="auto"/>
                      <w:kern w:val="2"/>
                      <w:sz w:val="18"/>
                      <w:szCs w:val="18"/>
                      <w:lang w:val="en-US" w:eastAsia="zh-CN"/>
                    </w:rPr>
                    <w:t>80</w:t>
                  </w:r>
                </w:p>
              </w:tc>
              <w:tc>
                <w:tcPr>
                  <w:tcW w:w="700" w:type="dxa"/>
                  <w:shd w:val="clear" w:color="auto" w:fill="auto"/>
                  <w:noWrap w:val="0"/>
                  <w:tcMar>
                    <w:top w:w="15" w:type="dxa"/>
                    <w:left w:w="15" w:type="dxa"/>
                    <w:bottom w:w="15" w:type="dxa"/>
                    <w:right w:w="15" w:type="dxa"/>
                  </w:tcMar>
                  <w:vAlign w:val="center"/>
                </w:tcPr>
                <w:p>
                  <w:pPr>
                    <w:jc w:val="center"/>
                    <w:textAlignment w:val="center"/>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w:t>
                  </w:r>
                </w:p>
              </w:tc>
              <w:tc>
                <w:tcPr>
                  <w:tcW w:w="665" w:type="dxa"/>
                  <w:shd w:val="clear" w:color="auto" w:fill="auto"/>
                  <w:noWrap w:val="0"/>
                  <w:tcMar>
                    <w:top w:w="15" w:type="dxa"/>
                    <w:left w:w="15" w:type="dxa"/>
                    <w:bottom w:w="15" w:type="dxa"/>
                    <w:right w:w="15" w:type="dxa"/>
                  </w:tcMar>
                  <w:vAlign w:val="center"/>
                </w:tcPr>
                <w:p>
                  <w:pPr>
                    <w:jc w:val="center"/>
                    <w:textAlignment w:val="center"/>
                    <w:rPr>
                      <w:rFonts w:hint="eastAsia"/>
                      <w:bCs/>
                      <w:color w:val="auto"/>
                      <w:sz w:val="18"/>
                      <w:szCs w:val="18"/>
                      <w:lang w:val="en-US" w:eastAsia="zh-CN"/>
                    </w:rPr>
                  </w:pPr>
                  <w:r>
                    <w:rPr>
                      <w:rFonts w:hint="eastAsia"/>
                      <w:bCs/>
                      <w:color w:val="auto"/>
                      <w:sz w:val="18"/>
                      <w:szCs w:val="18"/>
                      <w:lang w:val="en-US" w:eastAsia="zh-CN"/>
                    </w:rPr>
                    <w:t>7200h</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108" w:type="dxa"/>
                  <w:bottom w:w="0" w:type="dxa"/>
                  <w:right w:w="108" w:type="dxa"/>
                </w:tblCellMar>
              </w:tblPrEx>
              <w:trPr>
                <w:trHeight w:val="545" w:hRule="atLeast"/>
                <w:jc w:val="center"/>
              </w:trPr>
              <w:tc>
                <w:tcPr>
                  <w:tcW w:w="692" w:type="dxa"/>
                  <w:vMerge w:val="continue"/>
                  <w:noWrap w:val="0"/>
                  <w:tcMar>
                    <w:top w:w="15" w:type="dxa"/>
                    <w:left w:w="15" w:type="dxa"/>
                    <w:bottom w:w="15" w:type="dxa"/>
                    <w:right w:w="15" w:type="dxa"/>
                  </w:tcMar>
                  <w:vAlign w:val="center"/>
                </w:tcPr>
                <w:p>
                  <w:pPr>
                    <w:jc w:val="center"/>
                    <w:textAlignment w:val="center"/>
                    <w:rPr>
                      <w:rFonts w:hint="default" w:ascii="Times New Roman" w:hAnsi="Times New Roman" w:eastAsia="宋体" w:cs="Times New Roman"/>
                      <w:bCs/>
                      <w:sz w:val="18"/>
                      <w:szCs w:val="18"/>
                      <w:lang w:val="en-US" w:eastAsia="zh-CN"/>
                    </w:rPr>
                  </w:pPr>
                </w:p>
              </w:tc>
              <w:tc>
                <w:tcPr>
                  <w:tcW w:w="693" w:type="dxa"/>
                  <w:vMerge w:val="continue"/>
                  <w:noWrap w:val="0"/>
                  <w:tcMar>
                    <w:top w:w="15" w:type="dxa"/>
                    <w:left w:w="15" w:type="dxa"/>
                    <w:bottom w:w="15" w:type="dxa"/>
                    <w:right w:w="15" w:type="dxa"/>
                  </w:tcMar>
                  <w:vAlign w:val="center"/>
                </w:tcPr>
                <w:p>
                  <w:pPr>
                    <w:jc w:val="center"/>
                    <w:textAlignment w:val="center"/>
                    <w:rPr>
                      <w:rFonts w:hint="eastAsia" w:ascii="Times New Roman" w:hAnsi="Times New Roman" w:eastAsia="宋体" w:cs="Times New Roman"/>
                      <w:bCs/>
                      <w:kern w:val="2"/>
                      <w:sz w:val="18"/>
                      <w:szCs w:val="18"/>
                      <w:lang w:val="en-US" w:eastAsia="zh-CN" w:bidi="ar-SA"/>
                    </w:rPr>
                  </w:pPr>
                </w:p>
              </w:tc>
              <w:tc>
                <w:tcPr>
                  <w:tcW w:w="688" w:type="dxa"/>
                  <w:shd w:val="clear" w:color="auto" w:fill="auto"/>
                  <w:noWrap w:val="0"/>
                  <w:tcMar>
                    <w:top w:w="15" w:type="dxa"/>
                    <w:left w:w="15" w:type="dxa"/>
                    <w:bottom w:w="15" w:type="dxa"/>
                    <w:right w:w="15" w:type="dxa"/>
                  </w:tcMar>
                  <w:vAlign w:val="center"/>
                </w:tcPr>
                <w:p>
                  <w:pPr>
                    <w:pStyle w:val="49"/>
                    <w:ind w:firstLine="0" w:firstLineChars="0"/>
                    <w:jc w:val="center"/>
                    <w:rPr>
                      <w:rFonts w:hint="eastAsia" w:ascii="Times New Roman" w:hAnsi="Times New Roman" w:cs="Times New Roman"/>
                      <w:sz w:val="18"/>
                      <w:szCs w:val="18"/>
                    </w:rPr>
                  </w:pPr>
                  <w:r>
                    <w:rPr>
                      <w:rFonts w:hint="eastAsia" w:ascii="Times New Roman" w:hAnsi="Times New Roman" w:cs="Times New Roman"/>
                      <w:sz w:val="18"/>
                      <w:szCs w:val="18"/>
                    </w:rPr>
                    <w:t>NOx</w:t>
                  </w:r>
                </w:p>
              </w:tc>
              <w:tc>
                <w:tcPr>
                  <w:tcW w:w="862" w:type="dxa"/>
                  <w:shd w:val="clear" w:color="auto" w:fill="auto"/>
                  <w:noWrap w:val="0"/>
                  <w:tcMar>
                    <w:top w:w="15" w:type="dxa"/>
                    <w:left w:w="15" w:type="dxa"/>
                    <w:bottom w:w="15"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49.87 </w:t>
                  </w:r>
                </w:p>
              </w:tc>
              <w:tc>
                <w:tcPr>
                  <w:tcW w:w="838" w:type="dxa"/>
                  <w:shd w:val="clear" w:color="auto" w:fill="auto"/>
                  <w:noWrap w:val="0"/>
                  <w:tcMar>
                    <w:top w:w="15" w:type="dxa"/>
                    <w:left w:w="15" w:type="dxa"/>
                    <w:bottom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0.5984 </w:t>
                  </w:r>
                </w:p>
              </w:tc>
              <w:tc>
                <w:tcPr>
                  <w:tcW w:w="850" w:type="dxa"/>
                  <w:shd w:val="clear" w:color="auto" w:fill="auto"/>
                  <w:noWrap w:val="0"/>
                  <w:tcMar>
                    <w:top w:w="15" w:type="dxa"/>
                    <w:left w:w="15" w:type="dxa"/>
                    <w:bottom w:w="15" w:type="dxa"/>
                    <w:right w:w="15" w:type="dxa"/>
                  </w:tcMar>
                  <w:vAlign w:val="center"/>
                </w:tcPr>
                <w:p>
                  <w:pPr>
                    <w:keepNext w:val="0"/>
                    <w:keepLines w:val="0"/>
                    <w:widowControl/>
                    <w:suppressLineNumbers w:val="0"/>
                    <w:jc w:val="center"/>
                    <w:textAlignment w:val="center"/>
                    <w:rPr>
                      <w:rFonts w:hint="eastAsia"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4.3085 </w:t>
                  </w:r>
                </w:p>
              </w:tc>
              <w:tc>
                <w:tcPr>
                  <w:tcW w:w="512" w:type="dxa"/>
                  <w:vMerge w:val="continue"/>
                  <w:noWrap w:val="0"/>
                  <w:tcMar>
                    <w:top w:w="15" w:type="dxa"/>
                    <w:left w:w="15" w:type="dxa"/>
                    <w:bottom w:w="15" w:type="dxa"/>
                    <w:right w:w="15" w:type="dxa"/>
                  </w:tcMar>
                  <w:vAlign w:val="center"/>
                </w:tcPr>
                <w:p>
                  <w:pPr>
                    <w:jc w:val="center"/>
                    <w:textAlignment w:val="center"/>
                    <w:rPr>
                      <w:rFonts w:hint="eastAsia" w:ascii="Times New Roman" w:hAnsi="Times New Roman" w:eastAsia="宋体" w:cs="Times New Roman"/>
                      <w:bCs/>
                      <w:color w:val="auto"/>
                      <w:sz w:val="18"/>
                      <w:szCs w:val="18"/>
                      <w:lang w:eastAsia="zh-CN"/>
                    </w:rPr>
                  </w:pPr>
                </w:p>
              </w:tc>
              <w:tc>
                <w:tcPr>
                  <w:tcW w:w="775" w:type="dxa"/>
                  <w:vMerge w:val="continue"/>
                  <w:noWrap w:val="0"/>
                  <w:tcMar>
                    <w:top w:w="15" w:type="dxa"/>
                    <w:left w:w="15" w:type="dxa"/>
                    <w:bottom w:w="15" w:type="dxa"/>
                    <w:right w:w="15" w:type="dxa"/>
                  </w:tcMar>
                  <w:vAlign w:val="center"/>
                </w:tcPr>
                <w:p>
                  <w:pPr>
                    <w:jc w:val="center"/>
                    <w:textAlignment w:val="center"/>
                    <w:rPr>
                      <w:rFonts w:hint="eastAsia" w:eastAsia="宋体" w:cs="Times New Roman"/>
                      <w:bCs/>
                      <w:color w:val="auto"/>
                      <w:sz w:val="18"/>
                      <w:szCs w:val="18"/>
                      <w:lang w:val="en-US" w:eastAsia="zh-CN"/>
                    </w:rPr>
                  </w:pPr>
                </w:p>
              </w:tc>
              <w:tc>
                <w:tcPr>
                  <w:tcW w:w="688" w:type="dxa"/>
                  <w:vMerge w:val="continue"/>
                  <w:noWrap w:val="0"/>
                  <w:vAlign w:val="center"/>
                </w:tcPr>
                <w:p>
                  <w:pPr>
                    <w:jc w:val="center"/>
                    <w:textAlignment w:val="center"/>
                    <w:rPr>
                      <w:rFonts w:hint="eastAsia"/>
                      <w:bCs/>
                      <w:color w:val="auto"/>
                      <w:sz w:val="18"/>
                      <w:szCs w:val="18"/>
                    </w:rPr>
                  </w:pPr>
                </w:p>
              </w:tc>
              <w:tc>
                <w:tcPr>
                  <w:tcW w:w="700" w:type="dxa"/>
                  <w:vMerge w:val="continue"/>
                  <w:noWrap w:val="0"/>
                  <w:vAlign w:val="center"/>
                </w:tcPr>
                <w:p>
                  <w:pPr>
                    <w:jc w:val="center"/>
                    <w:textAlignment w:val="center"/>
                    <w:rPr>
                      <w:rFonts w:hint="eastAsia"/>
                      <w:bCs/>
                      <w:color w:val="auto"/>
                      <w:sz w:val="18"/>
                      <w:szCs w:val="18"/>
                    </w:rPr>
                  </w:pPr>
                </w:p>
              </w:tc>
              <w:tc>
                <w:tcPr>
                  <w:tcW w:w="612" w:type="dxa"/>
                  <w:noWrap w:val="0"/>
                  <w:vAlign w:val="center"/>
                </w:tcPr>
                <w:p>
                  <w:pPr>
                    <w:jc w:val="center"/>
                    <w:textAlignment w:val="center"/>
                    <w:rPr>
                      <w:rFonts w:hint="eastAsia"/>
                      <w:bCs/>
                      <w:color w:val="auto"/>
                      <w:sz w:val="18"/>
                      <w:szCs w:val="18"/>
                    </w:rPr>
                  </w:pPr>
                  <w:r>
                    <w:rPr>
                      <w:rFonts w:hint="eastAsia" w:cs="Times New Roman"/>
                      <w:bCs/>
                      <w:color w:val="auto"/>
                      <w:sz w:val="18"/>
                      <w:szCs w:val="18"/>
                      <w:lang w:val="en-US" w:eastAsia="zh-CN"/>
                    </w:rPr>
                    <w:t>50%</w:t>
                  </w:r>
                </w:p>
              </w:tc>
              <w:tc>
                <w:tcPr>
                  <w:tcW w:w="1013"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24.93 </w:t>
                  </w:r>
                </w:p>
              </w:tc>
              <w:tc>
                <w:tcPr>
                  <w:tcW w:w="975"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0.2992 </w:t>
                  </w:r>
                </w:p>
              </w:tc>
              <w:tc>
                <w:tcPr>
                  <w:tcW w:w="887" w:type="dxa"/>
                  <w:shd w:val="clear" w:color="auto" w:fill="auto"/>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2.1543</w:t>
                  </w:r>
                </w:p>
              </w:tc>
              <w:tc>
                <w:tcPr>
                  <w:tcW w:w="875" w:type="dxa"/>
                  <w:shd w:val="clear" w:color="auto" w:fill="auto"/>
                  <w:noWrap w:val="0"/>
                  <w:vAlign w:val="center"/>
                </w:tcPr>
                <w:p>
                  <w:pPr>
                    <w:pStyle w:val="30"/>
                    <w:keepNext w:val="0"/>
                    <w:keepLines w:val="0"/>
                    <w:pageBreakBefore w:val="0"/>
                    <w:widowControl/>
                    <w:kinsoku/>
                    <w:wordWrap/>
                    <w:overflowPunct/>
                    <w:topLinePunct w:val="0"/>
                    <w:autoSpaceDE/>
                    <w:autoSpaceDN/>
                    <w:bidi w:val="0"/>
                    <w:spacing w:line="240" w:lineRule="auto"/>
                    <w:ind w:firstLine="0" w:firstLineChars="0"/>
                    <w:textAlignment w:val="auto"/>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color w:val="auto"/>
                      <w:kern w:val="2"/>
                      <w:sz w:val="18"/>
                      <w:szCs w:val="18"/>
                      <w:lang w:val="en-US" w:eastAsia="zh-CN"/>
                    </w:rPr>
                    <w:t>180</w:t>
                  </w:r>
                </w:p>
              </w:tc>
              <w:tc>
                <w:tcPr>
                  <w:tcW w:w="700" w:type="dxa"/>
                  <w:shd w:val="clear" w:color="auto" w:fill="auto"/>
                  <w:noWrap w:val="0"/>
                  <w:tcMar>
                    <w:top w:w="15" w:type="dxa"/>
                    <w:left w:w="15" w:type="dxa"/>
                    <w:bottom w:w="15" w:type="dxa"/>
                    <w:right w:w="15" w:type="dxa"/>
                  </w:tcMar>
                  <w:vAlign w:val="center"/>
                </w:tcPr>
                <w:p>
                  <w:pPr>
                    <w:jc w:val="center"/>
                    <w:textAlignment w:val="center"/>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w:t>
                  </w:r>
                </w:p>
              </w:tc>
              <w:tc>
                <w:tcPr>
                  <w:tcW w:w="665" w:type="dxa"/>
                  <w:shd w:val="clear" w:color="auto" w:fill="auto"/>
                  <w:noWrap w:val="0"/>
                  <w:tcMar>
                    <w:top w:w="15" w:type="dxa"/>
                    <w:left w:w="15" w:type="dxa"/>
                    <w:bottom w:w="15" w:type="dxa"/>
                    <w:right w:w="15" w:type="dxa"/>
                  </w:tcMar>
                  <w:vAlign w:val="center"/>
                </w:tcPr>
                <w:p>
                  <w:pPr>
                    <w:jc w:val="center"/>
                    <w:textAlignment w:val="center"/>
                    <w:rPr>
                      <w:rFonts w:hint="eastAsia"/>
                      <w:bCs/>
                      <w:color w:val="auto"/>
                      <w:sz w:val="18"/>
                      <w:szCs w:val="18"/>
                      <w:lang w:val="en-US" w:eastAsia="zh-CN"/>
                    </w:rPr>
                  </w:pPr>
                  <w:r>
                    <w:rPr>
                      <w:rFonts w:hint="eastAsia"/>
                      <w:bCs/>
                      <w:color w:val="auto"/>
                      <w:sz w:val="18"/>
                      <w:szCs w:val="18"/>
                      <w:lang w:val="en-US" w:eastAsia="zh-CN"/>
                    </w:rPr>
                    <w:t>7200h</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108" w:type="dxa"/>
                  <w:bottom w:w="0" w:type="dxa"/>
                  <w:right w:w="108" w:type="dxa"/>
                </w:tblCellMar>
              </w:tblPrEx>
              <w:trPr>
                <w:trHeight w:val="545" w:hRule="atLeast"/>
                <w:jc w:val="center"/>
              </w:trPr>
              <w:tc>
                <w:tcPr>
                  <w:tcW w:w="692" w:type="dxa"/>
                  <w:vMerge w:val="continue"/>
                  <w:noWrap w:val="0"/>
                  <w:tcMar>
                    <w:top w:w="15" w:type="dxa"/>
                    <w:left w:w="15" w:type="dxa"/>
                    <w:bottom w:w="15" w:type="dxa"/>
                    <w:right w:w="15" w:type="dxa"/>
                  </w:tcMar>
                  <w:vAlign w:val="center"/>
                </w:tcPr>
                <w:p>
                  <w:pPr>
                    <w:jc w:val="center"/>
                    <w:textAlignment w:val="center"/>
                    <w:rPr>
                      <w:rFonts w:hint="default" w:ascii="Times New Roman" w:hAnsi="Times New Roman" w:eastAsia="宋体" w:cs="Times New Roman"/>
                      <w:bCs/>
                      <w:sz w:val="18"/>
                      <w:szCs w:val="18"/>
                      <w:lang w:val="en-US" w:eastAsia="zh-CN"/>
                    </w:rPr>
                  </w:pPr>
                </w:p>
              </w:tc>
              <w:tc>
                <w:tcPr>
                  <w:tcW w:w="693" w:type="dxa"/>
                  <w:vMerge w:val="continue"/>
                  <w:noWrap w:val="0"/>
                  <w:tcMar>
                    <w:top w:w="15" w:type="dxa"/>
                    <w:left w:w="15" w:type="dxa"/>
                    <w:bottom w:w="15" w:type="dxa"/>
                    <w:right w:w="15" w:type="dxa"/>
                  </w:tcMar>
                  <w:vAlign w:val="center"/>
                </w:tcPr>
                <w:p>
                  <w:pPr>
                    <w:jc w:val="center"/>
                    <w:textAlignment w:val="center"/>
                    <w:rPr>
                      <w:rFonts w:hint="eastAsia" w:ascii="Times New Roman" w:hAnsi="Times New Roman" w:eastAsia="宋体" w:cs="Times New Roman"/>
                      <w:bCs/>
                      <w:kern w:val="2"/>
                      <w:sz w:val="18"/>
                      <w:szCs w:val="18"/>
                      <w:lang w:val="en-US" w:eastAsia="zh-CN" w:bidi="ar-SA"/>
                    </w:rPr>
                  </w:pPr>
                </w:p>
              </w:tc>
              <w:tc>
                <w:tcPr>
                  <w:tcW w:w="688" w:type="dxa"/>
                  <w:shd w:val="clear" w:color="auto" w:fill="auto"/>
                  <w:noWrap w:val="0"/>
                  <w:tcMar>
                    <w:top w:w="15" w:type="dxa"/>
                    <w:left w:w="15" w:type="dxa"/>
                    <w:bottom w:w="15" w:type="dxa"/>
                    <w:right w:w="15" w:type="dxa"/>
                  </w:tcMar>
                  <w:vAlign w:val="center"/>
                </w:tcPr>
                <w:p>
                  <w:pPr>
                    <w:pStyle w:val="49"/>
                    <w:ind w:firstLine="0" w:firstLineChars="0"/>
                    <w:jc w:val="center"/>
                    <w:rPr>
                      <w:rFonts w:hint="eastAsia" w:ascii="Times New Roman" w:hAnsi="Times New Roman" w:cs="Times New Roman"/>
                      <w:sz w:val="18"/>
                      <w:szCs w:val="18"/>
                    </w:rPr>
                  </w:pPr>
                  <w:r>
                    <w:rPr>
                      <w:rFonts w:hint="eastAsia" w:ascii="Times New Roman" w:hAnsi="Times New Roman" w:cs="Times New Roman"/>
                      <w:sz w:val="18"/>
                      <w:szCs w:val="18"/>
                    </w:rPr>
                    <w:t>颗粒物</w:t>
                  </w:r>
                </w:p>
              </w:tc>
              <w:tc>
                <w:tcPr>
                  <w:tcW w:w="862" w:type="dxa"/>
                  <w:shd w:val="clear" w:color="auto" w:fill="auto"/>
                  <w:noWrap w:val="0"/>
                  <w:tcMar>
                    <w:top w:w="15" w:type="dxa"/>
                    <w:left w:w="15" w:type="dxa"/>
                    <w:bottom w:w="15"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7.63 </w:t>
                  </w:r>
                </w:p>
              </w:tc>
              <w:tc>
                <w:tcPr>
                  <w:tcW w:w="838" w:type="dxa"/>
                  <w:shd w:val="clear" w:color="auto" w:fill="auto"/>
                  <w:noWrap w:val="0"/>
                  <w:tcMar>
                    <w:top w:w="15" w:type="dxa"/>
                    <w:left w:w="15" w:type="dxa"/>
                    <w:bottom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0.0915 </w:t>
                  </w:r>
                </w:p>
              </w:tc>
              <w:tc>
                <w:tcPr>
                  <w:tcW w:w="850" w:type="dxa"/>
                  <w:shd w:val="clear" w:color="auto" w:fill="auto"/>
                  <w:noWrap w:val="0"/>
                  <w:tcMar>
                    <w:top w:w="15" w:type="dxa"/>
                    <w:left w:w="15" w:type="dxa"/>
                    <w:bottom w:w="15" w:type="dxa"/>
                    <w:right w:w="15" w:type="dxa"/>
                  </w:tcMar>
                  <w:vAlign w:val="center"/>
                </w:tcPr>
                <w:p>
                  <w:pPr>
                    <w:keepNext w:val="0"/>
                    <w:keepLines w:val="0"/>
                    <w:widowControl/>
                    <w:suppressLineNumbers w:val="0"/>
                    <w:jc w:val="center"/>
                    <w:textAlignment w:val="center"/>
                    <w:rPr>
                      <w:rFonts w:hint="eastAsia"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0.6589 </w:t>
                  </w:r>
                </w:p>
              </w:tc>
              <w:tc>
                <w:tcPr>
                  <w:tcW w:w="512" w:type="dxa"/>
                  <w:vMerge w:val="continue"/>
                  <w:noWrap w:val="0"/>
                  <w:tcMar>
                    <w:top w:w="15" w:type="dxa"/>
                    <w:left w:w="15" w:type="dxa"/>
                    <w:bottom w:w="15" w:type="dxa"/>
                    <w:right w:w="15" w:type="dxa"/>
                  </w:tcMar>
                  <w:vAlign w:val="center"/>
                </w:tcPr>
                <w:p>
                  <w:pPr>
                    <w:jc w:val="center"/>
                    <w:textAlignment w:val="center"/>
                    <w:rPr>
                      <w:rFonts w:hint="eastAsia" w:ascii="Times New Roman" w:hAnsi="Times New Roman" w:eastAsia="宋体" w:cs="Times New Roman"/>
                      <w:bCs/>
                      <w:color w:val="auto"/>
                      <w:sz w:val="18"/>
                      <w:szCs w:val="18"/>
                      <w:lang w:eastAsia="zh-CN"/>
                    </w:rPr>
                  </w:pPr>
                </w:p>
              </w:tc>
              <w:tc>
                <w:tcPr>
                  <w:tcW w:w="775" w:type="dxa"/>
                  <w:vMerge w:val="continue"/>
                  <w:noWrap w:val="0"/>
                  <w:tcMar>
                    <w:top w:w="15" w:type="dxa"/>
                    <w:left w:w="15" w:type="dxa"/>
                    <w:bottom w:w="15" w:type="dxa"/>
                    <w:right w:w="15" w:type="dxa"/>
                  </w:tcMar>
                  <w:vAlign w:val="center"/>
                </w:tcPr>
                <w:p>
                  <w:pPr>
                    <w:jc w:val="center"/>
                    <w:textAlignment w:val="center"/>
                    <w:rPr>
                      <w:rFonts w:hint="eastAsia" w:eastAsia="宋体" w:cs="Times New Roman"/>
                      <w:bCs/>
                      <w:color w:val="auto"/>
                      <w:sz w:val="18"/>
                      <w:szCs w:val="18"/>
                      <w:lang w:val="en-US" w:eastAsia="zh-CN"/>
                    </w:rPr>
                  </w:pPr>
                </w:p>
              </w:tc>
              <w:tc>
                <w:tcPr>
                  <w:tcW w:w="688" w:type="dxa"/>
                  <w:vMerge w:val="continue"/>
                  <w:noWrap w:val="0"/>
                  <w:vAlign w:val="center"/>
                </w:tcPr>
                <w:p>
                  <w:pPr>
                    <w:jc w:val="center"/>
                    <w:textAlignment w:val="center"/>
                    <w:rPr>
                      <w:rFonts w:hint="eastAsia"/>
                      <w:bCs/>
                      <w:color w:val="auto"/>
                      <w:sz w:val="18"/>
                      <w:szCs w:val="18"/>
                    </w:rPr>
                  </w:pPr>
                </w:p>
              </w:tc>
              <w:tc>
                <w:tcPr>
                  <w:tcW w:w="700" w:type="dxa"/>
                  <w:vMerge w:val="continue"/>
                  <w:noWrap w:val="0"/>
                  <w:vAlign w:val="center"/>
                </w:tcPr>
                <w:p>
                  <w:pPr>
                    <w:jc w:val="center"/>
                    <w:textAlignment w:val="center"/>
                    <w:rPr>
                      <w:rFonts w:hint="eastAsia"/>
                      <w:bCs/>
                      <w:color w:val="auto"/>
                      <w:sz w:val="18"/>
                      <w:szCs w:val="18"/>
                    </w:rPr>
                  </w:pPr>
                </w:p>
              </w:tc>
              <w:tc>
                <w:tcPr>
                  <w:tcW w:w="612" w:type="dxa"/>
                  <w:noWrap w:val="0"/>
                  <w:vAlign w:val="center"/>
                </w:tcPr>
                <w:p>
                  <w:pPr>
                    <w:jc w:val="center"/>
                    <w:textAlignment w:val="center"/>
                    <w:rPr>
                      <w:rFonts w:hint="eastAsia"/>
                      <w:bCs/>
                      <w:color w:val="auto"/>
                      <w:sz w:val="18"/>
                      <w:szCs w:val="18"/>
                    </w:rPr>
                  </w:pPr>
                  <w:r>
                    <w:rPr>
                      <w:rFonts w:hint="eastAsia" w:ascii="Times New Roman" w:hAnsi="Times New Roman" w:eastAsia="宋体" w:cs="Times New Roman"/>
                      <w:bCs/>
                      <w:color w:val="auto"/>
                      <w:sz w:val="18"/>
                      <w:szCs w:val="18"/>
                      <w:lang w:val="en-US" w:eastAsia="zh-CN"/>
                    </w:rPr>
                    <w:t>0%</w:t>
                  </w:r>
                </w:p>
              </w:tc>
              <w:tc>
                <w:tcPr>
                  <w:tcW w:w="1013"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7.63 </w:t>
                  </w:r>
                </w:p>
              </w:tc>
              <w:tc>
                <w:tcPr>
                  <w:tcW w:w="975"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0.0915 </w:t>
                  </w:r>
                </w:p>
              </w:tc>
              <w:tc>
                <w:tcPr>
                  <w:tcW w:w="887"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0.6589 </w:t>
                  </w:r>
                </w:p>
              </w:tc>
              <w:tc>
                <w:tcPr>
                  <w:tcW w:w="875" w:type="dxa"/>
                  <w:shd w:val="clear" w:color="auto" w:fill="auto"/>
                  <w:noWrap w:val="0"/>
                  <w:vAlign w:val="center"/>
                </w:tcPr>
                <w:p>
                  <w:pPr>
                    <w:pStyle w:val="30"/>
                    <w:keepNext w:val="0"/>
                    <w:keepLines w:val="0"/>
                    <w:pageBreakBefore w:val="0"/>
                    <w:widowControl/>
                    <w:kinsoku/>
                    <w:wordWrap/>
                    <w:overflowPunct/>
                    <w:topLinePunct w:val="0"/>
                    <w:autoSpaceDE/>
                    <w:autoSpaceDN/>
                    <w:bidi w:val="0"/>
                    <w:spacing w:line="240" w:lineRule="auto"/>
                    <w:ind w:firstLine="0" w:firstLineChars="0"/>
                    <w:textAlignment w:val="auto"/>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kern w:val="2"/>
                      <w:sz w:val="18"/>
                      <w:szCs w:val="18"/>
                      <w:lang w:val="en-US" w:eastAsia="zh-CN"/>
                    </w:rPr>
                    <w:t>20</w:t>
                  </w:r>
                </w:p>
              </w:tc>
              <w:tc>
                <w:tcPr>
                  <w:tcW w:w="700" w:type="dxa"/>
                  <w:shd w:val="clear" w:color="auto" w:fill="auto"/>
                  <w:noWrap w:val="0"/>
                  <w:tcMar>
                    <w:top w:w="15" w:type="dxa"/>
                    <w:left w:w="15" w:type="dxa"/>
                    <w:bottom w:w="15" w:type="dxa"/>
                    <w:right w:w="15" w:type="dxa"/>
                  </w:tcMar>
                  <w:vAlign w:val="center"/>
                </w:tcPr>
                <w:p>
                  <w:pPr>
                    <w:jc w:val="center"/>
                    <w:textAlignment w:val="center"/>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w:t>
                  </w:r>
                </w:p>
              </w:tc>
              <w:tc>
                <w:tcPr>
                  <w:tcW w:w="665" w:type="dxa"/>
                  <w:shd w:val="clear" w:color="auto" w:fill="auto"/>
                  <w:noWrap w:val="0"/>
                  <w:tcMar>
                    <w:top w:w="15" w:type="dxa"/>
                    <w:left w:w="15" w:type="dxa"/>
                    <w:bottom w:w="15" w:type="dxa"/>
                    <w:right w:w="15" w:type="dxa"/>
                  </w:tcMar>
                  <w:vAlign w:val="center"/>
                </w:tcPr>
                <w:p>
                  <w:pPr>
                    <w:jc w:val="center"/>
                    <w:textAlignment w:val="center"/>
                    <w:rPr>
                      <w:rFonts w:hint="eastAsia"/>
                      <w:bCs/>
                      <w:color w:val="auto"/>
                      <w:sz w:val="18"/>
                      <w:szCs w:val="18"/>
                      <w:lang w:val="en-US" w:eastAsia="zh-CN"/>
                    </w:rPr>
                  </w:pPr>
                  <w:r>
                    <w:rPr>
                      <w:rFonts w:hint="eastAsia"/>
                      <w:bCs/>
                      <w:color w:val="auto"/>
                      <w:sz w:val="18"/>
                      <w:szCs w:val="18"/>
                      <w:lang w:val="en-US" w:eastAsia="zh-CN"/>
                    </w:rPr>
                    <w:t>7200h</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108" w:type="dxa"/>
                  <w:bottom w:w="0" w:type="dxa"/>
                  <w:right w:w="108" w:type="dxa"/>
                </w:tblCellMar>
              </w:tblPrEx>
              <w:trPr>
                <w:trHeight w:val="545" w:hRule="atLeast"/>
                <w:jc w:val="center"/>
              </w:trPr>
              <w:tc>
                <w:tcPr>
                  <w:tcW w:w="692" w:type="dxa"/>
                  <w:vMerge w:val="restart"/>
                  <w:noWrap w:val="0"/>
                  <w:tcMar>
                    <w:top w:w="15" w:type="dxa"/>
                    <w:left w:w="15" w:type="dxa"/>
                    <w:bottom w:w="15" w:type="dxa"/>
                    <w:right w:w="15" w:type="dxa"/>
                  </w:tcMar>
                  <w:vAlign w:val="center"/>
                </w:tcPr>
                <w:p>
                  <w:pPr>
                    <w:pStyle w:val="49"/>
                    <w:ind w:firstLine="0" w:firstLineChars="0"/>
                    <w:jc w:val="center"/>
                    <w:rPr>
                      <w:rFonts w:hint="default" w:ascii="Times New Roman" w:hAnsi="Times New Roman" w:eastAsia="宋体" w:cs="Times New Roman"/>
                      <w:bCs/>
                      <w:sz w:val="18"/>
                      <w:szCs w:val="18"/>
                      <w:lang w:val="en-US" w:eastAsia="zh-CN"/>
                    </w:rPr>
                  </w:pPr>
                  <w:r>
                    <w:rPr>
                      <w:rFonts w:hint="eastAsia" w:ascii="Times New Roman" w:hAnsi="Times New Roman" w:eastAsia="宋体" w:cs="Times New Roman"/>
                      <w:bCs/>
                      <w:sz w:val="18"/>
                      <w:szCs w:val="18"/>
                      <w:lang w:val="en-US" w:eastAsia="zh-CN"/>
                    </w:rPr>
                    <w:t>DA004</w:t>
                  </w:r>
                </w:p>
              </w:tc>
              <w:tc>
                <w:tcPr>
                  <w:tcW w:w="693" w:type="dxa"/>
                  <w:vMerge w:val="restart"/>
                  <w:noWrap w:val="0"/>
                  <w:tcMar>
                    <w:top w:w="15" w:type="dxa"/>
                    <w:left w:w="15" w:type="dxa"/>
                    <w:bottom w:w="15" w:type="dxa"/>
                    <w:right w:w="15" w:type="dxa"/>
                  </w:tcMar>
                  <w:vAlign w:val="center"/>
                </w:tcPr>
                <w:p>
                  <w:pPr>
                    <w:pStyle w:val="49"/>
                    <w:ind w:firstLine="0" w:firstLineChars="0"/>
                    <w:jc w:val="center"/>
                    <w:rPr>
                      <w:rFonts w:hint="eastAsia" w:ascii="Times New Roman" w:hAnsi="Times New Roman" w:eastAsia="宋体" w:cs="Times New Roman"/>
                      <w:bCs/>
                      <w:kern w:val="2"/>
                      <w:sz w:val="18"/>
                      <w:szCs w:val="18"/>
                      <w:lang w:val="en-US" w:eastAsia="zh-CN" w:bidi="ar-SA"/>
                    </w:rPr>
                  </w:pPr>
                  <w:r>
                    <w:rPr>
                      <w:rFonts w:hint="eastAsia" w:ascii="Times New Roman" w:hAnsi="Times New Roman" w:cs="Times New Roman"/>
                      <w:color w:val="auto"/>
                      <w:sz w:val="18"/>
                      <w:szCs w:val="18"/>
                      <w:lang w:eastAsia="zh-CN"/>
                    </w:rPr>
                    <w:t>天然气燃烧</w:t>
                  </w:r>
                </w:p>
              </w:tc>
              <w:tc>
                <w:tcPr>
                  <w:tcW w:w="688" w:type="dxa"/>
                  <w:shd w:val="clear" w:color="auto" w:fill="auto"/>
                  <w:noWrap w:val="0"/>
                  <w:tcMar>
                    <w:top w:w="15" w:type="dxa"/>
                    <w:left w:w="15" w:type="dxa"/>
                    <w:bottom w:w="15" w:type="dxa"/>
                    <w:right w:w="15" w:type="dxa"/>
                  </w:tcMar>
                  <w:vAlign w:val="center"/>
                </w:tcPr>
                <w:p>
                  <w:pPr>
                    <w:pStyle w:val="49"/>
                    <w:ind w:firstLine="0" w:firstLineChars="0"/>
                    <w:jc w:val="center"/>
                    <w:rPr>
                      <w:rFonts w:hint="eastAsia" w:ascii="Times New Roman" w:hAnsi="Times New Roman" w:cs="Times New Roman"/>
                      <w:sz w:val="18"/>
                      <w:szCs w:val="18"/>
                    </w:rPr>
                  </w:pPr>
                  <w:r>
                    <w:rPr>
                      <w:rFonts w:hint="eastAsia" w:ascii="Times New Roman" w:hAnsi="Times New Roman" w:cs="Times New Roman"/>
                      <w:sz w:val="18"/>
                      <w:szCs w:val="18"/>
                    </w:rPr>
                    <w:t>SO</w:t>
                  </w:r>
                  <w:r>
                    <w:rPr>
                      <w:rFonts w:hint="eastAsia" w:ascii="Times New Roman" w:hAnsi="Times New Roman" w:cs="Times New Roman"/>
                      <w:sz w:val="18"/>
                      <w:szCs w:val="18"/>
                      <w:vertAlign w:val="subscript"/>
                    </w:rPr>
                    <w:t>2</w:t>
                  </w:r>
                </w:p>
              </w:tc>
              <w:tc>
                <w:tcPr>
                  <w:tcW w:w="862" w:type="dxa"/>
                  <w:shd w:val="clear" w:color="auto" w:fill="auto"/>
                  <w:noWrap w:val="0"/>
                  <w:tcMar>
                    <w:top w:w="15" w:type="dxa"/>
                    <w:left w:w="15" w:type="dxa"/>
                    <w:bottom w:w="15"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14.67 </w:t>
                  </w:r>
                </w:p>
              </w:tc>
              <w:tc>
                <w:tcPr>
                  <w:tcW w:w="838" w:type="dxa"/>
                  <w:shd w:val="clear" w:color="auto" w:fill="auto"/>
                  <w:noWrap w:val="0"/>
                  <w:tcMar>
                    <w:top w:w="15" w:type="dxa"/>
                    <w:left w:w="15" w:type="dxa"/>
                    <w:bottom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0.2200 </w:t>
                  </w:r>
                </w:p>
              </w:tc>
              <w:tc>
                <w:tcPr>
                  <w:tcW w:w="850" w:type="dxa"/>
                  <w:shd w:val="clear" w:color="auto" w:fill="auto"/>
                  <w:noWrap w:val="0"/>
                  <w:tcMar>
                    <w:top w:w="15" w:type="dxa"/>
                    <w:left w:w="15" w:type="dxa"/>
                    <w:bottom w:w="15" w:type="dxa"/>
                    <w:right w:w="15" w:type="dxa"/>
                  </w:tcMar>
                  <w:vAlign w:val="center"/>
                </w:tcPr>
                <w:p>
                  <w:pPr>
                    <w:keepNext w:val="0"/>
                    <w:keepLines w:val="0"/>
                    <w:widowControl/>
                    <w:suppressLineNumbers w:val="0"/>
                    <w:jc w:val="center"/>
                    <w:textAlignment w:val="center"/>
                    <w:rPr>
                      <w:rFonts w:hint="eastAsia"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1.584</w:t>
                  </w:r>
                </w:p>
              </w:tc>
              <w:tc>
                <w:tcPr>
                  <w:tcW w:w="512" w:type="dxa"/>
                  <w:vMerge w:val="restart"/>
                  <w:noWrap w:val="0"/>
                  <w:tcMar>
                    <w:top w:w="15" w:type="dxa"/>
                    <w:left w:w="15" w:type="dxa"/>
                    <w:bottom w:w="15" w:type="dxa"/>
                    <w:right w:w="15" w:type="dxa"/>
                  </w:tcMar>
                  <w:vAlign w:val="center"/>
                </w:tcPr>
                <w:p>
                  <w:pPr>
                    <w:jc w:val="center"/>
                    <w:textAlignment w:val="center"/>
                    <w:rPr>
                      <w:rFonts w:hint="eastAsia" w:ascii="Times New Roman" w:hAnsi="Times New Roman" w:eastAsia="宋体" w:cs="Times New Roman"/>
                      <w:bCs/>
                      <w:color w:val="auto"/>
                      <w:sz w:val="18"/>
                      <w:szCs w:val="18"/>
                      <w:lang w:eastAsia="zh-CN"/>
                    </w:rPr>
                  </w:pPr>
                  <w:r>
                    <w:rPr>
                      <w:rFonts w:hint="eastAsia" w:ascii="Times New Roman" w:hAnsi="Times New Roman" w:eastAsia="宋体" w:cs="Times New Roman"/>
                      <w:bCs/>
                      <w:color w:val="auto"/>
                      <w:sz w:val="18"/>
                      <w:szCs w:val="18"/>
                      <w:lang w:eastAsia="zh-CN"/>
                    </w:rPr>
                    <w:t>有</w:t>
                  </w:r>
                  <w:r>
                    <w:rPr>
                      <w:rFonts w:hint="eastAsia" w:ascii="Times New Roman" w:hAnsi="Times New Roman" w:eastAsia="宋体" w:cs="Times New Roman"/>
                      <w:bCs/>
                      <w:color w:val="auto"/>
                      <w:sz w:val="18"/>
                      <w:szCs w:val="18"/>
                    </w:rPr>
                    <w:t>组织</w:t>
                  </w:r>
                </w:p>
              </w:tc>
              <w:tc>
                <w:tcPr>
                  <w:tcW w:w="775" w:type="dxa"/>
                  <w:vMerge w:val="restart"/>
                  <w:noWrap w:val="0"/>
                  <w:tcMar>
                    <w:top w:w="15" w:type="dxa"/>
                    <w:left w:w="15" w:type="dxa"/>
                    <w:bottom w:w="15" w:type="dxa"/>
                    <w:right w:w="15" w:type="dxa"/>
                  </w:tcMar>
                  <w:vAlign w:val="center"/>
                </w:tcPr>
                <w:p>
                  <w:pPr>
                    <w:jc w:val="center"/>
                    <w:textAlignment w:val="center"/>
                    <w:rPr>
                      <w:rFonts w:hint="eastAsia" w:cs="Times New Roman"/>
                      <w:bCs/>
                      <w:color w:val="auto"/>
                      <w:sz w:val="18"/>
                      <w:szCs w:val="18"/>
                      <w:lang w:val="en-US" w:eastAsia="zh-CN"/>
                    </w:rPr>
                  </w:pPr>
                  <w:r>
                    <w:rPr>
                      <w:rFonts w:hint="eastAsia" w:cs="Times New Roman"/>
                      <w:bCs/>
                      <w:color w:val="auto"/>
                      <w:sz w:val="18"/>
                      <w:szCs w:val="18"/>
                      <w:lang w:val="en-US" w:eastAsia="zh-CN"/>
                    </w:rPr>
                    <w:t>低氮燃烧</w:t>
                  </w:r>
                </w:p>
              </w:tc>
              <w:tc>
                <w:tcPr>
                  <w:tcW w:w="688" w:type="dxa"/>
                  <w:vMerge w:val="restart"/>
                  <w:noWrap w:val="0"/>
                  <w:vAlign w:val="center"/>
                </w:tcPr>
                <w:p>
                  <w:pPr>
                    <w:jc w:val="center"/>
                    <w:textAlignment w:val="center"/>
                    <w:rPr>
                      <w:rFonts w:hint="eastAsia"/>
                      <w:bCs/>
                      <w:color w:val="auto"/>
                      <w:sz w:val="18"/>
                      <w:szCs w:val="18"/>
                    </w:rPr>
                  </w:pPr>
                  <w:r>
                    <w:rPr>
                      <w:rFonts w:hint="eastAsia"/>
                      <w:bCs/>
                      <w:color w:val="auto"/>
                      <w:sz w:val="18"/>
                      <w:szCs w:val="18"/>
                      <w:lang w:val="en-US" w:eastAsia="zh-CN"/>
                    </w:rPr>
                    <w:t>180</w:t>
                  </w:r>
                  <w:r>
                    <w:rPr>
                      <w:rFonts w:hint="eastAsia"/>
                      <w:bCs/>
                      <w:color w:val="auto"/>
                      <w:sz w:val="18"/>
                      <w:szCs w:val="18"/>
                    </w:rPr>
                    <w:t>00m</w:t>
                  </w:r>
                  <w:r>
                    <w:rPr>
                      <w:rFonts w:hint="eastAsia"/>
                      <w:bCs/>
                      <w:color w:val="auto"/>
                      <w:sz w:val="18"/>
                      <w:szCs w:val="18"/>
                      <w:vertAlign w:val="superscript"/>
                    </w:rPr>
                    <w:t>3</w:t>
                  </w:r>
                  <w:r>
                    <w:rPr>
                      <w:rFonts w:hint="eastAsia"/>
                      <w:bCs/>
                      <w:color w:val="auto"/>
                      <w:sz w:val="18"/>
                      <w:szCs w:val="18"/>
                    </w:rPr>
                    <w:t>/h</w:t>
                  </w:r>
                </w:p>
              </w:tc>
              <w:tc>
                <w:tcPr>
                  <w:tcW w:w="700" w:type="dxa"/>
                  <w:vMerge w:val="restart"/>
                  <w:noWrap w:val="0"/>
                  <w:vAlign w:val="center"/>
                </w:tcPr>
                <w:p>
                  <w:pPr>
                    <w:jc w:val="center"/>
                    <w:textAlignment w:val="center"/>
                    <w:rPr>
                      <w:rFonts w:hint="eastAsia"/>
                      <w:bCs/>
                      <w:color w:val="auto"/>
                      <w:sz w:val="18"/>
                      <w:szCs w:val="18"/>
                    </w:rPr>
                  </w:pPr>
                  <w:r>
                    <w:rPr>
                      <w:rFonts w:hint="eastAsia" w:eastAsia="宋体" w:cs="Times New Roman"/>
                      <w:bCs/>
                      <w:color w:val="auto"/>
                      <w:sz w:val="18"/>
                      <w:szCs w:val="18"/>
                      <w:lang w:val="en-US" w:eastAsia="zh-CN"/>
                    </w:rPr>
                    <w:t>100%</w:t>
                  </w:r>
                </w:p>
              </w:tc>
              <w:tc>
                <w:tcPr>
                  <w:tcW w:w="612" w:type="dxa"/>
                  <w:noWrap w:val="0"/>
                  <w:vAlign w:val="center"/>
                </w:tcPr>
                <w:p>
                  <w:pPr>
                    <w:jc w:val="center"/>
                    <w:textAlignment w:val="center"/>
                    <w:rPr>
                      <w:rFonts w:hint="eastAsia"/>
                      <w:bCs/>
                      <w:color w:val="auto"/>
                      <w:sz w:val="18"/>
                      <w:szCs w:val="18"/>
                    </w:rPr>
                  </w:pPr>
                  <w:r>
                    <w:rPr>
                      <w:rFonts w:hint="eastAsia" w:ascii="Times New Roman" w:hAnsi="Times New Roman" w:eastAsia="宋体" w:cs="Times New Roman"/>
                      <w:bCs/>
                      <w:color w:val="auto"/>
                      <w:sz w:val="18"/>
                      <w:szCs w:val="18"/>
                      <w:lang w:val="en-US" w:eastAsia="zh-CN"/>
                    </w:rPr>
                    <w:t>0%</w:t>
                  </w:r>
                </w:p>
              </w:tc>
              <w:tc>
                <w:tcPr>
                  <w:tcW w:w="1013"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14.67 </w:t>
                  </w:r>
                </w:p>
              </w:tc>
              <w:tc>
                <w:tcPr>
                  <w:tcW w:w="975"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0.2200 </w:t>
                  </w:r>
                </w:p>
              </w:tc>
              <w:tc>
                <w:tcPr>
                  <w:tcW w:w="887"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1.584</w:t>
                  </w:r>
                </w:p>
              </w:tc>
              <w:tc>
                <w:tcPr>
                  <w:tcW w:w="875" w:type="dxa"/>
                  <w:shd w:val="clear" w:color="auto" w:fill="auto"/>
                  <w:noWrap w:val="0"/>
                  <w:vAlign w:val="center"/>
                </w:tcPr>
                <w:p>
                  <w:pPr>
                    <w:pStyle w:val="30"/>
                    <w:keepNext w:val="0"/>
                    <w:keepLines w:val="0"/>
                    <w:pageBreakBefore w:val="0"/>
                    <w:widowControl/>
                    <w:kinsoku/>
                    <w:wordWrap/>
                    <w:overflowPunct/>
                    <w:topLinePunct w:val="0"/>
                    <w:autoSpaceDE/>
                    <w:autoSpaceDN/>
                    <w:bidi w:val="0"/>
                    <w:spacing w:line="240" w:lineRule="auto"/>
                    <w:ind w:firstLine="0" w:firstLineChars="0"/>
                    <w:textAlignment w:val="auto"/>
                    <w:rPr>
                      <w:rFonts w:hint="eastAsia" w:ascii="Times New Roman" w:hAnsi="Times New Roman" w:eastAsia="宋体" w:cs="Times New Roman"/>
                      <w:bCs/>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80</w:t>
                  </w:r>
                </w:p>
              </w:tc>
              <w:tc>
                <w:tcPr>
                  <w:tcW w:w="700" w:type="dxa"/>
                  <w:shd w:val="clear" w:color="auto" w:fill="auto"/>
                  <w:noWrap w:val="0"/>
                  <w:tcMar>
                    <w:top w:w="15" w:type="dxa"/>
                    <w:left w:w="15" w:type="dxa"/>
                    <w:bottom w:w="15" w:type="dxa"/>
                    <w:right w:w="15" w:type="dxa"/>
                  </w:tcMar>
                  <w:vAlign w:val="center"/>
                </w:tcPr>
                <w:p>
                  <w:pPr>
                    <w:jc w:val="center"/>
                    <w:textAlignment w:val="center"/>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w:t>
                  </w:r>
                </w:p>
              </w:tc>
              <w:tc>
                <w:tcPr>
                  <w:tcW w:w="665" w:type="dxa"/>
                  <w:shd w:val="clear" w:color="auto" w:fill="auto"/>
                  <w:noWrap w:val="0"/>
                  <w:tcMar>
                    <w:top w:w="15" w:type="dxa"/>
                    <w:left w:w="15" w:type="dxa"/>
                    <w:bottom w:w="15" w:type="dxa"/>
                    <w:right w:w="15" w:type="dxa"/>
                  </w:tcMar>
                  <w:vAlign w:val="center"/>
                </w:tcPr>
                <w:p>
                  <w:pPr>
                    <w:jc w:val="center"/>
                    <w:textAlignment w:val="center"/>
                    <w:rPr>
                      <w:rFonts w:hint="eastAsia"/>
                      <w:bCs/>
                      <w:color w:val="auto"/>
                      <w:sz w:val="18"/>
                      <w:szCs w:val="18"/>
                      <w:lang w:val="en-US" w:eastAsia="zh-CN"/>
                    </w:rPr>
                  </w:pPr>
                  <w:r>
                    <w:rPr>
                      <w:rFonts w:hint="eastAsia"/>
                      <w:bCs/>
                      <w:color w:val="auto"/>
                      <w:sz w:val="18"/>
                      <w:szCs w:val="18"/>
                      <w:lang w:val="en-US" w:eastAsia="zh-CN"/>
                    </w:rPr>
                    <w:t>7200h</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108" w:type="dxa"/>
                  <w:bottom w:w="0" w:type="dxa"/>
                  <w:right w:w="108" w:type="dxa"/>
                </w:tblCellMar>
              </w:tblPrEx>
              <w:trPr>
                <w:trHeight w:val="545" w:hRule="atLeast"/>
                <w:jc w:val="center"/>
              </w:trPr>
              <w:tc>
                <w:tcPr>
                  <w:tcW w:w="692" w:type="dxa"/>
                  <w:vMerge w:val="continue"/>
                  <w:noWrap w:val="0"/>
                  <w:tcMar>
                    <w:top w:w="15" w:type="dxa"/>
                    <w:left w:w="15" w:type="dxa"/>
                    <w:bottom w:w="15" w:type="dxa"/>
                    <w:right w:w="15" w:type="dxa"/>
                  </w:tcMar>
                  <w:vAlign w:val="center"/>
                </w:tcPr>
                <w:p>
                  <w:pPr>
                    <w:jc w:val="center"/>
                    <w:textAlignment w:val="center"/>
                    <w:rPr>
                      <w:rFonts w:hint="default" w:ascii="Times New Roman" w:hAnsi="Times New Roman" w:eastAsia="宋体" w:cs="Times New Roman"/>
                      <w:bCs/>
                      <w:sz w:val="18"/>
                      <w:szCs w:val="18"/>
                      <w:lang w:val="en-US" w:eastAsia="zh-CN"/>
                    </w:rPr>
                  </w:pPr>
                </w:p>
              </w:tc>
              <w:tc>
                <w:tcPr>
                  <w:tcW w:w="693" w:type="dxa"/>
                  <w:vMerge w:val="continue"/>
                  <w:noWrap w:val="0"/>
                  <w:tcMar>
                    <w:top w:w="15" w:type="dxa"/>
                    <w:left w:w="15" w:type="dxa"/>
                    <w:bottom w:w="15" w:type="dxa"/>
                    <w:right w:w="15" w:type="dxa"/>
                  </w:tcMar>
                  <w:vAlign w:val="center"/>
                </w:tcPr>
                <w:p>
                  <w:pPr>
                    <w:jc w:val="center"/>
                    <w:textAlignment w:val="center"/>
                    <w:rPr>
                      <w:rFonts w:hint="eastAsia" w:ascii="Times New Roman" w:hAnsi="Times New Roman" w:eastAsia="宋体" w:cs="Times New Roman"/>
                      <w:bCs/>
                      <w:kern w:val="2"/>
                      <w:sz w:val="18"/>
                      <w:szCs w:val="18"/>
                      <w:lang w:val="en-US" w:eastAsia="zh-CN" w:bidi="ar-SA"/>
                    </w:rPr>
                  </w:pPr>
                </w:p>
              </w:tc>
              <w:tc>
                <w:tcPr>
                  <w:tcW w:w="688" w:type="dxa"/>
                  <w:shd w:val="clear" w:color="auto" w:fill="auto"/>
                  <w:noWrap w:val="0"/>
                  <w:tcMar>
                    <w:top w:w="15" w:type="dxa"/>
                    <w:left w:w="15" w:type="dxa"/>
                    <w:bottom w:w="15" w:type="dxa"/>
                    <w:right w:w="15" w:type="dxa"/>
                  </w:tcMar>
                  <w:vAlign w:val="center"/>
                </w:tcPr>
                <w:p>
                  <w:pPr>
                    <w:pStyle w:val="49"/>
                    <w:ind w:firstLine="0" w:firstLineChars="0"/>
                    <w:jc w:val="center"/>
                    <w:rPr>
                      <w:rFonts w:hint="eastAsia" w:ascii="Times New Roman" w:hAnsi="Times New Roman" w:cs="Times New Roman"/>
                      <w:sz w:val="18"/>
                      <w:szCs w:val="18"/>
                    </w:rPr>
                  </w:pPr>
                  <w:r>
                    <w:rPr>
                      <w:rFonts w:hint="eastAsia" w:ascii="Times New Roman" w:hAnsi="Times New Roman" w:cs="Times New Roman"/>
                      <w:sz w:val="18"/>
                      <w:szCs w:val="18"/>
                    </w:rPr>
                    <w:t>NOx</w:t>
                  </w:r>
                </w:p>
              </w:tc>
              <w:tc>
                <w:tcPr>
                  <w:tcW w:w="862" w:type="dxa"/>
                  <w:shd w:val="clear" w:color="auto" w:fill="auto"/>
                  <w:noWrap w:val="0"/>
                  <w:tcMar>
                    <w:top w:w="15" w:type="dxa"/>
                    <w:left w:w="15" w:type="dxa"/>
                    <w:bottom w:w="15"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137.13 </w:t>
                  </w:r>
                </w:p>
              </w:tc>
              <w:tc>
                <w:tcPr>
                  <w:tcW w:w="838" w:type="dxa"/>
                  <w:shd w:val="clear" w:color="auto" w:fill="auto"/>
                  <w:noWrap w:val="0"/>
                  <w:tcMar>
                    <w:top w:w="15" w:type="dxa"/>
                    <w:left w:w="15" w:type="dxa"/>
                    <w:bottom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2.0570 </w:t>
                  </w:r>
                </w:p>
              </w:tc>
              <w:tc>
                <w:tcPr>
                  <w:tcW w:w="850" w:type="dxa"/>
                  <w:shd w:val="clear" w:color="auto" w:fill="auto"/>
                  <w:noWrap w:val="0"/>
                  <w:tcMar>
                    <w:top w:w="15" w:type="dxa"/>
                    <w:left w:w="15" w:type="dxa"/>
                    <w:bottom w:w="15" w:type="dxa"/>
                    <w:right w:w="15" w:type="dxa"/>
                  </w:tcMar>
                  <w:vAlign w:val="center"/>
                </w:tcPr>
                <w:p>
                  <w:pPr>
                    <w:keepNext w:val="0"/>
                    <w:keepLines w:val="0"/>
                    <w:widowControl/>
                    <w:suppressLineNumbers w:val="0"/>
                    <w:jc w:val="center"/>
                    <w:textAlignment w:val="center"/>
                    <w:rPr>
                      <w:rFonts w:hint="eastAsia"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14.8104</w:t>
                  </w:r>
                </w:p>
              </w:tc>
              <w:tc>
                <w:tcPr>
                  <w:tcW w:w="512" w:type="dxa"/>
                  <w:vMerge w:val="continue"/>
                  <w:noWrap w:val="0"/>
                  <w:tcMar>
                    <w:top w:w="15" w:type="dxa"/>
                    <w:left w:w="15" w:type="dxa"/>
                    <w:bottom w:w="15" w:type="dxa"/>
                    <w:right w:w="15" w:type="dxa"/>
                  </w:tcMar>
                  <w:vAlign w:val="center"/>
                </w:tcPr>
                <w:p>
                  <w:pPr>
                    <w:jc w:val="center"/>
                    <w:textAlignment w:val="center"/>
                    <w:rPr>
                      <w:rFonts w:hint="eastAsia" w:ascii="Times New Roman" w:hAnsi="Times New Roman" w:eastAsia="宋体" w:cs="Times New Roman"/>
                      <w:bCs/>
                      <w:color w:val="auto"/>
                      <w:sz w:val="18"/>
                      <w:szCs w:val="18"/>
                      <w:lang w:eastAsia="zh-CN"/>
                    </w:rPr>
                  </w:pPr>
                </w:p>
              </w:tc>
              <w:tc>
                <w:tcPr>
                  <w:tcW w:w="775" w:type="dxa"/>
                  <w:vMerge w:val="continue"/>
                  <w:noWrap w:val="0"/>
                  <w:tcMar>
                    <w:top w:w="15" w:type="dxa"/>
                    <w:left w:w="15" w:type="dxa"/>
                    <w:bottom w:w="15" w:type="dxa"/>
                    <w:right w:w="15" w:type="dxa"/>
                  </w:tcMar>
                  <w:vAlign w:val="center"/>
                </w:tcPr>
                <w:p>
                  <w:pPr>
                    <w:jc w:val="center"/>
                    <w:textAlignment w:val="center"/>
                    <w:rPr>
                      <w:rFonts w:hint="eastAsia" w:eastAsia="宋体" w:cs="Times New Roman"/>
                      <w:bCs/>
                      <w:color w:val="auto"/>
                      <w:sz w:val="18"/>
                      <w:szCs w:val="18"/>
                      <w:lang w:val="en-US" w:eastAsia="zh-CN"/>
                    </w:rPr>
                  </w:pPr>
                </w:p>
              </w:tc>
              <w:tc>
                <w:tcPr>
                  <w:tcW w:w="688" w:type="dxa"/>
                  <w:vMerge w:val="continue"/>
                  <w:noWrap w:val="0"/>
                  <w:vAlign w:val="center"/>
                </w:tcPr>
                <w:p>
                  <w:pPr>
                    <w:jc w:val="center"/>
                    <w:textAlignment w:val="center"/>
                    <w:rPr>
                      <w:rFonts w:hint="eastAsia"/>
                      <w:bCs/>
                      <w:color w:val="auto"/>
                      <w:sz w:val="18"/>
                      <w:szCs w:val="18"/>
                    </w:rPr>
                  </w:pPr>
                </w:p>
              </w:tc>
              <w:tc>
                <w:tcPr>
                  <w:tcW w:w="700" w:type="dxa"/>
                  <w:vMerge w:val="continue"/>
                  <w:noWrap w:val="0"/>
                  <w:vAlign w:val="center"/>
                </w:tcPr>
                <w:p>
                  <w:pPr>
                    <w:jc w:val="center"/>
                    <w:textAlignment w:val="center"/>
                    <w:rPr>
                      <w:rFonts w:hint="eastAsia"/>
                      <w:bCs/>
                      <w:color w:val="auto"/>
                      <w:sz w:val="18"/>
                      <w:szCs w:val="18"/>
                    </w:rPr>
                  </w:pPr>
                </w:p>
              </w:tc>
              <w:tc>
                <w:tcPr>
                  <w:tcW w:w="612" w:type="dxa"/>
                  <w:noWrap w:val="0"/>
                  <w:vAlign w:val="center"/>
                </w:tcPr>
                <w:p>
                  <w:pPr>
                    <w:jc w:val="center"/>
                    <w:textAlignment w:val="center"/>
                    <w:rPr>
                      <w:rFonts w:hint="eastAsia"/>
                      <w:bCs/>
                      <w:color w:val="auto"/>
                      <w:sz w:val="18"/>
                      <w:szCs w:val="18"/>
                    </w:rPr>
                  </w:pPr>
                  <w:r>
                    <w:rPr>
                      <w:rFonts w:hint="eastAsia" w:cs="Times New Roman"/>
                      <w:bCs/>
                      <w:color w:val="auto"/>
                      <w:sz w:val="18"/>
                      <w:szCs w:val="18"/>
                      <w:lang w:val="en-US" w:eastAsia="zh-CN"/>
                    </w:rPr>
                    <w:t>50%</w:t>
                  </w:r>
                </w:p>
              </w:tc>
              <w:tc>
                <w:tcPr>
                  <w:tcW w:w="1013"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68.57 </w:t>
                  </w:r>
                </w:p>
              </w:tc>
              <w:tc>
                <w:tcPr>
                  <w:tcW w:w="975"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1.0285 </w:t>
                  </w:r>
                </w:p>
              </w:tc>
              <w:tc>
                <w:tcPr>
                  <w:tcW w:w="887" w:type="dxa"/>
                  <w:shd w:val="clear" w:color="auto" w:fill="auto"/>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7.4052</w:t>
                  </w:r>
                </w:p>
              </w:tc>
              <w:tc>
                <w:tcPr>
                  <w:tcW w:w="875" w:type="dxa"/>
                  <w:shd w:val="clear" w:color="auto" w:fill="auto"/>
                  <w:noWrap w:val="0"/>
                  <w:vAlign w:val="center"/>
                </w:tcPr>
                <w:p>
                  <w:pPr>
                    <w:pStyle w:val="30"/>
                    <w:keepNext w:val="0"/>
                    <w:keepLines w:val="0"/>
                    <w:pageBreakBefore w:val="0"/>
                    <w:widowControl/>
                    <w:kinsoku/>
                    <w:wordWrap/>
                    <w:overflowPunct/>
                    <w:topLinePunct w:val="0"/>
                    <w:autoSpaceDE/>
                    <w:autoSpaceDN/>
                    <w:bidi w:val="0"/>
                    <w:spacing w:line="240" w:lineRule="auto"/>
                    <w:ind w:firstLine="0" w:firstLineChars="0"/>
                    <w:textAlignment w:val="auto"/>
                    <w:rPr>
                      <w:rFonts w:hint="eastAsia" w:ascii="Times New Roman" w:hAnsi="Times New Roman" w:eastAsia="宋体" w:cs="Times New Roman"/>
                      <w:bCs/>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180</w:t>
                  </w:r>
                </w:p>
              </w:tc>
              <w:tc>
                <w:tcPr>
                  <w:tcW w:w="700" w:type="dxa"/>
                  <w:shd w:val="clear" w:color="auto" w:fill="auto"/>
                  <w:noWrap w:val="0"/>
                  <w:tcMar>
                    <w:top w:w="15" w:type="dxa"/>
                    <w:left w:w="15" w:type="dxa"/>
                    <w:bottom w:w="15" w:type="dxa"/>
                    <w:right w:w="15" w:type="dxa"/>
                  </w:tcMar>
                  <w:vAlign w:val="center"/>
                </w:tcPr>
                <w:p>
                  <w:pPr>
                    <w:jc w:val="center"/>
                    <w:textAlignment w:val="center"/>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w:t>
                  </w:r>
                </w:p>
              </w:tc>
              <w:tc>
                <w:tcPr>
                  <w:tcW w:w="665" w:type="dxa"/>
                  <w:shd w:val="clear" w:color="auto" w:fill="auto"/>
                  <w:noWrap w:val="0"/>
                  <w:tcMar>
                    <w:top w:w="15" w:type="dxa"/>
                    <w:left w:w="15" w:type="dxa"/>
                    <w:bottom w:w="15" w:type="dxa"/>
                    <w:right w:w="15" w:type="dxa"/>
                  </w:tcMar>
                  <w:vAlign w:val="center"/>
                </w:tcPr>
                <w:p>
                  <w:pPr>
                    <w:jc w:val="center"/>
                    <w:textAlignment w:val="center"/>
                    <w:rPr>
                      <w:rFonts w:hint="eastAsia"/>
                      <w:bCs/>
                      <w:color w:val="auto"/>
                      <w:sz w:val="18"/>
                      <w:szCs w:val="18"/>
                      <w:lang w:val="en-US" w:eastAsia="zh-CN"/>
                    </w:rPr>
                  </w:pPr>
                  <w:r>
                    <w:rPr>
                      <w:rFonts w:hint="eastAsia"/>
                      <w:bCs/>
                      <w:color w:val="auto"/>
                      <w:sz w:val="18"/>
                      <w:szCs w:val="18"/>
                      <w:lang w:val="en-US" w:eastAsia="zh-CN"/>
                    </w:rPr>
                    <w:t>7200h</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108" w:type="dxa"/>
                  <w:bottom w:w="0" w:type="dxa"/>
                  <w:right w:w="108" w:type="dxa"/>
                </w:tblCellMar>
              </w:tblPrEx>
              <w:trPr>
                <w:trHeight w:val="545" w:hRule="atLeast"/>
                <w:jc w:val="center"/>
              </w:trPr>
              <w:tc>
                <w:tcPr>
                  <w:tcW w:w="692" w:type="dxa"/>
                  <w:vMerge w:val="continue"/>
                  <w:noWrap w:val="0"/>
                  <w:tcMar>
                    <w:top w:w="15" w:type="dxa"/>
                    <w:left w:w="15" w:type="dxa"/>
                    <w:bottom w:w="15" w:type="dxa"/>
                    <w:right w:w="15" w:type="dxa"/>
                  </w:tcMar>
                  <w:vAlign w:val="center"/>
                </w:tcPr>
                <w:p>
                  <w:pPr>
                    <w:jc w:val="center"/>
                    <w:textAlignment w:val="center"/>
                    <w:rPr>
                      <w:rFonts w:hint="default" w:ascii="Times New Roman" w:hAnsi="Times New Roman" w:eastAsia="宋体" w:cs="Times New Roman"/>
                      <w:bCs/>
                      <w:sz w:val="18"/>
                      <w:szCs w:val="18"/>
                      <w:lang w:val="en-US" w:eastAsia="zh-CN"/>
                    </w:rPr>
                  </w:pPr>
                </w:p>
              </w:tc>
              <w:tc>
                <w:tcPr>
                  <w:tcW w:w="693" w:type="dxa"/>
                  <w:vMerge w:val="continue"/>
                  <w:noWrap w:val="0"/>
                  <w:tcMar>
                    <w:top w:w="15" w:type="dxa"/>
                    <w:left w:w="15" w:type="dxa"/>
                    <w:bottom w:w="15" w:type="dxa"/>
                    <w:right w:w="15" w:type="dxa"/>
                  </w:tcMar>
                  <w:vAlign w:val="center"/>
                </w:tcPr>
                <w:p>
                  <w:pPr>
                    <w:jc w:val="center"/>
                    <w:textAlignment w:val="center"/>
                    <w:rPr>
                      <w:rFonts w:hint="eastAsia" w:ascii="Times New Roman" w:hAnsi="Times New Roman" w:eastAsia="宋体" w:cs="Times New Roman"/>
                      <w:bCs/>
                      <w:kern w:val="2"/>
                      <w:sz w:val="18"/>
                      <w:szCs w:val="18"/>
                      <w:lang w:val="en-US" w:eastAsia="zh-CN" w:bidi="ar-SA"/>
                    </w:rPr>
                  </w:pPr>
                </w:p>
              </w:tc>
              <w:tc>
                <w:tcPr>
                  <w:tcW w:w="688" w:type="dxa"/>
                  <w:shd w:val="clear" w:color="auto" w:fill="auto"/>
                  <w:noWrap w:val="0"/>
                  <w:tcMar>
                    <w:top w:w="15" w:type="dxa"/>
                    <w:left w:w="15" w:type="dxa"/>
                    <w:bottom w:w="15" w:type="dxa"/>
                    <w:right w:w="15" w:type="dxa"/>
                  </w:tcMar>
                  <w:vAlign w:val="center"/>
                </w:tcPr>
                <w:p>
                  <w:pPr>
                    <w:pStyle w:val="49"/>
                    <w:ind w:firstLine="0" w:firstLineChars="0"/>
                    <w:jc w:val="center"/>
                    <w:rPr>
                      <w:rFonts w:hint="eastAsia" w:ascii="Times New Roman" w:hAnsi="Times New Roman" w:cs="Times New Roman"/>
                      <w:sz w:val="18"/>
                      <w:szCs w:val="18"/>
                    </w:rPr>
                  </w:pPr>
                  <w:r>
                    <w:rPr>
                      <w:rFonts w:hint="eastAsia" w:ascii="Times New Roman" w:hAnsi="Times New Roman" w:cs="Times New Roman"/>
                      <w:sz w:val="18"/>
                      <w:szCs w:val="18"/>
                    </w:rPr>
                    <w:t>颗粒物</w:t>
                  </w:r>
                </w:p>
              </w:tc>
              <w:tc>
                <w:tcPr>
                  <w:tcW w:w="862" w:type="dxa"/>
                  <w:shd w:val="clear" w:color="auto" w:fill="auto"/>
                  <w:noWrap w:val="0"/>
                  <w:tcMar>
                    <w:top w:w="15" w:type="dxa"/>
                    <w:left w:w="15" w:type="dxa"/>
                    <w:bottom w:w="15"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17.48</w:t>
                  </w:r>
                  <w:r>
                    <w:rPr>
                      <w:rFonts w:hint="default" w:ascii="Times New Roman" w:hAnsi="Times New Roman" w:eastAsia="宋体" w:cs="Times New Roman"/>
                      <w:i w:val="0"/>
                      <w:iCs w:val="0"/>
                      <w:color w:val="auto"/>
                      <w:kern w:val="0"/>
                      <w:sz w:val="18"/>
                      <w:szCs w:val="18"/>
                      <w:u w:val="none"/>
                      <w:lang w:val="en-US" w:eastAsia="zh-CN" w:bidi="ar"/>
                    </w:rPr>
                    <w:t xml:space="preserve"> </w:t>
                  </w:r>
                </w:p>
              </w:tc>
              <w:tc>
                <w:tcPr>
                  <w:tcW w:w="838" w:type="dxa"/>
                  <w:shd w:val="clear" w:color="auto" w:fill="auto"/>
                  <w:noWrap w:val="0"/>
                  <w:tcMar>
                    <w:top w:w="15" w:type="dxa"/>
                    <w:left w:w="15" w:type="dxa"/>
                    <w:bottom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0.3146 </w:t>
                  </w:r>
                </w:p>
              </w:tc>
              <w:tc>
                <w:tcPr>
                  <w:tcW w:w="850" w:type="dxa"/>
                  <w:shd w:val="clear" w:color="auto" w:fill="auto"/>
                  <w:noWrap w:val="0"/>
                  <w:tcMar>
                    <w:top w:w="15" w:type="dxa"/>
                    <w:left w:w="15" w:type="dxa"/>
                    <w:bottom w:w="15" w:type="dxa"/>
                    <w:right w:w="15" w:type="dxa"/>
                  </w:tcMar>
                  <w:vAlign w:val="center"/>
                </w:tcPr>
                <w:p>
                  <w:pPr>
                    <w:keepNext w:val="0"/>
                    <w:keepLines w:val="0"/>
                    <w:widowControl/>
                    <w:suppressLineNumbers w:val="0"/>
                    <w:jc w:val="center"/>
                    <w:textAlignment w:val="center"/>
                    <w:rPr>
                      <w:rFonts w:hint="eastAsia"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2.26512</w:t>
                  </w:r>
                </w:p>
              </w:tc>
              <w:tc>
                <w:tcPr>
                  <w:tcW w:w="512" w:type="dxa"/>
                  <w:vMerge w:val="continue"/>
                  <w:noWrap w:val="0"/>
                  <w:tcMar>
                    <w:top w:w="15" w:type="dxa"/>
                    <w:left w:w="15" w:type="dxa"/>
                    <w:bottom w:w="15" w:type="dxa"/>
                    <w:right w:w="15" w:type="dxa"/>
                  </w:tcMar>
                  <w:vAlign w:val="center"/>
                </w:tcPr>
                <w:p>
                  <w:pPr>
                    <w:jc w:val="center"/>
                    <w:textAlignment w:val="center"/>
                    <w:rPr>
                      <w:rFonts w:hint="eastAsia" w:ascii="Times New Roman" w:hAnsi="Times New Roman" w:eastAsia="宋体" w:cs="Times New Roman"/>
                      <w:bCs/>
                      <w:color w:val="auto"/>
                      <w:sz w:val="18"/>
                      <w:szCs w:val="18"/>
                      <w:lang w:eastAsia="zh-CN"/>
                    </w:rPr>
                  </w:pPr>
                </w:p>
              </w:tc>
              <w:tc>
                <w:tcPr>
                  <w:tcW w:w="775" w:type="dxa"/>
                  <w:vMerge w:val="continue"/>
                  <w:noWrap w:val="0"/>
                  <w:tcMar>
                    <w:top w:w="15" w:type="dxa"/>
                    <w:left w:w="15" w:type="dxa"/>
                    <w:bottom w:w="15" w:type="dxa"/>
                    <w:right w:w="15" w:type="dxa"/>
                  </w:tcMar>
                  <w:vAlign w:val="center"/>
                </w:tcPr>
                <w:p>
                  <w:pPr>
                    <w:jc w:val="center"/>
                    <w:textAlignment w:val="center"/>
                    <w:rPr>
                      <w:rFonts w:hint="eastAsia" w:eastAsia="宋体" w:cs="Times New Roman"/>
                      <w:bCs/>
                      <w:color w:val="auto"/>
                      <w:sz w:val="18"/>
                      <w:szCs w:val="18"/>
                      <w:lang w:val="en-US" w:eastAsia="zh-CN"/>
                    </w:rPr>
                  </w:pPr>
                </w:p>
              </w:tc>
              <w:tc>
                <w:tcPr>
                  <w:tcW w:w="688" w:type="dxa"/>
                  <w:vMerge w:val="continue"/>
                  <w:noWrap w:val="0"/>
                  <w:vAlign w:val="center"/>
                </w:tcPr>
                <w:p>
                  <w:pPr>
                    <w:jc w:val="center"/>
                    <w:textAlignment w:val="center"/>
                    <w:rPr>
                      <w:rFonts w:hint="eastAsia"/>
                      <w:bCs/>
                      <w:color w:val="auto"/>
                      <w:sz w:val="18"/>
                      <w:szCs w:val="18"/>
                    </w:rPr>
                  </w:pPr>
                </w:p>
              </w:tc>
              <w:tc>
                <w:tcPr>
                  <w:tcW w:w="700" w:type="dxa"/>
                  <w:vMerge w:val="continue"/>
                  <w:noWrap w:val="0"/>
                  <w:vAlign w:val="center"/>
                </w:tcPr>
                <w:p>
                  <w:pPr>
                    <w:jc w:val="center"/>
                    <w:textAlignment w:val="center"/>
                    <w:rPr>
                      <w:rFonts w:hint="eastAsia"/>
                      <w:bCs/>
                      <w:color w:val="auto"/>
                      <w:sz w:val="18"/>
                      <w:szCs w:val="18"/>
                    </w:rPr>
                  </w:pPr>
                </w:p>
              </w:tc>
              <w:tc>
                <w:tcPr>
                  <w:tcW w:w="612" w:type="dxa"/>
                  <w:noWrap w:val="0"/>
                  <w:vAlign w:val="center"/>
                </w:tcPr>
                <w:p>
                  <w:pPr>
                    <w:jc w:val="center"/>
                    <w:textAlignment w:val="center"/>
                    <w:rPr>
                      <w:rFonts w:hint="eastAsia"/>
                      <w:bCs/>
                      <w:color w:val="auto"/>
                      <w:sz w:val="18"/>
                      <w:szCs w:val="18"/>
                    </w:rPr>
                  </w:pPr>
                  <w:r>
                    <w:rPr>
                      <w:rFonts w:hint="eastAsia" w:ascii="Times New Roman" w:hAnsi="Times New Roman" w:eastAsia="宋体" w:cs="Times New Roman"/>
                      <w:bCs/>
                      <w:color w:val="auto"/>
                      <w:sz w:val="18"/>
                      <w:szCs w:val="18"/>
                      <w:lang w:val="en-US" w:eastAsia="zh-CN"/>
                    </w:rPr>
                    <w:t>0%</w:t>
                  </w:r>
                </w:p>
              </w:tc>
              <w:tc>
                <w:tcPr>
                  <w:tcW w:w="1013"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17.48</w:t>
                  </w:r>
                  <w:r>
                    <w:rPr>
                      <w:rFonts w:hint="default" w:ascii="Times New Roman" w:hAnsi="Times New Roman" w:eastAsia="宋体" w:cs="Times New Roman"/>
                      <w:i w:val="0"/>
                      <w:iCs w:val="0"/>
                      <w:color w:val="auto"/>
                      <w:kern w:val="0"/>
                      <w:sz w:val="18"/>
                      <w:szCs w:val="18"/>
                      <w:u w:val="none"/>
                      <w:lang w:val="en-US" w:eastAsia="zh-CN" w:bidi="ar"/>
                    </w:rPr>
                    <w:t xml:space="preserve"> </w:t>
                  </w:r>
                </w:p>
              </w:tc>
              <w:tc>
                <w:tcPr>
                  <w:tcW w:w="975"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0.3146 </w:t>
                  </w:r>
                </w:p>
              </w:tc>
              <w:tc>
                <w:tcPr>
                  <w:tcW w:w="887"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2.26512</w:t>
                  </w:r>
                </w:p>
              </w:tc>
              <w:tc>
                <w:tcPr>
                  <w:tcW w:w="875" w:type="dxa"/>
                  <w:shd w:val="clear" w:color="auto" w:fill="auto"/>
                  <w:noWrap w:val="0"/>
                  <w:vAlign w:val="center"/>
                </w:tcPr>
                <w:p>
                  <w:pPr>
                    <w:pStyle w:val="30"/>
                    <w:keepNext w:val="0"/>
                    <w:keepLines w:val="0"/>
                    <w:pageBreakBefore w:val="0"/>
                    <w:widowControl/>
                    <w:kinsoku/>
                    <w:wordWrap/>
                    <w:overflowPunct/>
                    <w:topLinePunct w:val="0"/>
                    <w:autoSpaceDE/>
                    <w:autoSpaceDN/>
                    <w:bidi w:val="0"/>
                    <w:spacing w:line="240" w:lineRule="auto"/>
                    <w:ind w:firstLine="0" w:firstLineChars="0"/>
                    <w:textAlignment w:val="auto"/>
                    <w:rPr>
                      <w:rFonts w:hint="eastAsia" w:ascii="Times New Roman" w:hAnsi="Times New Roman" w:eastAsia="宋体" w:cs="Times New Roman"/>
                      <w:bCs/>
                      <w:color w:val="auto"/>
                      <w:kern w:val="2"/>
                      <w:sz w:val="18"/>
                      <w:szCs w:val="18"/>
                      <w:lang w:val="en-US" w:eastAsia="zh-CN"/>
                    </w:rPr>
                  </w:pPr>
                  <w:r>
                    <w:rPr>
                      <w:rFonts w:hint="eastAsia" w:ascii="Times New Roman" w:hAnsi="Times New Roman" w:eastAsia="宋体" w:cs="Times New Roman"/>
                      <w:bCs/>
                      <w:color w:val="auto"/>
                      <w:kern w:val="2"/>
                      <w:sz w:val="18"/>
                      <w:szCs w:val="18"/>
                      <w:lang w:val="en-US" w:eastAsia="zh-CN"/>
                    </w:rPr>
                    <w:t>20</w:t>
                  </w:r>
                </w:p>
              </w:tc>
              <w:tc>
                <w:tcPr>
                  <w:tcW w:w="700" w:type="dxa"/>
                  <w:shd w:val="clear" w:color="auto" w:fill="auto"/>
                  <w:noWrap w:val="0"/>
                  <w:tcMar>
                    <w:top w:w="15" w:type="dxa"/>
                    <w:left w:w="15" w:type="dxa"/>
                    <w:bottom w:w="15" w:type="dxa"/>
                    <w:right w:w="15" w:type="dxa"/>
                  </w:tcMar>
                  <w:vAlign w:val="center"/>
                </w:tcPr>
                <w:p>
                  <w:pPr>
                    <w:jc w:val="center"/>
                    <w:textAlignment w:val="center"/>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w:t>
                  </w:r>
                </w:p>
              </w:tc>
              <w:tc>
                <w:tcPr>
                  <w:tcW w:w="665" w:type="dxa"/>
                  <w:shd w:val="clear" w:color="auto" w:fill="auto"/>
                  <w:noWrap w:val="0"/>
                  <w:tcMar>
                    <w:top w:w="15" w:type="dxa"/>
                    <w:left w:w="15" w:type="dxa"/>
                    <w:bottom w:w="15" w:type="dxa"/>
                    <w:right w:w="15" w:type="dxa"/>
                  </w:tcMar>
                  <w:vAlign w:val="center"/>
                </w:tcPr>
                <w:p>
                  <w:pPr>
                    <w:jc w:val="center"/>
                    <w:textAlignment w:val="center"/>
                    <w:rPr>
                      <w:rFonts w:hint="eastAsia"/>
                      <w:bCs/>
                      <w:color w:val="auto"/>
                      <w:sz w:val="18"/>
                      <w:szCs w:val="18"/>
                      <w:lang w:val="en-US" w:eastAsia="zh-CN"/>
                    </w:rPr>
                  </w:pPr>
                  <w:r>
                    <w:rPr>
                      <w:rFonts w:hint="eastAsia"/>
                      <w:bCs/>
                      <w:color w:val="auto"/>
                      <w:sz w:val="18"/>
                      <w:szCs w:val="18"/>
                      <w:lang w:val="en-US" w:eastAsia="zh-CN"/>
                    </w:rPr>
                    <w:t>7200h</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108" w:type="dxa"/>
                  <w:bottom w:w="0" w:type="dxa"/>
                  <w:right w:w="108" w:type="dxa"/>
                </w:tblCellMar>
              </w:tblPrEx>
              <w:trPr>
                <w:trHeight w:val="545" w:hRule="atLeast"/>
                <w:jc w:val="center"/>
              </w:trPr>
              <w:tc>
                <w:tcPr>
                  <w:tcW w:w="692" w:type="dxa"/>
                  <w:vMerge w:val="restart"/>
                  <w:noWrap w:val="0"/>
                  <w:tcMar>
                    <w:top w:w="15" w:type="dxa"/>
                    <w:left w:w="15" w:type="dxa"/>
                    <w:bottom w:w="15" w:type="dxa"/>
                    <w:right w:w="15" w:type="dxa"/>
                  </w:tcMar>
                  <w:vAlign w:val="center"/>
                </w:tcPr>
                <w:p>
                  <w:pPr>
                    <w:pStyle w:val="49"/>
                    <w:ind w:firstLine="0" w:firstLineChars="0"/>
                    <w:jc w:val="center"/>
                    <w:rPr>
                      <w:rFonts w:hint="default" w:ascii="Times New Roman" w:hAnsi="Times New Roman" w:eastAsia="宋体" w:cs="Times New Roman"/>
                      <w:bCs/>
                      <w:sz w:val="18"/>
                      <w:szCs w:val="18"/>
                      <w:lang w:val="en-US" w:eastAsia="zh-CN"/>
                    </w:rPr>
                  </w:pPr>
                  <w:r>
                    <w:rPr>
                      <w:rFonts w:hint="eastAsia" w:ascii="Times New Roman" w:hAnsi="Times New Roman" w:eastAsia="宋体" w:cs="Times New Roman"/>
                      <w:bCs/>
                      <w:sz w:val="18"/>
                      <w:szCs w:val="18"/>
                      <w:lang w:val="en-US" w:eastAsia="zh-CN"/>
                    </w:rPr>
                    <w:t>DA005</w:t>
                  </w:r>
                </w:p>
              </w:tc>
              <w:tc>
                <w:tcPr>
                  <w:tcW w:w="693" w:type="dxa"/>
                  <w:vMerge w:val="restart"/>
                  <w:noWrap w:val="0"/>
                  <w:tcMar>
                    <w:top w:w="15" w:type="dxa"/>
                    <w:left w:w="15" w:type="dxa"/>
                    <w:bottom w:w="15" w:type="dxa"/>
                    <w:right w:w="15" w:type="dxa"/>
                  </w:tcMar>
                  <w:vAlign w:val="center"/>
                </w:tcPr>
                <w:p>
                  <w:pPr>
                    <w:pStyle w:val="49"/>
                    <w:ind w:firstLine="0" w:firstLineChars="0"/>
                    <w:jc w:val="center"/>
                    <w:rPr>
                      <w:rFonts w:hint="eastAsia" w:ascii="Times New Roman" w:hAnsi="Times New Roman" w:eastAsia="宋体" w:cs="Times New Roman"/>
                      <w:bCs/>
                      <w:kern w:val="2"/>
                      <w:sz w:val="18"/>
                      <w:szCs w:val="18"/>
                      <w:lang w:val="en-US" w:eastAsia="zh-CN" w:bidi="ar-SA"/>
                    </w:rPr>
                  </w:pPr>
                  <w:r>
                    <w:rPr>
                      <w:rFonts w:hint="eastAsia" w:ascii="Times New Roman" w:hAnsi="Times New Roman" w:cs="Times New Roman"/>
                      <w:color w:val="auto"/>
                      <w:sz w:val="18"/>
                      <w:szCs w:val="18"/>
                      <w:lang w:eastAsia="zh-CN"/>
                    </w:rPr>
                    <w:t>天然气燃烧</w:t>
                  </w:r>
                </w:p>
              </w:tc>
              <w:tc>
                <w:tcPr>
                  <w:tcW w:w="688" w:type="dxa"/>
                  <w:shd w:val="clear" w:color="auto" w:fill="auto"/>
                  <w:noWrap w:val="0"/>
                  <w:tcMar>
                    <w:top w:w="15" w:type="dxa"/>
                    <w:left w:w="15" w:type="dxa"/>
                    <w:bottom w:w="15" w:type="dxa"/>
                    <w:right w:w="15" w:type="dxa"/>
                  </w:tcMar>
                  <w:vAlign w:val="center"/>
                </w:tcPr>
                <w:p>
                  <w:pPr>
                    <w:pStyle w:val="49"/>
                    <w:ind w:firstLine="0" w:firstLineChars="0"/>
                    <w:jc w:val="center"/>
                    <w:rPr>
                      <w:rFonts w:hint="eastAsia" w:ascii="Times New Roman" w:hAnsi="Times New Roman" w:cs="Times New Roman"/>
                      <w:sz w:val="18"/>
                      <w:szCs w:val="18"/>
                    </w:rPr>
                  </w:pPr>
                  <w:r>
                    <w:rPr>
                      <w:rFonts w:hint="eastAsia" w:ascii="Times New Roman" w:hAnsi="Times New Roman" w:cs="Times New Roman"/>
                      <w:sz w:val="18"/>
                      <w:szCs w:val="18"/>
                    </w:rPr>
                    <w:t>SO</w:t>
                  </w:r>
                  <w:r>
                    <w:rPr>
                      <w:rFonts w:hint="eastAsia" w:ascii="Times New Roman" w:hAnsi="Times New Roman" w:cs="Times New Roman"/>
                      <w:sz w:val="18"/>
                      <w:szCs w:val="18"/>
                      <w:vertAlign w:val="subscript"/>
                    </w:rPr>
                    <w:t>2</w:t>
                  </w:r>
                </w:p>
              </w:tc>
              <w:tc>
                <w:tcPr>
                  <w:tcW w:w="862" w:type="dxa"/>
                  <w:shd w:val="clear" w:color="auto" w:fill="auto"/>
                  <w:noWrap w:val="0"/>
                  <w:tcMar>
                    <w:top w:w="15" w:type="dxa"/>
                    <w:left w:w="15" w:type="dxa"/>
                    <w:bottom w:w="15" w:type="dxa"/>
                    <w:right w:w="15" w:type="dxa"/>
                  </w:tcMar>
                  <w:vAlign w:val="center"/>
                </w:tcPr>
                <w:p>
                  <w:pPr>
                    <w:adjustRightInd w:val="0"/>
                    <w:snapToGrid w:val="0"/>
                    <w:jc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cs="Times New Roman"/>
                      <w:color w:val="auto"/>
                      <w:sz w:val="18"/>
                      <w:szCs w:val="18"/>
                      <w:lang w:val="en-US" w:eastAsia="zh-CN"/>
                    </w:rPr>
                    <w:t>12</w:t>
                  </w:r>
                </w:p>
              </w:tc>
              <w:tc>
                <w:tcPr>
                  <w:tcW w:w="838" w:type="dxa"/>
                  <w:shd w:val="clear" w:color="auto" w:fill="auto"/>
                  <w:noWrap w:val="0"/>
                  <w:tcMar>
                    <w:top w:w="15" w:type="dxa"/>
                    <w:left w:w="15" w:type="dxa"/>
                    <w:bottom w:w="15" w:type="dxa"/>
                    <w:right w:w="15" w:type="dxa"/>
                  </w:tcMar>
                  <w:vAlign w:val="center"/>
                </w:tcPr>
                <w:p>
                  <w:pPr>
                    <w:adjustRightInd w:val="0"/>
                    <w:snapToGrid w:val="0"/>
                    <w:jc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color w:val="auto"/>
                      <w:sz w:val="18"/>
                      <w:szCs w:val="18"/>
                      <w:lang w:val="en-US" w:eastAsia="zh-CN"/>
                    </w:rPr>
                    <w:t xml:space="preserve">0.1800 </w:t>
                  </w:r>
                </w:p>
              </w:tc>
              <w:tc>
                <w:tcPr>
                  <w:tcW w:w="850" w:type="dxa"/>
                  <w:shd w:val="clear" w:color="auto" w:fill="auto"/>
                  <w:noWrap w:val="0"/>
                  <w:tcMar>
                    <w:top w:w="15" w:type="dxa"/>
                    <w:left w:w="15" w:type="dxa"/>
                    <w:bottom w:w="15" w:type="dxa"/>
                    <w:right w:w="15" w:type="dxa"/>
                  </w:tcMar>
                  <w:vAlign w:val="center"/>
                </w:tcPr>
                <w:p>
                  <w:pPr>
                    <w:adjustRightInd w:val="0"/>
                    <w:snapToGrid w:val="0"/>
                    <w:jc w:val="center"/>
                    <w:rPr>
                      <w:rFonts w:hint="eastAsia" w:ascii="Times New Roman" w:hAnsi="Times New Roman"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 xml:space="preserve">1.2960 </w:t>
                  </w:r>
                </w:p>
              </w:tc>
              <w:tc>
                <w:tcPr>
                  <w:tcW w:w="512" w:type="dxa"/>
                  <w:vMerge w:val="restart"/>
                  <w:noWrap w:val="0"/>
                  <w:tcMar>
                    <w:top w:w="15" w:type="dxa"/>
                    <w:left w:w="15" w:type="dxa"/>
                    <w:bottom w:w="15" w:type="dxa"/>
                    <w:right w:w="15" w:type="dxa"/>
                  </w:tcMar>
                  <w:vAlign w:val="center"/>
                </w:tcPr>
                <w:p>
                  <w:pPr>
                    <w:jc w:val="center"/>
                    <w:textAlignment w:val="center"/>
                    <w:rPr>
                      <w:rFonts w:hint="eastAsia" w:ascii="Times New Roman" w:hAnsi="Times New Roman" w:eastAsia="宋体" w:cs="Times New Roman"/>
                      <w:bCs/>
                      <w:color w:val="auto"/>
                      <w:sz w:val="18"/>
                      <w:szCs w:val="18"/>
                      <w:lang w:eastAsia="zh-CN"/>
                    </w:rPr>
                  </w:pPr>
                  <w:r>
                    <w:rPr>
                      <w:rFonts w:hint="eastAsia" w:ascii="Times New Roman" w:hAnsi="Times New Roman" w:eastAsia="宋体" w:cs="Times New Roman"/>
                      <w:bCs/>
                      <w:color w:val="auto"/>
                      <w:sz w:val="18"/>
                      <w:szCs w:val="18"/>
                      <w:lang w:eastAsia="zh-CN"/>
                    </w:rPr>
                    <w:t>有</w:t>
                  </w:r>
                  <w:r>
                    <w:rPr>
                      <w:rFonts w:hint="eastAsia" w:ascii="Times New Roman" w:hAnsi="Times New Roman" w:eastAsia="宋体" w:cs="Times New Roman"/>
                      <w:bCs/>
                      <w:color w:val="auto"/>
                      <w:sz w:val="18"/>
                      <w:szCs w:val="18"/>
                    </w:rPr>
                    <w:t>组织</w:t>
                  </w:r>
                </w:p>
              </w:tc>
              <w:tc>
                <w:tcPr>
                  <w:tcW w:w="775" w:type="dxa"/>
                  <w:vMerge w:val="restart"/>
                  <w:noWrap w:val="0"/>
                  <w:tcMar>
                    <w:top w:w="15" w:type="dxa"/>
                    <w:left w:w="15" w:type="dxa"/>
                    <w:bottom w:w="15" w:type="dxa"/>
                    <w:right w:w="15" w:type="dxa"/>
                  </w:tcMar>
                  <w:vAlign w:val="center"/>
                </w:tcPr>
                <w:p>
                  <w:pPr>
                    <w:jc w:val="center"/>
                    <w:textAlignment w:val="center"/>
                    <w:rPr>
                      <w:rFonts w:hint="eastAsia" w:eastAsia="宋体" w:cs="Times New Roman"/>
                      <w:bCs/>
                      <w:color w:val="auto"/>
                      <w:sz w:val="18"/>
                      <w:szCs w:val="18"/>
                      <w:lang w:val="en-US" w:eastAsia="zh-CN"/>
                    </w:rPr>
                  </w:pPr>
                  <w:r>
                    <w:rPr>
                      <w:rFonts w:hint="eastAsia" w:cs="Times New Roman"/>
                      <w:bCs/>
                      <w:color w:val="auto"/>
                      <w:sz w:val="18"/>
                      <w:szCs w:val="18"/>
                      <w:lang w:val="en-US" w:eastAsia="zh-CN"/>
                    </w:rPr>
                    <w:t>低氮燃烧</w:t>
                  </w:r>
                </w:p>
              </w:tc>
              <w:tc>
                <w:tcPr>
                  <w:tcW w:w="688" w:type="dxa"/>
                  <w:vMerge w:val="restart"/>
                  <w:noWrap w:val="0"/>
                  <w:vAlign w:val="center"/>
                </w:tcPr>
                <w:p>
                  <w:pPr>
                    <w:jc w:val="center"/>
                    <w:textAlignment w:val="center"/>
                    <w:rPr>
                      <w:rFonts w:hint="eastAsia"/>
                      <w:bCs/>
                      <w:color w:val="auto"/>
                      <w:sz w:val="18"/>
                      <w:szCs w:val="18"/>
                    </w:rPr>
                  </w:pPr>
                  <w:r>
                    <w:rPr>
                      <w:rFonts w:hint="eastAsia"/>
                      <w:bCs/>
                      <w:color w:val="auto"/>
                      <w:sz w:val="18"/>
                      <w:szCs w:val="18"/>
                      <w:lang w:val="en-US" w:eastAsia="zh-CN"/>
                    </w:rPr>
                    <w:t>150</w:t>
                  </w:r>
                  <w:r>
                    <w:rPr>
                      <w:rFonts w:hint="eastAsia"/>
                      <w:bCs/>
                      <w:color w:val="auto"/>
                      <w:sz w:val="18"/>
                      <w:szCs w:val="18"/>
                    </w:rPr>
                    <w:t>00m</w:t>
                  </w:r>
                  <w:r>
                    <w:rPr>
                      <w:rFonts w:hint="eastAsia"/>
                      <w:bCs/>
                      <w:color w:val="auto"/>
                      <w:sz w:val="18"/>
                      <w:szCs w:val="18"/>
                      <w:vertAlign w:val="superscript"/>
                    </w:rPr>
                    <w:t>3</w:t>
                  </w:r>
                  <w:r>
                    <w:rPr>
                      <w:rFonts w:hint="eastAsia"/>
                      <w:bCs/>
                      <w:color w:val="auto"/>
                      <w:sz w:val="18"/>
                      <w:szCs w:val="18"/>
                    </w:rPr>
                    <w:t>/h</w:t>
                  </w:r>
                </w:p>
              </w:tc>
              <w:tc>
                <w:tcPr>
                  <w:tcW w:w="700" w:type="dxa"/>
                  <w:vMerge w:val="restart"/>
                  <w:noWrap w:val="0"/>
                  <w:vAlign w:val="center"/>
                </w:tcPr>
                <w:p>
                  <w:pPr>
                    <w:jc w:val="center"/>
                    <w:textAlignment w:val="center"/>
                    <w:rPr>
                      <w:rFonts w:hint="eastAsia"/>
                      <w:bCs/>
                      <w:color w:val="auto"/>
                      <w:sz w:val="18"/>
                      <w:szCs w:val="18"/>
                    </w:rPr>
                  </w:pPr>
                  <w:r>
                    <w:rPr>
                      <w:rFonts w:hint="eastAsia" w:eastAsia="宋体" w:cs="Times New Roman"/>
                      <w:bCs/>
                      <w:color w:val="auto"/>
                      <w:sz w:val="18"/>
                      <w:szCs w:val="18"/>
                      <w:lang w:val="en-US" w:eastAsia="zh-CN"/>
                    </w:rPr>
                    <w:t>100%</w:t>
                  </w:r>
                </w:p>
              </w:tc>
              <w:tc>
                <w:tcPr>
                  <w:tcW w:w="612" w:type="dxa"/>
                  <w:noWrap w:val="0"/>
                  <w:vAlign w:val="center"/>
                </w:tcPr>
                <w:p>
                  <w:pPr>
                    <w:jc w:val="center"/>
                    <w:textAlignment w:val="center"/>
                    <w:rPr>
                      <w:rFonts w:hint="eastAsia"/>
                      <w:bCs/>
                      <w:color w:val="auto"/>
                      <w:sz w:val="18"/>
                      <w:szCs w:val="18"/>
                    </w:rPr>
                  </w:pPr>
                  <w:r>
                    <w:rPr>
                      <w:rFonts w:hint="eastAsia" w:ascii="Times New Roman" w:hAnsi="Times New Roman" w:eastAsia="宋体" w:cs="Times New Roman"/>
                      <w:bCs/>
                      <w:color w:val="auto"/>
                      <w:sz w:val="18"/>
                      <w:szCs w:val="18"/>
                      <w:lang w:val="en-US" w:eastAsia="zh-CN"/>
                    </w:rPr>
                    <w:t>0%</w:t>
                  </w:r>
                </w:p>
              </w:tc>
              <w:tc>
                <w:tcPr>
                  <w:tcW w:w="1013" w:type="dxa"/>
                  <w:shd w:val="clear" w:color="auto" w:fill="auto"/>
                  <w:noWrap w:val="0"/>
                  <w:vAlign w:val="center"/>
                </w:tcPr>
                <w:p>
                  <w:pPr>
                    <w:adjustRightInd w:val="0"/>
                    <w:snapToGrid w:val="0"/>
                    <w:jc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color w:val="auto"/>
                      <w:sz w:val="18"/>
                      <w:szCs w:val="18"/>
                      <w:lang w:val="en-US" w:eastAsia="zh-CN"/>
                    </w:rPr>
                    <w:t>12</w:t>
                  </w:r>
                </w:p>
              </w:tc>
              <w:tc>
                <w:tcPr>
                  <w:tcW w:w="975" w:type="dxa"/>
                  <w:shd w:val="clear" w:color="auto" w:fill="auto"/>
                  <w:noWrap w:val="0"/>
                  <w:vAlign w:val="center"/>
                </w:tcPr>
                <w:p>
                  <w:pPr>
                    <w:adjustRightInd w:val="0"/>
                    <w:snapToGrid w:val="0"/>
                    <w:jc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color w:val="auto"/>
                      <w:sz w:val="18"/>
                      <w:szCs w:val="18"/>
                      <w:lang w:val="en-US" w:eastAsia="zh-CN"/>
                    </w:rPr>
                    <w:t xml:space="preserve">0.1800 </w:t>
                  </w:r>
                </w:p>
              </w:tc>
              <w:tc>
                <w:tcPr>
                  <w:tcW w:w="887" w:type="dxa"/>
                  <w:shd w:val="clear" w:color="auto" w:fill="auto"/>
                  <w:noWrap w:val="0"/>
                  <w:vAlign w:val="center"/>
                </w:tcPr>
                <w:p>
                  <w:pPr>
                    <w:adjustRightInd w:val="0"/>
                    <w:snapToGrid w:val="0"/>
                    <w:jc w:val="center"/>
                    <w:rPr>
                      <w:rFonts w:hint="eastAsia" w:ascii="Times New Roman" w:hAnsi="Times New Roman"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 xml:space="preserve">1.2960 </w:t>
                  </w:r>
                </w:p>
              </w:tc>
              <w:tc>
                <w:tcPr>
                  <w:tcW w:w="875" w:type="dxa"/>
                  <w:shd w:val="clear" w:color="auto" w:fill="auto"/>
                  <w:noWrap w:val="0"/>
                  <w:vAlign w:val="center"/>
                </w:tcPr>
                <w:p>
                  <w:pPr>
                    <w:pStyle w:val="30"/>
                    <w:keepNext w:val="0"/>
                    <w:keepLines w:val="0"/>
                    <w:pageBreakBefore w:val="0"/>
                    <w:widowControl/>
                    <w:kinsoku/>
                    <w:wordWrap/>
                    <w:overflowPunct/>
                    <w:topLinePunct w:val="0"/>
                    <w:autoSpaceDE/>
                    <w:autoSpaceDN/>
                    <w:bidi w:val="0"/>
                    <w:spacing w:line="240" w:lineRule="auto"/>
                    <w:ind w:firstLine="0" w:firstLineChars="0"/>
                    <w:textAlignment w:val="auto"/>
                    <w:rPr>
                      <w:rFonts w:hint="eastAsia" w:ascii="Times New Roman" w:hAnsi="Times New Roman" w:eastAsia="宋体" w:cs="Times New Roman"/>
                      <w:bCs/>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80</w:t>
                  </w:r>
                </w:p>
              </w:tc>
              <w:tc>
                <w:tcPr>
                  <w:tcW w:w="700" w:type="dxa"/>
                  <w:shd w:val="clear" w:color="auto" w:fill="auto"/>
                  <w:noWrap w:val="0"/>
                  <w:tcMar>
                    <w:top w:w="15" w:type="dxa"/>
                    <w:left w:w="15" w:type="dxa"/>
                    <w:bottom w:w="15" w:type="dxa"/>
                    <w:right w:w="15" w:type="dxa"/>
                  </w:tcMar>
                  <w:vAlign w:val="center"/>
                </w:tcPr>
                <w:p>
                  <w:pPr>
                    <w:jc w:val="center"/>
                    <w:textAlignment w:val="center"/>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w:t>
                  </w:r>
                </w:p>
              </w:tc>
              <w:tc>
                <w:tcPr>
                  <w:tcW w:w="665" w:type="dxa"/>
                  <w:shd w:val="clear" w:color="auto" w:fill="auto"/>
                  <w:noWrap w:val="0"/>
                  <w:tcMar>
                    <w:top w:w="15" w:type="dxa"/>
                    <w:left w:w="15" w:type="dxa"/>
                    <w:bottom w:w="15" w:type="dxa"/>
                    <w:right w:w="15" w:type="dxa"/>
                  </w:tcMar>
                  <w:vAlign w:val="center"/>
                </w:tcPr>
                <w:p>
                  <w:pPr>
                    <w:jc w:val="center"/>
                    <w:textAlignment w:val="center"/>
                    <w:rPr>
                      <w:rFonts w:hint="eastAsia"/>
                      <w:bCs/>
                      <w:color w:val="auto"/>
                      <w:sz w:val="18"/>
                      <w:szCs w:val="18"/>
                      <w:lang w:val="en-US" w:eastAsia="zh-CN"/>
                    </w:rPr>
                  </w:pPr>
                  <w:r>
                    <w:rPr>
                      <w:rFonts w:hint="eastAsia"/>
                      <w:bCs/>
                      <w:color w:val="auto"/>
                      <w:sz w:val="18"/>
                      <w:szCs w:val="18"/>
                      <w:lang w:val="en-US" w:eastAsia="zh-CN"/>
                    </w:rPr>
                    <w:t>7200h</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108" w:type="dxa"/>
                  <w:bottom w:w="0" w:type="dxa"/>
                  <w:right w:w="108" w:type="dxa"/>
                </w:tblCellMar>
              </w:tblPrEx>
              <w:trPr>
                <w:trHeight w:val="545" w:hRule="atLeast"/>
                <w:jc w:val="center"/>
              </w:trPr>
              <w:tc>
                <w:tcPr>
                  <w:tcW w:w="692" w:type="dxa"/>
                  <w:vMerge w:val="continue"/>
                  <w:noWrap w:val="0"/>
                  <w:tcMar>
                    <w:top w:w="15" w:type="dxa"/>
                    <w:left w:w="15" w:type="dxa"/>
                    <w:bottom w:w="15" w:type="dxa"/>
                    <w:right w:w="15" w:type="dxa"/>
                  </w:tcMar>
                  <w:vAlign w:val="center"/>
                </w:tcPr>
                <w:p>
                  <w:pPr>
                    <w:jc w:val="center"/>
                    <w:textAlignment w:val="center"/>
                    <w:rPr>
                      <w:rFonts w:hint="default" w:ascii="Times New Roman" w:hAnsi="Times New Roman" w:eastAsia="宋体" w:cs="Times New Roman"/>
                      <w:bCs/>
                      <w:sz w:val="18"/>
                      <w:szCs w:val="18"/>
                      <w:lang w:val="en-US" w:eastAsia="zh-CN"/>
                    </w:rPr>
                  </w:pPr>
                </w:p>
              </w:tc>
              <w:tc>
                <w:tcPr>
                  <w:tcW w:w="693" w:type="dxa"/>
                  <w:vMerge w:val="continue"/>
                  <w:noWrap w:val="0"/>
                  <w:tcMar>
                    <w:top w:w="15" w:type="dxa"/>
                    <w:left w:w="15" w:type="dxa"/>
                    <w:bottom w:w="15" w:type="dxa"/>
                    <w:right w:w="15" w:type="dxa"/>
                  </w:tcMar>
                  <w:vAlign w:val="center"/>
                </w:tcPr>
                <w:p>
                  <w:pPr>
                    <w:jc w:val="center"/>
                    <w:textAlignment w:val="center"/>
                    <w:rPr>
                      <w:rFonts w:hint="eastAsia" w:ascii="Times New Roman" w:hAnsi="Times New Roman" w:eastAsia="宋体" w:cs="Times New Roman"/>
                      <w:bCs/>
                      <w:kern w:val="2"/>
                      <w:sz w:val="18"/>
                      <w:szCs w:val="18"/>
                      <w:lang w:val="en-US" w:eastAsia="zh-CN" w:bidi="ar-SA"/>
                    </w:rPr>
                  </w:pPr>
                </w:p>
              </w:tc>
              <w:tc>
                <w:tcPr>
                  <w:tcW w:w="688" w:type="dxa"/>
                  <w:shd w:val="clear" w:color="auto" w:fill="auto"/>
                  <w:noWrap w:val="0"/>
                  <w:tcMar>
                    <w:top w:w="15" w:type="dxa"/>
                    <w:left w:w="15" w:type="dxa"/>
                    <w:bottom w:w="15" w:type="dxa"/>
                    <w:right w:w="15" w:type="dxa"/>
                  </w:tcMar>
                  <w:vAlign w:val="center"/>
                </w:tcPr>
                <w:p>
                  <w:pPr>
                    <w:pStyle w:val="49"/>
                    <w:ind w:firstLine="0" w:firstLineChars="0"/>
                    <w:jc w:val="center"/>
                    <w:rPr>
                      <w:rFonts w:hint="eastAsia" w:ascii="Times New Roman" w:hAnsi="Times New Roman" w:cs="Times New Roman"/>
                      <w:sz w:val="18"/>
                      <w:szCs w:val="18"/>
                    </w:rPr>
                  </w:pPr>
                  <w:r>
                    <w:rPr>
                      <w:rFonts w:hint="eastAsia" w:ascii="Times New Roman" w:hAnsi="Times New Roman" w:cs="Times New Roman"/>
                      <w:sz w:val="18"/>
                      <w:szCs w:val="18"/>
                    </w:rPr>
                    <w:t>NOx</w:t>
                  </w:r>
                </w:p>
              </w:tc>
              <w:tc>
                <w:tcPr>
                  <w:tcW w:w="862" w:type="dxa"/>
                  <w:shd w:val="clear" w:color="auto" w:fill="auto"/>
                  <w:noWrap w:val="0"/>
                  <w:tcMar>
                    <w:top w:w="15" w:type="dxa"/>
                    <w:left w:w="15" w:type="dxa"/>
                    <w:bottom w:w="15" w:type="dxa"/>
                    <w:right w:w="15" w:type="dxa"/>
                  </w:tcMar>
                  <w:vAlign w:val="center"/>
                </w:tcPr>
                <w:p>
                  <w:pPr>
                    <w:adjustRightInd w:val="0"/>
                    <w:snapToGrid w:val="0"/>
                    <w:jc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color w:val="auto"/>
                      <w:sz w:val="18"/>
                      <w:szCs w:val="18"/>
                      <w:lang w:val="en-US" w:eastAsia="zh-CN"/>
                    </w:rPr>
                    <w:t xml:space="preserve">60.11 </w:t>
                  </w:r>
                </w:p>
              </w:tc>
              <w:tc>
                <w:tcPr>
                  <w:tcW w:w="838" w:type="dxa"/>
                  <w:shd w:val="clear" w:color="auto" w:fill="auto"/>
                  <w:noWrap w:val="0"/>
                  <w:tcMar>
                    <w:top w:w="15" w:type="dxa"/>
                    <w:left w:w="15" w:type="dxa"/>
                    <w:bottom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0.0</w:t>
                  </w:r>
                  <w:r>
                    <w:rPr>
                      <w:rFonts w:hint="eastAsia" w:ascii="Times New Roman" w:hAnsi="Times New Roman" w:eastAsia="宋体" w:cs="Times New Roman"/>
                      <w:i w:val="0"/>
                      <w:iCs w:val="0"/>
                      <w:color w:val="auto"/>
                      <w:kern w:val="0"/>
                      <w:sz w:val="18"/>
                      <w:szCs w:val="18"/>
                      <w:u w:val="none"/>
                      <w:lang w:val="en-US" w:eastAsia="zh-CN" w:bidi="ar"/>
                    </w:rPr>
                    <w:t>462</w:t>
                  </w:r>
                </w:p>
              </w:tc>
              <w:tc>
                <w:tcPr>
                  <w:tcW w:w="850" w:type="dxa"/>
                  <w:shd w:val="clear" w:color="auto" w:fill="auto"/>
                  <w:noWrap w:val="0"/>
                  <w:tcMar>
                    <w:top w:w="15" w:type="dxa"/>
                    <w:left w:w="15" w:type="dxa"/>
                    <w:bottom w:w="15" w:type="dxa"/>
                    <w:right w:w="15" w:type="dxa"/>
                  </w:tcMar>
                  <w:vAlign w:val="center"/>
                </w:tcPr>
                <w:p>
                  <w:pPr>
                    <w:adjustRightInd w:val="0"/>
                    <w:snapToGrid w:val="0"/>
                    <w:jc w:val="center"/>
                    <w:rPr>
                      <w:rFonts w:hint="eastAsia" w:ascii="Times New Roman" w:hAnsi="Times New Roman"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 xml:space="preserve">12.1176 </w:t>
                  </w:r>
                </w:p>
              </w:tc>
              <w:tc>
                <w:tcPr>
                  <w:tcW w:w="512" w:type="dxa"/>
                  <w:vMerge w:val="continue"/>
                  <w:noWrap w:val="0"/>
                  <w:tcMar>
                    <w:top w:w="15" w:type="dxa"/>
                    <w:left w:w="15" w:type="dxa"/>
                    <w:bottom w:w="15" w:type="dxa"/>
                    <w:right w:w="15" w:type="dxa"/>
                  </w:tcMar>
                  <w:vAlign w:val="center"/>
                </w:tcPr>
                <w:p>
                  <w:pPr>
                    <w:jc w:val="center"/>
                    <w:textAlignment w:val="center"/>
                    <w:rPr>
                      <w:rFonts w:hint="eastAsia" w:ascii="Times New Roman" w:hAnsi="Times New Roman" w:eastAsia="宋体" w:cs="Times New Roman"/>
                      <w:bCs/>
                      <w:color w:val="auto"/>
                      <w:sz w:val="18"/>
                      <w:szCs w:val="18"/>
                      <w:lang w:eastAsia="zh-CN"/>
                    </w:rPr>
                  </w:pPr>
                </w:p>
              </w:tc>
              <w:tc>
                <w:tcPr>
                  <w:tcW w:w="775" w:type="dxa"/>
                  <w:vMerge w:val="continue"/>
                  <w:noWrap w:val="0"/>
                  <w:tcMar>
                    <w:top w:w="15" w:type="dxa"/>
                    <w:left w:w="15" w:type="dxa"/>
                    <w:bottom w:w="15" w:type="dxa"/>
                    <w:right w:w="15" w:type="dxa"/>
                  </w:tcMar>
                  <w:vAlign w:val="center"/>
                </w:tcPr>
                <w:p>
                  <w:pPr>
                    <w:jc w:val="center"/>
                    <w:textAlignment w:val="center"/>
                    <w:rPr>
                      <w:rFonts w:hint="eastAsia" w:eastAsia="宋体" w:cs="Times New Roman"/>
                      <w:bCs/>
                      <w:color w:val="auto"/>
                      <w:sz w:val="18"/>
                      <w:szCs w:val="18"/>
                      <w:lang w:val="en-US" w:eastAsia="zh-CN"/>
                    </w:rPr>
                  </w:pPr>
                </w:p>
              </w:tc>
              <w:tc>
                <w:tcPr>
                  <w:tcW w:w="688" w:type="dxa"/>
                  <w:vMerge w:val="continue"/>
                  <w:noWrap w:val="0"/>
                  <w:vAlign w:val="center"/>
                </w:tcPr>
                <w:p>
                  <w:pPr>
                    <w:jc w:val="center"/>
                    <w:textAlignment w:val="center"/>
                    <w:rPr>
                      <w:rFonts w:hint="eastAsia"/>
                      <w:bCs/>
                      <w:color w:val="auto"/>
                      <w:sz w:val="18"/>
                      <w:szCs w:val="18"/>
                    </w:rPr>
                  </w:pPr>
                </w:p>
              </w:tc>
              <w:tc>
                <w:tcPr>
                  <w:tcW w:w="700" w:type="dxa"/>
                  <w:vMerge w:val="continue"/>
                  <w:noWrap w:val="0"/>
                  <w:vAlign w:val="center"/>
                </w:tcPr>
                <w:p>
                  <w:pPr>
                    <w:jc w:val="center"/>
                    <w:textAlignment w:val="center"/>
                    <w:rPr>
                      <w:rFonts w:hint="eastAsia"/>
                      <w:bCs/>
                      <w:color w:val="auto"/>
                      <w:sz w:val="18"/>
                      <w:szCs w:val="18"/>
                    </w:rPr>
                  </w:pPr>
                </w:p>
              </w:tc>
              <w:tc>
                <w:tcPr>
                  <w:tcW w:w="612" w:type="dxa"/>
                  <w:noWrap w:val="0"/>
                  <w:vAlign w:val="center"/>
                </w:tcPr>
                <w:p>
                  <w:pPr>
                    <w:jc w:val="center"/>
                    <w:textAlignment w:val="center"/>
                    <w:rPr>
                      <w:rFonts w:hint="eastAsia"/>
                      <w:bCs/>
                      <w:color w:val="auto"/>
                      <w:sz w:val="18"/>
                      <w:szCs w:val="18"/>
                    </w:rPr>
                  </w:pPr>
                  <w:r>
                    <w:rPr>
                      <w:rFonts w:hint="eastAsia" w:cs="Times New Roman"/>
                      <w:bCs/>
                      <w:color w:val="auto"/>
                      <w:sz w:val="18"/>
                      <w:szCs w:val="18"/>
                      <w:lang w:val="en-US" w:eastAsia="zh-CN"/>
                    </w:rPr>
                    <w:t>50%</w:t>
                  </w:r>
                </w:p>
              </w:tc>
              <w:tc>
                <w:tcPr>
                  <w:tcW w:w="1013" w:type="dxa"/>
                  <w:shd w:val="clear" w:color="auto" w:fill="auto"/>
                  <w:noWrap w:val="0"/>
                  <w:vAlign w:val="center"/>
                </w:tcPr>
                <w:p>
                  <w:pPr>
                    <w:adjustRightInd w:val="0"/>
                    <w:snapToGrid w:val="0"/>
                    <w:jc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color w:val="auto"/>
                      <w:sz w:val="18"/>
                      <w:szCs w:val="18"/>
                      <w:lang w:val="en-US" w:eastAsia="zh-CN"/>
                    </w:rPr>
                    <w:t xml:space="preserve">56.10 </w:t>
                  </w:r>
                </w:p>
              </w:tc>
              <w:tc>
                <w:tcPr>
                  <w:tcW w:w="975" w:type="dxa"/>
                  <w:shd w:val="clear" w:color="auto" w:fill="auto"/>
                  <w:noWrap w:val="0"/>
                  <w:vAlign w:val="center"/>
                </w:tcPr>
                <w:p>
                  <w:pPr>
                    <w:adjustRightInd w:val="0"/>
                    <w:snapToGrid w:val="0"/>
                    <w:jc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color w:val="auto"/>
                      <w:sz w:val="18"/>
                      <w:szCs w:val="18"/>
                      <w:lang w:val="en-US" w:eastAsia="zh-CN"/>
                    </w:rPr>
                    <w:t xml:space="preserve">0.8415 </w:t>
                  </w:r>
                </w:p>
              </w:tc>
              <w:tc>
                <w:tcPr>
                  <w:tcW w:w="887" w:type="dxa"/>
                  <w:shd w:val="clear" w:color="auto" w:fill="auto"/>
                  <w:noWrap w:val="0"/>
                  <w:vAlign w:val="center"/>
                </w:tcPr>
                <w:p>
                  <w:pPr>
                    <w:adjustRightInd w:val="0"/>
                    <w:snapToGrid w:val="0"/>
                    <w:jc w:val="center"/>
                    <w:rPr>
                      <w:rFonts w:hint="eastAsia" w:ascii="Times New Roman" w:hAnsi="Times New Roman"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 xml:space="preserve">6.0588 </w:t>
                  </w:r>
                </w:p>
              </w:tc>
              <w:tc>
                <w:tcPr>
                  <w:tcW w:w="875" w:type="dxa"/>
                  <w:shd w:val="clear" w:color="auto" w:fill="auto"/>
                  <w:noWrap w:val="0"/>
                  <w:vAlign w:val="center"/>
                </w:tcPr>
                <w:p>
                  <w:pPr>
                    <w:pStyle w:val="30"/>
                    <w:keepNext w:val="0"/>
                    <w:keepLines w:val="0"/>
                    <w:pageBreakBefore w:val="0"/>
                    <w:widowControl/>
                    <w:kinsoku/>
                    <w:wordWrap/>
                    <w:overflowPunct/>
                    <w:topLinePunct w:val="0"/>
                    <w:autoSpaceDE/>
                    <w:autoSpaceDN/>
                    <w:bidi w:val="0"/>
                    <w:spacing w:line="240" w:lineRule="auto"/>
                    <w:ind w:firstLine="0" w:firstLineChars="0"/>
                    <w:textAlignment w:val="auto"/>
                    <w:rPr>
                      <w:rFonts w:hint="eastAsia" w:ascii="Times New Roman" w:hAnsi="Times New Roman" w:eastAsia="宋体" w:cs="Times New Roman"/>
                      <w:bCs/>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180</w:t>
                  </w:r>
                </w:p>
              </w:tc>
              <w:tc>
                <w:tcPr>
                  <w:tcW w:w="700" w:type="dxa"/>
                  <w:shd w:val="clear" w:color="auto" w:fill="auto"/>
                  <w:noWrap w:val="0"/>
                  <w:tcMar>
                    <w:top w:w="15" w:type="dxa"/>
                    <w:left w:w="15" w:type="dxa"/>
                    <w:bottom w:w="15" w:type="dxa"/>
                    <w:right w:w="15" w:type="dxa"/>
                  </w:tcMar>
                  <w:vAlign w:val="center"/>
                </w:tcPr>
                <w:p>
                  <w:pPr>
                    <w:jc w:val="center"/>
                    <w:textAlignment w:val="center"/>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w:t>
                  </w:r>
                </w:p>
              </w:tc>
              <w:tc>
                <w:tcPr>
                  <w:tcW w:w="665" w:type="dxa"/>
                  <w:shd w:val="clear" w:color="auto" w:fill="auto"/>
                  <w:noWrap w:val="0"/>
                  <w:tcMar>
                    <w:top w:w="15" w:type="dxa"/>
                    <w:left w:w="15" w:type="dxa"/>
                    <w:bottom w:w="15" w:type="dxa"/>
                    <w:right w:w="15" w:type="dxa"/>
                  </w:tcMar>
                  <w:vAlign w:val="center"/>
                </w:tcPr>
                <w:p>
                  <w:pPr>
                    <w:jc w:val="center"/>
                    <w:textAlignment w:val="center"/>
                    <w:rPr>
                      <w:rFonts w:hint="eastAsia"/>
                      <w:bCs/>
                      <w:color w:val="auto"/>
                      <w:sz w:val="18"/>
                      <w:szCs w:val="18"/>
                      <w:lang w:val="en-US" w:eastAsia="zh-CN"/>
                    </w:rPr>
                  </w:pPr>
                  <w:r>
                    <w:rPr>
                      <w:rFonts w:hint="eastAsia"/>
                      <w:bCs/>
                      <w:color w:val="auto"/>
                      <w:sz w:val="18"/>
                      <w:szCs w:val="18"/>
                      <w:lang w:val="en-US" w:eastAsia="zh-CN"/>
                    </w:rPr>
                    <w:t>7200h</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108" w:type="dxa"/>
                  <w:bottom w:w="0" w:type="dxa"/>
                  <w:right w:w="108" w:type="dxa"/>
                </w:tblCellMar>
              </w:tblPrEx>
              <w:trPr>
                <w:trHeight w:val="545" w:hRule="atLeast"/>
                <w:jc w:val="center"/>
              </w:trPr>
              <w:tc>
                <w:tcPr>
                  <w:tcW w:w="692" w:type="dxa"/>
                  <w:vMerge w:val="continue"/>
                  <w:noWrap w:val="0"/>
                  <w:tcMar>
                    <w:top w:w="15" w:type="dxa"/>
                    <w:left w:w="15" w:type="dxa"/>
                    <w:bottom w:w="15" w:type="dxa"/>
                    <w:right w:w="15" w:type="dxa"/>
                  </w:tcMar>
                  <w:vAlign w:val="center"/>
                </w:tcPr>
                <w:p>
                  <w:pPr>
                    <w:jc w:val="center"/>
                    <w:textAlignment w:val="center"/>
                    <w:rPr>
                      <w:rFonts w:hint="default" w:ascii="Times New Roman" w:hAnsi="Times New Roman" w:eastAsia="宋体" w:cs="Times New Roman"/>
                      <w:bCs/>
                      <w:sz w:val="18"/>
                      <w:szCs w:val="18"/>
                      <w:lang w:val="en-US" w:eastAsia="zh-CN"/>
                    </w:rPr>
                  </w:pPr>
                </w:p>
              </w:tc>
              <w:tc>
                <w:tcPr>
                  <w:tcW w:w="693" w:type="dxa"/>
                  <w:vMerge w:val="continue"/>
                  <w:noWrap w:val="0"/>
                  <w:tcMar>
                    <w:top w:w="15" w:type="dxa"/>
                    <w:left w:w="15" w:type="dxa"/>
                    <w:bottom w:w="15" w:type="dxa"/>
                    <w:right w:w="15" w:type="dxa"/>
                  </w:tcMar>
                  <w:vAlign w:val="center"/>
                </w:tcPr>
                <w:p>
                  <w:pPr>
                    <w:jc w:val="center"/>
                    <w:textAlignment w:val="center"/>
                    <w:rPr>
                      <w:rFonts w:hint="eastAsia" w:ascii="Times New Roman" w:hAnsi="Times New Roman" w:eastAsia="宋体" w:cs="Times New Roman"/>
                      <w:bCs/>
                      <w:kern w:val="2"/>
                      <w:sz w:val="18"/>
                      <w:szCs w:val="18"/>
                      <w:lang w:val="en-US" w:eastAsia="zh-CN" w:bidi="ar-SA"/>
                    </w:rPr>
                  </w:pPr>
                </w:p>
              </w:tc>
              <w:tc>
                <w:tcPr>
                  <w:tcW w:w="688" w:type="dxa"/>
                  <w:shd w:val="clear" w:color="auto" w:fill="auto"/>
                  <w:noWrap w:val="0"/>
                  <w:tcMar>
                    <w:top w:w="15" w:type="dxa"/>
                    <w:left w:w="15" w:type="dxa"/>
                    <w:bottom w:w="15" w:type="dxa"/>
                    <w:right w:w="15" w:type="dxa"/>
                  </w:tcMar>
                  <w:vAlign w:val="center"/>
                </w:tcPr>
                <w:p>
                  <w:pPr>
                    <w:pStyle w:val="49"/>
                    <w:ind w:firstLine="0" w:firstLineChars="0"/>
                    <w:jc w:val="center"/>
                    <w:rPr>
                      <w:rFonts w:hint="eastAsia" w:ascii="Times New Roman" w:hAnsi="Times New Roman" w:cs="Times New Roman"/>
                      <w:sz w:val="18"/>
                      <w:szCs w:val="18"/>
                    </w:rPr>
                  </w:pPr>
                  <w:r>
                    <w:rPr>
                      <w:rFonts w:hint="eastAsia" w:ascii="Times New Roman" w:hAnsi="Times New Roman" w:cs="Times New Roman"/>
                      <w:sz w:val="18"/>
                      <w:szCs w:val="18"/>
                    </w:rPr>
                    <w:t>颗粒物</w:t>
                  </w:r>
                </w:p>
              </w:tc>
              <w:tc>
                <w:tcPr>
                  <w:tcW w:w="862" w:type="dxa"/>
                  <w:shd w:val="clear" w:color="auto" w:fill="auto"/>
                  <w:noWrap w:val="0"/>
                  <w:tcMar>
                    <w:top w:w="15" w:type="dxa"/>
                    <w:left w:w="15" w:type="dxa"/>
                    <w:bottom w:w="15" w:type="dxa"/>
                    <w:right w:w="15" w:type="dxa"/>
                  </w:tcMar>
                  <w:vAlign w:val="center"/>
                </w:tcPr>
                <w:p>
                  <w:pPr>
                    <w:adjustRightInd w:val="0"/>
                    <w:snapToGrid w:val="0"/>
                    <w:jc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cs="Times New Roman"/>
                      <w:color w:val="auto"/>
                      <w:sz w:val="18"/>
                      <w:szCs w:val="18"/>
                      <w:lang w:val="en-US" w:eastAsia="zh-CN"/>
                    </w:rPr>
                    <w:t>17.16</w:t>
                  </w:r>
                  <w:r>
                    <w:rPr>
                      <w:rFonts w:hint="default" w:ascii="Times New Roman" w:hAnsi="Times New Roman" w:eastAsia="宋体" w:cs="Times New Roman"/>
                      <w:color w:val="auto"/>
                      <w:sz w:val="18"/>
                      <w:szCs w:val="18"/>
                      <w:lang w:val="en-US" w:eastAsia="zh-CN"/>
                    </w:rPr>
                    <w:t xml:space="preserve"> </w:t>
                  </w:r>
                </w:p>
              </w:tc>
              <w:tc>
                <w:tcPr>
                  <w:tcW w:w="838" w:type="dxa"/>
                  <w:shd w:val="clear" w:color="auto" w:fill="auto"/>
                  <w:noWrap w:val="0"/>
                  <w:tcMar>
                    <w:top w:w="15" w:type="dxa"/>
                    <w:left w:w="15" w:type="dxa"/>
                    <w:bottom w:w="15" w:type="dxa"/>
                    <w:right w:w="15" w:type="dxa"/>
                  </w:tcMar>
                  <w:vAlign w:val="center"/>
                </w:tcPr>
                <w:p>
                  <w:pPr>
                    <w:adjustRightInd w:val="0"/>
                    <w:snapToGrid w:val="0"/>
                    <w:jc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color w:val="auto"/>
                      <w:sz w:val="18"/>
                      <w:szCs w:val="18"/>
                      <w:lang w:val="en-US" w:eastAsia="zh-CN"/>
                    </w:rPr>
                    <w:t xml:space="preserve">0.2574 </w:t>
                  </w:r>
                </w:p>
              </w:tc>
              <w:tc>
                <w:tcPr>
                  <w:tcW w:w="850" w:type="dxa"/>
                  <w:shd w:val="clear" w:color="auto" w:fill="auto"/>
                  <w:noWrap w:val="0"/>
                  <w:tcMar>
                    <w:top w:w="15" w:type="dxa"/>
                    <w:left w:w="15" w:type="dxa"/>
                    <w:bottom w:w="15" w:type="dxa"/>
                    <w:right w:w="15" w:type="dxa"/>
                  </w:tcMar>
                  <w:vAlign w:val="center"/>
                </w:tcPr>
                <w:p>
                  <w:pPr>
                    <w:adjustRightInd w:val="0"/>
                    <w:snapToGrid w:val="0"/>
                    <w:jc w:val="center"/>
                    <w:rPr>
                      <w:rFonts w:hint="eastAsia" w:ascii="Times New Roman" w:hAnsi="Times New Roman"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 xml:space="preserve">1.8533 </w:t>
                  </w:r>
                </w:p>
              </w:tc>
              <w:tc>
                <w:tcPr>
                  <w:tcW w:w="512" w:type="dxa"/>
                  <w:vMerge w:val="continue"/>
                  <w:noWrap w:val="0"/>
                  <w:tcMar>
                    <w:top w:w="15" w:type="dxa"/>
                    <w:left w:w="15" w:type="dxa"/>
                    <w:bottom w:w="15" w:type="dxa"/>
                    <w:right w:w="15" w:type="dxa"/>
                  </w:tcMar>
                  <w:vAlign w:val="center"/>
                </w:tcPr>
                <w:p>
                  <w:pPr>
                    <w:jc w:val="center"/>
                    <w:textAlignment w:val="center"/>
                    <w:rPr>
                      <w:rFonts w:hint="eastAsia" w:ascii="Times New Roman" w:hAnsi="Times New Roman" w:eastAsia="宋体" w:cs="Times New Roman"/>
                      <w:bCs/>
                      <w:color w:val="auto"/>
                      <w:sz w:val="18"/>
                      <w:szCs w:val="18"/>
                      <w:lang w:eastAsia="zh-CN"/>
                    </w:rPr>
                  </w:pPr>
                </w:p>
              </w:tc>
              <w:tc>
                <w:tcPr>
                  <w:tcW w:w="775" w:type="dxa"/>
                  <w:vMerge w:val="continue"/>
                  <w:noWrap w:val="0"/>
                  <w:tcMar>
                    <w:top w:w="15" w:type="dxa"/>
                    <w:left w:w="15" w:type="dxa"/>
                    <w:bottom w:w="15" w:type="dxa"/>
                    <w:right w:w="15" w:type="dxa"/>
                  </w:tcMar>
                  <w:vAlign w:val="center"/>
                </w:tcPr>
                <w:p>
                  <w:pPr>
                    <w:jc w:val="center"/>
                    <w:textAlignment w:val="center"/>
                    <w:rPr>
                      <w:rFonts w:hint="eastAsia" w:eastAsia="宋体" w:cs="Times New Roman"/>
                      <w:bCs/>
                      <w:color w:val="auto"/>
                      <w:sz w:val="18"/>
                      <w:szCs w:val="18"/>
                      <w:lang w:val="en-US" w:eastAsia="zh-CN"/>
                    </w:rPr>
                  </w:pPr>
                </w:p>
              </w:tc>
              <w:tc>
                <w:tcPr>
                  <w:tcW w:w="688" w:type="dxa"/>
                  <w:vMerge w:val="continue"/>
                  <w:noWrap w:val="0"/>
                  <w:vAlign w:val="center"/>
                </w:tcPr>
                <w:p>
                  <w:pPr>
                    <w:jc w:val="center"/>
                    <w:textAlignment w:val="center"/>
                    <w:rPr>
                      <w:rFonts w:hint="eastAsia"/>
                      <w:bCs/>
                      <w:color w:val="auto"/>
                      <w:sz w:val="18"/>
                      <w:szCs w:val="18"/>
                    </w:rPr>
                  </w:pPr>
                </w:p>
              </w:tc>
              <w:tc>
                <w:tcPr>
                  <w:tcW w:w="700" w:type="dxa"/>
                  <w:vMerge w:val="continue"/>
                  <w:noWrap w:val="0"/>
                  <w:vAlign w:val="center"/>
                </w:tcPr>
                <w:p>
                  <w:pPr>
                    <w:jc w:val="center"/>
                    <w:textAlignment w:val="center"/>
                    <w:rPr>
                      <w:rFonts w:hint="eastAsia"/>
                      <w:bCs/>
                      <w:color w:val="auto"/>
                      <w:sz w:val="18"/>
                      <w:szCs w:val="18"/>
                    </w:rPr>
                  </w:pPr>
                </w:p>
              </w:tc>
              <w:tc>
                <w:tcPr>
                  <w:tcW w:w="612" w:type="dxa"/>
                  <w:noWrap w:val="0"/>
                  <w:vAlign w:val="center"/>
                </w:tcPr>
                <w:p>
                  <w:pPr>
                    <w:jc w:val="center"/>
                    <w:textAlignment w:val="center"/>
                    <w:rPr>
                      <w:rFonts w:hint="eastAsia"/>
                      <w:bCs/>
                      <w:color w:val="auto"/>
                      <w:sz w:val="18"/>
                      <w:szCs w:val="18"/>
                    </w:rPr>
                  </w:pPr>
                  <w:r>
                    <w:rPr>
                      <w:rFonts w:hint="eastAsia" w:ascii="Times New Roman" w:hAnsi="Times New Roman" w:eastAsia="宋体" w:cs="Times New Roman"/>
                      <w:bCs/>
                      <w:color w:val="auto"/>
                      <w:sz w:val="18"/>
                      <w:szCs w:val="18"/>
                      <w:lang w:val="en-US" w:eastAsia="zh-CN"/>
                    </w:rPr>
                    <w:t>0%</w:t>
                  </w:r>
                </w:p>
              </w:tc>
              <w:tc>
                <w:tcPr>
                  <w:tcW w:w="1013" w:type="dxa"/>
                  <w:shd w:val="clear" w:color="auto" w:fill="auto"/>
                  <w:noWrap w:val="0"/>
                  <w:vAlign w:val="center"/>
                </w:tcPr>
                <w:p>
                  <w:pPr>
                    <w:adjustRightInd w:val="0"/>
                    <w:snapToGrid w:val="0"/>
                    <w:jc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cs="Times New Roman"/>
                      <w:color w:val="auto"/>
                      <w:sz w:val="18"/>
                      <w:szCs w:val="18"/>
                      <w:lang w:val="en-US" w:eastAsia="zh-CN"/>
                    </w:rPr>
                    <w:t>17.16</w:t>
                  </w:r>
                  <w:r>
                    <w:rPr>
                      <w:rFonts w:hint="default" w:ascii="Times New Roman" w:hAnsi="Times New Roman" w:eastAsia="宋体" w:cs="Times New Roman"/>
                      <w:color w:val="auto"/>
                      <w:sz w:val="18"/>
                      <w:szCs w:val="18"/>
                      <w:lang w:val="en-US" w:eastAsia="zh-CN"/>
                    </w:rPr>
                    <w:t xml:space="preserve"> </w:t>
                  </w:r>
                </w:p>
              </w:tc>
              <w:tc>
                <w:tcPr>
                  <w:tcW w:w="975" w:type="dxa"/>
                  <w:shd w:val="clear" w:color="auto" w:fill="auto"/>
                  <w:noWrap w:val="0"/>
                  <w:vAlign w:val="center"/>
                </w:tcPr>
                <w:p>
                  <w:pPr>
                    <w:adjustRightInd w:val="0"/>
                    <w:snapToGrid w:val="0"/>
                    <w:jc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color w:val="auto"/>
                      <w:sz w:val="18"/>
                      <w:szCs w:val="18"/>
                      <w:lang w:val="en-US" w:eastAsia="zh-CN"/>
                    </w:rPr>
                    <w:t xml:space="preserve">0.2574 </w:t>
                  </w:r>
                </w:p>
              </w:tc>
              <w:tc>
                <w:tcPr>
                  <w:tcW w:w="887" w:type="dxa"/>
                  <w:shd w:val="clear" w:color="auto" w:fill="auto"/>
                  <w:noWrap w:val="0"/>
                  <w:vAlign w:val="center"/>
                </w:tcPr>
                <w:p>
                  <w:pPr>
                    <w:adjustRightInd w:val="0"/>
                    <w:snapToGrid w:val="0"/>
                    <w:jc w:val="center"/>
                    <w:rPr>
                      <w:rFonts w:hint="eastAsia" w:ascii="Times New Roman" w:hAnsi="Times New Roman"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 xml:space="preserve">1.8533 </w:t>
                  </w:r>
                </w:p>
              </w:tc>
              <w:tc>
                <w:tcPr>
                  <w:tcW w:w="875" w:type="dxa"/>
                  <w:shd w:val="clear" w:color="auto" w:fill="auto"/>
                  <w:noWrap w:val="0"/>
                  <w:vAlign w:val="center"/>
                </w:tcPr>
                <w:p>
                  <w:pPr>
                    <w:pStyle w:val="30"/>
                    <w:keepNext w:val="0"/>
                    <w:keepLines w:val="0"/>
                    <w:pageBreakBefore w:val="0"/>
                    <w:widowControl/>
                    <w:kinsoku/>
                    <w:wordWrap/>
                    <w:overflowPunct/>
                    <w:topLinePunct w:val="0"/>
                    <w:autoSpaceDE/>
                    <w:autoSpaceDN/>
                    <w:bidi w:val="0"/>
                    <w:spacing w:line="240" w:lineRule="auto"/>
                    <w:ind w:firstLine="0" w:firstLineChars="0"/>
                    <w:textAlignment w:val="auto"/>
                    <w:rPr>
                      <w:rFonts w:hint="eastAsia" w:ascii="Times New Roman" w:hAnsi="Times New Roman" w:eastAsia="宋体" w:cs="Times New Roman"/>
                      <w:bCs/>
                      <w:color w:val="auto"/>
                      <w:kern w:val="2"/>
                      <w:sz w:val="18"/>
                      <w:szCs w:val="18"/>
                      <w:lang w:val="en-US" w:eastAsia="zh-CN"/>
                    </w:rPr>
                  </w:pPr>
                  <w:r>
                    <w:rPr>
                      <w:rFonts w:hint="eastAsia" w:ascii="Times New Roman" w:hAnsi="Times New Roman" w:eastAsia="宋体" w:cs="Times New Roman"/>
                      <w:bCs/>
                      <w:color w:val="auto"/>
                      <w:kern w:val="2"/>
                      <w:sz w:val="18"/>
                      <w:szCs w:val="18"/>
                      <w:lang w:val="en-US" w:eastAsia="zh-CN"/>
                    </w:rPr>
                    <w:t>20</w:t>
                  </w:r>
                </w:p>
              </w:tc>
              <w:tc>
                <w:tcPr>
                  <w:tcW w:w="700" w:type="dxa"/>
                  <w:shd w:val="clear" w:color="auto" w:fill="auto"/>
                  <w:noWrap w:val="0"/>
                  <w:tcMar>
                    <w:top w:w="15" w:type="dxa"/>
                    <w:left w:w="15" w:type="dxa"/>
                    <w:bottom w:w="15" w:type="dxa"/>
                    <w:right w:w="15" w:type="dxa"/>
                  </w:tcMar>
                  <w:vAlign w:val="center"/>
                </w:tcPr>
                <w:p>
                  <w:pPr>
                    <w:jc w:val="center"/>
                    <w:textAlignment w:val="center"/>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w:t>
                  </w:r>
                </w:p>
              </w:tc>
              <w:tc>
                <w:tcPr>
                  <w:tcW w:w="665" w:type="dxa"/>
                  <w:shd w:val="clear" w:color="auto" w:fill="auto"/>
                  <w:noWrap w:val="0"/>
                  <w:tcMar>
                    <w:top w:w="15" w:type="dxa"/>
                    <w:left w:w="15" w:type="dxa"/>
                    <w:bottom w:w="15" w:type="dxa"/>
                    <w:right w:w="15" w:type="dxa"/>
                  </w:tcMar>
                  <w:vAlign w:val="center"/>
                </w:tcPr>
                <w:p>
                  <w:pPr>
                    <w:jc w:val="center"/>
                    <w:textAlignment w:val="center"/>
                    <w:rPr>
                      <w:rFonts w:hint="eastAsia"/>
                      <w:bCs/>
                      <w:color w:val="auto"/>
                      <w:sz w:val="18"/>
                      <w:szCs w:val="18"/>
                      <w:lang w:val="en-US" w:eastAsia="zh-CN"/>
                    </w:rPr>
                  </w:pPr>
                  <w:r>
                    <w:rPr>
                      <w:rFonts w:hint="eastAsia"/>
                      <w:bCs/>
                      <w:color w:val="auto"/>
                      <w:sz w:val="18"/>
                      <w:szCs w:val="18"/>
                      <w:lang w:val="en-US" w:eastAsia="zh-CN"/>
                    </w:rPr>
                    <w:t>7200h</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108" w:type="dxa"/>
                  <w:bottom w:w="0" w:type="dxa"/>
                  <w:right w:w="108" w:type="dxa"/>
                </w:tblCellMar>
              </w:tblPrEx>
              <w:trPr>
                <w:trHeight w:val="545" w:hRule="atLeast"/>
                <w:jc w:val="center"/>
              </w:trPr>
              <w:tc>
                <w:tcPr>
                  <w:tcW w:w="692" w:type="dxa"/>
                  <w:noWrap w:val="0"/>
                  <w:tcMar>
                    <w:top w:w="15" w:type="dxa"/>
                    <w:left w:w="15" w:type="dxa"/>
                    <w:bottom w:w="15" w:type="dxa"/>
                    <w:right w:w="15" w:type="dxa"/>
                  </w:tcMar>
                  <w:vAlign w:val="center"/>
                </w:tcPr>
                <w:p>
                  <w:pPr>
                    <w:pStyle w:val="49"/>
                    <w:ind w:firstLine="0" w:firstLineChars="0"/>
                    <w:jc w:val="center"/>
                    <w:rPr>
                      <w:rFonts w:hint="default" w:ascii="Times New Roman" w:hAnsi="Times New Roman" w:eastAsia="宋体" w:cs="Times New Roman"/>
                      <w:bCs/>
                      <w:sz w:val="18"/>
                      <w:szCs w:val="18"/>
                      <w:lang w:val="en-US" w:eastAsia="zh-CN"/>
                    </w:rPr>
                  </w:pPr>
                  <w:r>
                    <w:rPr>
                      <w:rFonts w:hint="eastAsia" w:ascii="Times New Roman" w:hAnsi="Times New Roman" w:eastAsia="宋体" w:cs="Times New Roman"/>
                      <w:bCs/>
                      <w:sz w:val="18"/>
                      <w:szCs w:val="18"/>
                      <w:lang w:val="en-US" w:eastAsia="zh-CN"/>
                    </w:rPr>
                    <w:t>DA00</w:t>
                  </w:r>
                  <w:r>
                    <w:rPr>
                      <w:rFonts w:hint="eastAsia" w:cs="Times New Roman"/>
                      <w:bCs/>
                      <w:sz w:val="18"/>
                      <w:szCs w:val="18"/>
                      <w:lang w:val="en-US" w:eastAsia="zh-CN"/>
                    </w:rPr>
                    <w:t>9</w:t>
                  </w:r>
                </w:p>
              </w:tc>
              <w:tc>
                <w:tcPr>
                  <w:tcW w:w="693" w:type="dxa"/>
                  <w:noWrap w:val="0"/>
                  <w:tcMar>
                    <w:top w:w="15" w:type="dxa"/>
                    <w:left w:w="15" w:type="dxa"/>
                    <w:bottom w:w="15" w:type="dxa"/>
                    <w:right w:w="15" w:type="dxa"/>
                  </w:tcMar>
                  <w:vAlign w:val="center"/>
                </w:tcPr>
                <w:p>
                  <w:pPr>
                    <w:pStyle w:val="49"/>
                    <w:ind w:firstLine="0" w:firstLineChars="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eastAsia="zh-CN"/>
                    </w:rPr>
                    <w:t>下料</w:t>
                  </w:r>
                  <w:r>
                    <w:rPr>
                      <w:rFonts w:hint="eastAsia" w:ascii="Times New Roman" w:hAnsi="Times New Roman" w:eastAsia="宋体" w:cs="Times New Roman"/>
                      <w:color w:val="auto"/>
                      <w:sz w:val="18"/>
                      <w:szCs w:val="18"/>
                      <w:lang w:val="en-US" w:eastAsia="zh-CN"/>
                    </w:rPr>
                    <w:t>切割粉尘</w:t>
                  </w:r>
                </w:p>
              </w:tc>
              <w:tc>
                <w:tcPr>
                  <w:tcW w:w="688" w:type="dxa"/>
                  <w:noWrap w:val="0"/>
                  <w:tcMar>
                    <w:top w:w="15" w:type="dxa"/>
                    <w:left w:w="15" w:type="dxa"/>
                    <w:bottom w:w="15" w:type="dxa"/>
                    <w:right w:w="15" w:type="dxa"/>
                  </w:tcMar>
                  <w:vAlign w:val="center"/>
                </w:tcPr>
                <w:p>
                  <w:pPr>
                    <w:pStyle w:val="49"/>
                    <w:ind w:firstLine="0" w:firstLineChars="0"/>
                    <w:jc w:val="center"/>
                    <w:rPr>
                      <w:rFonts w:hint="eastAsia" w:ascii="Times New Roman" w:hAnsi="Times New Roman" w:cs="Times New Roman"/>
                      <w:sz w:val="18"/>
                      <w:szCs w:val="18"/>
                    </w:rPr>
                  </w:pPr>
                  <w:r>
                    <w:rPr>
                      <w:rFonts w:hint="eastAsia" w:ascii="Times New Roman" w:hAnsi="Times New Roman" w:cs="Times New Roman"/>
                      <w:sz w:val="18"/>
                      <w:szCs w:val="18"/>
                      <w:lang w:eastAsia="zh-CN"/>
                    </w:rPr>
                    <w:t>颗粒物</w:t>
                  </w:r>
                </w:p>
              </w:tc>
              <w:tc>
                <w:tcPr>
                  <w:tcW w:w="862" w:type="dxa"/>
                  <w:noWrap w:val="0"/>
                  <w:tcMar>
                    <w:top w:w="15" w:type="dxa"/>
                    <w:left w:w="15" w:type="dxa"/>
                    <w:bottom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165.62</w:t>
                  </w:r>
                </w:p>
              </w:tc>
              <w:tc>
                <w:tcPr>
                  <w:tcW w:w="838" w:type="dxa"/>
                  <w:noWrap w:val="0"/>
                  <w:tcMar>
                    <w:top w:w="15" w:type="dxa"/>
                    <w:left w:w="15" w:type="dxa"/>
                    <w:bottom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3.3125</w:t>
                  </w:r>
                </w:p>
              </w:tc>
              <w:tc>
                <w:tcPr>
                  <w:tcW w:w="850" w:type="dxa"/>
                  <w:noWrap w:val="0"/>
                  <w:tcMar>
                    <w:top w:w="15" w:type="dxa"/>
                    <w:left w:w="15" w:type="dxa"/>
                    <w:bottom w:w="15" w:type="dxa"/>
                    <w:right w:w="15" w:type="dxa"/>
                  </w:tcMar>
                  <w:vAlign w:val="center"/>
                </w:tcPr>
                <w:p>
                  <w:pPr>
                    <w:pStyle w:val="49"/>
                    <w:ind w:firstLine="0" w:firstLineChars="0"/>
                    <w:jc w:val="center"/>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23.85</w:t>
                  </w:r>
                </w:p>
              </w:tc>
              <w:tc>
                <w:tcPr>
                  <w:tcW w:w="512" w:type="dxa"/>
                  <w:noWrap w:val="0"/>
                  <w:tcMar>
                    <w:top w:w="15" w:type="dxa"/>
                    <w:left w:w="15" w:type="dxa"/>
                    <w:bottom w:w="15" w:type="dxa"/>
                    <w:right w:w="15" w:type="dxa"/>
                  </w:tcMar>
                  <w:vAlign w:val="center"/>
                </w:tcPr>
                <w:p>
                  <w:pPr>
                    <w:jc w:val="center"/>
                    <w:textAlignment w:val="center"/>
                    <w:rPr>
                      <w:rFonts w:hint="eastAsia" w:ascii="Times New Roman" w:hAnsi="Times New Roman" w:eastAsia="宋体" w:cs="Times New Roman"/>
                      <w:bCs/>
                      <w:color w:val="auto"/>
                      <w:sz w:val="18"/>
                      <w:szCs w:val="18"/>
                      <w:lang w:eastAsia="zh-CN"/>
                    </w:rPr>
                  </w:pPr>
                  <w:r>
                    <w:rPr>
                      <w:rFonts w:hint="eastAsia" w:ascii="Times New Roman" w:hAnsi="Times New Roman" w:eastAsia="宋体" w:cs="Times New Roman"/>
                      <w:bCs/>
                      <w:color w:val="auto"/>
                      <w:sz w:val="18"/>
                      <w:szCs w:val="18"/>
                      <w:lang w:eastAsia="zh-CN"/>
                    </w:rPr>
                    <w:t>有</w:t>
                  </w:r>
                  <w:r>
                    <w:rPr>
                      <w:rFonts w:hint="eastAsia" w:ascii="Times New Roman" w:hAnsi="Times New Roman" w:eastAsia="宋体" w:cs="Times New Roman"/>
                      <w:bCs/>
                      <w:color w:val="auto"/>
                      <w:sz w:val="18"/>
                      <w:szCs w:val="18"/>
                    </w:rPr>
                    <w:t>组织</w:t>
                  </w:r>
                </w:p>
              </w:tc>
              <w:tc>
                <w:tcPr>
                  <w:tcW w:w="775" w:type="dxa"/>
                  <w:noWrap w:val="0"/>
                  <w:tcMar>
                    <w:top w:w="15" w:type="dxa"/>
                    <w:left w:w="15" w:type="dxa"/>
                    <w:bottom w:w="15" w:type="dxa"/>
                    <w:right w:w="15" w:type="dxa"/>
                  </w:tcMar>
                  <w:vAlign w:val="center"/>
                </w:tcPr>
                <w:p>
                  <w:pPr>
                    <w:jc w:val="center"/>
                    <w:textAlignment w:val="center"/>
                    <w:rPr>
                      <w:rFonts w:hint="eastAsia" w:eastAsia="宋体" w:cs="Times New Roman"/>
                      <w:bCs/>
                      <w:color w:val="auto"/>
                      <w:sz w:val="18"/>
                      <w:szCs w:val="18"/>
                      <w:lang w:val="en-US" w:eastAsia="zh-CN"/>
                    </w:rPr>
                  </w:pPr>
                  <w:r>
                    <w:rPr>
                      <w:rFonts w:hint="eastAsia" w:ascii="Times New Roman" w:hAnsi="Times New Roman" w:cs="Times New Roman"/>
                      <w:color w:val="auto"/>
                      <w:sz w:val="18"/>
                      <w:szCs w:val="18"/>
                      <w:lang w:eastAsia="zh-CN"/>
                    </w:rPr>
                    <w:t>布袋除尘装置</w:t>
                  </w:r>
                </w:p>
              </w:tc>
              <w:tc>
                <w:tcPr>
                  <w:tcW w:w="688" w:type="dxa"/>
                  <w:noWrap w:val="0"/>
                  <w:vAlign w:val="center"/>
                </w:tcPr>
                <w:p>
                  <w:pPr>
                    <w:jc w:val="center"/>
                    <w:textAlignment w:val="center"/>
                    <w:rPr>
                      <w:rFonts w:hint="eastAsia"/>
                      <w:bCs/>
                      <w:color w:val="auto"/>
                      <w:sz w:val="18"/>
                      <w:szCs w:val="18"/>
                    </w:rPr>
                  </w:pPr>
                  <w:r>
                    <w:rPr>
                      <w:rFonts w:hint="eastAsia" w:ascii="Times New Roman" w:hAnsi="Times New Roman" w:cs="Times New Roman"/>
                      <w:bCs/>
                      <w:color w:val="auto"/>
                      <w:sz w:val="18"/>
                      <w:szCs w:val="18"/>
                      <w:lang w:val="en-US" w:eastAsia="zh-CN"/>
                    </w:rPr>
                    <w:t>2</w:t>
                  </w:r>
                  <w:r>
                    <w:rPr>
                      <w:rFonts w:hint="eastAsia" w:cs="Times New Roman"/>
                      <w:bCs/>
                      <w:color w:val="auto"/>
                      <w:sz w:val="18"/>
                      <w:szCs w:val="18"/>
                      <w:lang w:val="en-US" w:eastAsia="zh-CN"/>
                    </w:rPr>
                    <w:t>0</w:t>
                  </w:r>
                  <w:r>
                    <w:rPr>
                      <w:rFonts w:hint="eastAsia" w:ascii="Times New Roman" w:hAnsi="Times New Roman" w:cs="Times New Roman"/>
                      <w:bCs/>
                      <w:color w:val="auto"/>
                      <w:sz w:val="18"/>
                      <w:szCs w:val="18"/>
                      <w:lang w:val="en-US" w:eastAsia="zh-CN"/>
                    </w:rPr>
                    <w:t>000</w:t>
                  </w:r>
                  <w:r>
                    <w:rPr>
                      <w:rFonts w:hint="eastAsia"/>
                      <w:bCs/>
                      <w:color w:val="auto"/>
                      <w:sz w:val="18"/>
                      <w:szCs w:val="18"/>
                    </w:rPr>
                    <w:t>m</w:t>
                  </w:r>
                  <w:r>
                    <w:rPr>
                      <w:rFonts w:hint="eastAsia"/>
                      <w:bCs/>
                      <w:color w:val="auto"/>
                      <w:sz w:val="18"/>
                      <w:szCs w:val="18"/>
                      <w:vertAlign w:val="superscript"/>
                    </w:rPr>
                    <w:t>3</w:t>
                  </w:r>
                  <w:r>
                    <w:rPr>
                      <w:rFonts w:hint="eastAsia"/>
                      <w:bCs/>
                      <w:color w:val="auto"/>
                      <w:sz w:val="18"/>
                      <w:szCs w:val="18"/>
                    </w:rPr>
                    <w:t>/h</w:t>
                  </w:r>
                </w:p>
              </w:tc>
              <w:tc>
                <w:tcPr>
                  <w:tcW w:w="700" w:type="dxa"/>
                  <w:noWrap w:val="0"/>
                  <w:vAlign w:val="center"/>
                </w:tcPr>
                <w:p>
                  <w:pPr>
                    <w:jc w:val="center"/>
                    <w:textAlignment w:val="center"/>
                    <w:rPr>
                      <w:rFonts w:hint="eastAsia"/>
                      <w:bCs/>
                      <w:color w:val="auto"/>
                      <w:sz w:val="18"/>
                      <w:szCs w:val="18"/>
                    </w:rPr>
                  </w:pPr>
                  <w:r>
                    <w:rPr>
                      <w:rFonts w:hint="eastAsia" w:eastAsia="宋体" w:cs="Times New Roman"/>
                      <w:bCs/>
                      <w:color w:val="auto"/>
                      <w:sz w:val="18"/>
                      <w:szCs w:val="18"/>
                      <w:lang w:val="en-US" w:eastAsia="zh-CN"/>
                    </w:rPr>
                    <w:t>90%</w:t>
                  </w:r>
                </w:p>
              </w:tc>
              <w:tc>
                <w:tcPr>
                  <w:tcW w:w="612" w:type="dxa"/>
                  <w:noWrap w:val="0"/>
                  <w:vAlign w:val="center"/>
                </w:tcPr>
                <w:p>
                  <w:pPr>
                    <w:jc w:val="center"/>
                    <w:textAlignment w:val="center"/>
                    <w:rPr>
                      <w:rFonts w:hint="eastAsia"/>
                      <w:bCs/>
                      <w:color w:val="auto"/>
                      <w:sz w:val="18"/>
                      <w:szCs w:val="18"/>
                    </w:rPr>
                  </w:pPr>
                  <w:r>
                    <w:rPr>
                      <w:rFonts w:hint="eastAsia" w:ascii="Times New Roman" w:hAnsi="Times New Roman" w:cs="Times New Roman"/>
                      <w:color w:val="auto"/>
                      <w:sz w:val="18"/>
                      <w:szCs w:val="18"/>
                      <w:lang w:val="en-US" w:eastAsia="zh-CN"/>
                    </w:rPr>
                    <w:t>95</w:t>
                  </w:r>
                  <w:r>
                    <w:rPr>
                      <w:rFonts w:hint="eastAsia" w:ascii="Times New Roman" w:hAnsi="Times New Roman" w:eastAsia="宋体" w:cs="Times New Roman"/>
                      <w:bCs/>
                      <w:color w:val="auto"/>
                      <w:sz w:val="18"/>
                      <w:szCs w:val="18"/>
                      <w:lang w:val="en-US" w:eastAsia="zh-CN"/>
                    </w:rPr>
                    <w:t>%</w:t>
                  </w:r>
                </w:p>
              </w:tc>
              <w:tc>
                <w:tcPr>
                  <w:tcW w:w="101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8.28</w:t>
                  </w:r>
                </w:p>
              </w:tc>
              <w:tc>
                <w:tcPr>
                  <w:tcW w:w="97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0.</w:t>
                  </w:r>
                  <w:r>
                    <w:rPr>
                      <w:rFonts w:hint="eastAsia" w:cs="Times New Roman"/>
                      <w:i w:val="0"/>
                      <w:iCs w:val="0"/>
                      <w:color w:val="auto"/>
                      <w:kern w:val="0"/>
                      <w:sz w:val="18"/>
                      <w:szCs w:val="18"/>
                      <w:u w:val="none"/>
                      <w:lang w:val="en-US" w:eastAsia="zh-CN" w:bidi="ar"/>
                    </w:rPr>
                    <w:t>1656</w:t>
                  </w:r>
                </w:p>
              </w:tc>
              <w:tc>
                <w:tcPr>
                  <w:tcW w:w="887" w:type="dxa"/>
                  <w:noWrap w:val="0"/>
                  <w:vAlign w:val="center"/>
                </w:tcPr>
                <w:p>
                  <w:pPr>
                    <w:jc w:val="center"/>
                    <w:textAlignment w:val="center"/>
                    <w:rPr>
                      <w:rFonts w:hint="default" w:ascii="Times New Roman" w:hAnsi="Times New Roman" w:cs="Times New Roman"/>
                      <w:color w:val="auto"/>
                      <w:sz w:val="18"/>
                      <w:szCs w:val="18"/>
                      <w:lang w:val="en-US" w:eastAsia="zh-CN"/>
                    </w:rPr>
                  </w:pPr>
                  <w:r>
                    <w:rPr>
                      <w:rFonts w:hint="eastAsia" w:cs="Times New Roman"/>
                      <w:i w:val="0"/>
                      <w:iCs w:val="0"/>
                      <w:color w:val="auto"/>
                      <w:kern w:val="0"/>
                      <w:sz w:val="18"/>
                      <w:szCs w:val="18"/>
                      <w:u w:val="none"/>
                      <w:lang w:val="en-US" w:eastAsia="zh-CN" w:bidi="ar"/>
                    </w:rPr>
                    <w:t>1.1925</w:t>
                  </w:r>
                </w:p>
              </w:tc>
              <w:tc>
                <w:tcPr>
                  <w:tcW w:w="875" w:type="dxa"/>
                  <w:noWrap w:val="0"/>
                  <w:vAlign w:val="center"/>
                </w:tcPr>
                <w:p>
                  <w:pPr>
                    <w:jc w:val="center"/>
                    <w:textAlignment w:val="center"/>
                    <w:rPr>
                      <w:rFonts w:hint="eastAsia"/>
                      <w:bCs/>
                      <w:color w:val="auto"/>
                      <w:sz w:val="18"/>
                      <w:szCs w:val="18"/>
                      <w:lang w:val="en-US" w:eastAsia="zh-CN"/>
                    </w:rPr>
                  </w:pPr>
                  <w:r>
                    <w:rPr>
                      <w:rFonts w:hint="eastAsia"/>
                      <w:bCs/>
                      <w:color w:val="auto"/>
                      <w:sz w:val="18"/>
                      <w:szCs w:val="18"/>
                      <w:lang w:val="en-US" w:eastAsia="zh-CN"/>
                    </w:rPr>
                    <w:t>20</w:t>
                  </w:r>
                </w:p>
              </w:tc>
              <w:tc>
                <w:tcPr>
                  <w:tcW w:w="700" w:type="dxa"/>
                  <w:noWrap w:val="0"/>
                  <w:tcMar>
                    <w:top w:w="15" w:type="dxa"/>
                    <w:left w:w="15" w:type="dxa"/>
                    <w:bottom w:w="15" w:type="dxa"/>
                    <w:right w:w="15" w:type="dxa"/>
                  </w:tcMar>
                  <w:vAlign w:val="center"/>
                </w:tcPr>
                <w:p>
                  <w:pPr>
                    <w:jc w:val="center"/>
                    <w:textAlignment w:val="center"/>
                    <w:rPr>
                      <w:rFonts w:hint="eastAsia" w:eastAsia="宋体"/>
                      <w:bCs/>
                      <w:color w:val="auto"/>
                      <w:sz w:val="18"/>
                      <w:szCs w:val="18"/>
                      <w:lang w:val="en-US" w:eastAsia="zh-CN"/>
                    </w:rPr>
                  </w:pPr>
                  <w:r>
                    <w:rPr>
                      <w:rFonts w:hint="eastAsia"/>
                      <w:bCs/>
                      <w:color w:val="auto"/>
                      <w:sz w:val="18"/>
                      <w:szCs w:val="18"/>
                      <w:lang w:val="en-US" w:eastAsia="zh-CN"/>
                    </w:rPr>
                    <w:t>1</w:t>
                  </w:r>
                </w:p>
              </w:tc>
              <w:tc>
                <w:tcPr>
                  <w:tcW w:w="665" w:type="dxa"/>
                  <w:noWrap w:val="0"/>
                  <w:tcMar>
                    <w:top w:w="15" w:type="dxa"/>
                    <w:left w:w="15" w:type="dxa"/>
                    <w:bottom w:w="15" w:type="dxa"/>
                    <w:right w:w="15" w:type="dxa"/>
                  </w:tcMar>
                  <w:vAlign w:val="center"/>
                </w:tcPr>
                <w:p>
                  <w:pPr>
                    <w:jc w:val="center"/>
                    <w:textAlignment w:val="center"/>
                    <w:rPr>
                      <w:rFonts w:hint="eastAsia"/>
                      <w:bCs/>
                      <w:color w:val="auto"/>
                      <w:sz w:val="18"/>
                      <w:szCs w:val="18"/>
                      <w:lang w:val="en-US" w:eastAsia="zh-CN"/>
                    </w:rPr>
                  </w:pPr>
                  <w:r>
                    <w:rPr>
                      <w:rFonts w:hint="eastAsia"/>
                      <w:bCs/>
                      <w:color w:val="auto"/>
                      <w:sz w:val="18"/>
                      <w:szCs w:val="18"/>
                      <w:lang w:val="en-US" w:eastAsia="zh-CN"/>
                    </w:rPr>
                    <w:t>7200h</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108" w:type="dxa"/>
                  <w:bottom w:w="0" w:type="dxa"/>
                  <w:right w:w="108" w:type="dxa"/>
                </w:tblCellMar>
              </w:tblPrEx>
              <w:trPr>
                <w:trHeight w:val="545" w:hRule="atLeast"/>
                <w:jc w:val="center"/>
              </w:trPr>
              <w:tc>
                <w:tcPr>
                  <w:tcW w:w="692" w:type="dxa"/>
                  <w:noWrap w:val="0"/>
                  <w:tcMar>
                    <w:top w:w="15" w:type="dxa"/>
                    <w:left w:w="15" w:type="dxa"/>
                    <w:bottom w:w="15" w:type="dxa"/>
                    <w:right w:w="15" w:type="dxa"/>
                  </w:tcMar>
                  <w:vAlign w:val="center"/>
                </w:tcPr>
                <w:p>
                  <w:pPr>
                    <w:jc w:val="center"/>
                    <w:textAlignment w:val="center"/>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专用</w:t>
                  </w:r>
                </w:p>
                <w:p>
                  <w:pPr>
                    <w:jc w:val="center"/>
                    <w:textAlignment w:val="center"/>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烟道</w:t>
                  </w:r>
                </w:p>
              </w:tc>
              <w:tc>
                <w:tcPr>
                  <w:tcW w:w="693" w:type="dxa"/>
                  <w:shd w:val="clear" w:color="auto" w:fill="auto"/>
                  <w:noWrap w:val="0"/>
                  <w:tcMar>
                    <w:top w:w="15" w:type="dxa"/>
                    <w:left w:w="15" w:type="dxa"/>
                    <w:bottom w:w="15" w:type="dxa"/>
                    <w:right w:w="15" w:type="dxa"/>
                  </w:tcMar>
                  <w:vAlign w:val="center"/>
                </w:tcPr>
                <w:p>
                  <w:pPr>
                    <w:jc w:val="center"/>
                    <w:textAlignment w:val="center"/>
                    <w:rPr>
                      <w:rFonts w:hint="eastAsia"/>
                      <w:bCs/>
                      <w:color w:val="auto"/>
                      <w:sz w:val="18"/>
                      <w:szCs w:val="18"/>
                    </w:rPr>
                  </w:pPr>
                  <w:r>
                    <w:rPr>
                      <w:rFonts w:hint="eastAsia"/>
                      <w:bCs/>
                      <w:color w:val="auto"/>
                      <w:sz w:val="18"/>
                      <w:szCs w:val="18"/>
                    </w:rPr>
                    <w:t>食堂</w:t>
                  </w:r>
                </w:p>
                <w:p>
                  <w:pPr>
                    <w:jc w:val="center"/>
                    <w:textAlignment w:val="center"/>
                    <w:rPr>
                      <w:rFonts w:hint="eastAsia" w:ascii="Times New Roman" w:hAnsi="Times New Roman" w:eastAsia="宋体" w:cs="Times New Roman"/>
                      <w:bCs/>
                      <w:color w:val="auto"/>
                      <w:kern w:val="2"/>
                      <w:sz w:val="18"/>
                      <w:szCs w:val="18"/>
                      <w:lang w:val="en-US" w:eastAsia="zh-CN" w:bidi="ar-SA"/>
                    </w:rPr>
                  </w:pPr>
                  <w:r>
                    <w:rPr>
                      <w:rFonts w:hint="eastAsia"/>
                      <w:bCs/>
                      <w:color w:val="auto"/>
                      <w:sz w:val="18"/>
                      <w:szCs w:val="18"/>
                    </w:rPr>
                    <w:t>油烟</w:t>
                  </w:r>
                </w:p>
              </w:tc>
              <w:tc>
                <w:tcPr>
                  <w:tcW w:w="688" w:type="dxa"/>
                  <w:shd w:val="clear" w:color="auto" w:fill="auto"/>
                  <w:noWrap w:val="0"/>
                  <w:tcMar>
                    <w:top w:w="15" w:type="dxa"/>
                    <w:left w:w="15" w:type="dxa"/>
                    <w:bottom w:w="15" w:type="dxa"/>
                    <w:right w:w="15" w:type="dxa"/>
                  </w:tcMar>
                  <w:vAlign w:val="center"/>
                </w:tcPr>
                <w:p>
                  <w:pPr>
                    <w:jc w:val="center"/>
                    <w:textAlignment w:val="center"/>
                    <w:rPr>
                      <w:rFonts w:hint="eastAsia" w:ascii="Times New Roman" w:hAnsi="Times New Roman" w:eastAsia="宋体" w:cs="Times New Roman"/>
                      <w:bCs/>
                      <w:color w:val="auto"/>
                      <w:kern w:val="2"/>
                      <w:sz w:val="18"/>
                      <w:szCs w:val="18"/>
                      <w:lang w:val="en-US" w:eastAsia="zh-CN" w:bidi="ar-SA"/>
                    </w:rPr>
                  </w:pPr>
                  <w:r>
                    <w:rPr>
                      <w:rFonts w:hint="eastAsia"/>
                      <w:bCs/>
                      <w:color w:val="auto"/>
                      <w:sz w:val="18"/>
                      <w:szCs w:val="18"/>
                    </w:rPr>
                    <w:t>油烟</w:t>
                  </w:r>
                </w:p>
              </w:tc>
              <w:tc>
                <w:tcPr>
                  <w:tcW w:w="862" w:type="dxa"/>
                  <w:shd w:val="clear" w:color="auto" w:fill="auto"/>
                  <w:noWrap w:val="0"/>
                  <w:tcMar>
                    <w:top w:w="15" w:type="dxa"/>
                    <w:left w:w="15" w:type="dxa"/>
                    <w:bottom w:w="15" w:type="dxa"/>
                    <w:right w:w="15" w:type="dxa"/>
                  </w:tcMar>
                  <w:vAlign w:val="center"/>
                </w:tcPr>
                <w:p>
                  <w:pPr>
                    <w:jc w:val="center"/>
                    <w:textAlignment w:val="center"/>
                    <w:rPr>
                      <w:rFonts w:hint="default" w:ascii="Times New Roman" w:hAnsi="Times New Roman" w:eastAsia="宋体" w:cs="Times New Roman"/>
                      <w:bCs/>
                      <w:color w:val="auto"/>
                      <w:kern w:val="2"/>
                      <w:sz w:val="18"/>
                      <w:szCs w:val="18"/>
                      <w:lang w:val="en-US" w:eastAsia="zh-CN" w:bidi="ar-SA"/>
                    </w:rPr>
                  </w:pPr>
                  <w:r>
                    <w:rPr>
                      <w:rFonts w:hint="eastAsia"/>
                      <w:bCs/>
                      <w:color w:val="auto"/>
                      <w:sz w:val="18"/>
                      <w:szCs w:val="18"/>
                      <w:lang w:val="en-US" w:eastAsia="zh-CN"/>
                    </w:rPr>
                    <w:t>2.5</w:t>
                  </w:r>
                </w:p>
              </w:tc>
              <w:tc>
                <w:tcPr>
                  <w:tcW w:w="838" w:type="dxa"/>
                  <w:shd w:val="clear" w:color="auto" w:fill="auto"/>
                  <w:noWrap w:val="0"/>
                  <w:tcMar>
                    <w:top w:w="15" w:type="dxa"/>
                    <w:left w:w="15" w:type="dxa"/>
                    <w:bottom w:w="15" w:type="dxa"/>
                    <w:right w:w="15" w:type="dxa"/>
                  </w:tcMar>
                  <w:vAlign w:val="center"/>
                </w:tcPr>
                <w:p>
                  <w:pPr>
                    <w:adjustRightInd w:val="0"/>
                    <w:snapToGrid w:val="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0.015</w:t>
                  </w:r>
                </w:p>
              </w:tc>
              <w:tc>
                <w:tcPr>
                  <w:tcW w:w="850" w:type="dxa"/>
                  <w:shd w:val="clear" w:color="auto" w:fill="auto"/>
                  <w:noWrap w:val="0"/>
                  <w:tcMar>
                    <w:top w:w="15" w:type="dxa"/>
                    <w:left w:w="15" w:type="dxa"/>
                    <w:bottom w:w="15" w:type="dxa"/>
                    <w:right w:w="15" w:type="dxa"/>
                  </w:tcMar>
                  <w:vAlign w:val="center"/>
                </w:tcPr>
                <w:p>
                  <w:pPr>
                    <w:adjustRightInd w:val="0"/>
                    <w:snapToGrid w:val="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0.018</w:t>
                  </w:r>
                </w:p>
              </w:tc>
              <w:tc>
                <w:tcPr>
                  <w:tcW w:w="512" w:type="dxa"/>
                  <w:shd w:val="clear" w:color="auto" w:fill="auto"/>
                  <w:noWrap w:val="0"/>
                  <w:tcMar>
                    <w:top w:w="15" w:type="dxa"/>
                    <w:left w:w="15" w:type="dxa"/>
                    <w:bottom w:w="15" w:type="dxa"/>
                    <w:right w:w="15" w:type="dxa"/>
                  </w:tcMar>
                  <w:vAlign w:val="center"/>
                </w:tcPr>
                <w:p>
                  <w:pPr>
                    <w:jc w:val="center"/>
                    <w:textAlignment w:val="center"/>
                    <w:rPr>
                      <w:rFonts w:hint="eastAsia" w:ascii="Times New Roman" w:hAnsi="Times New Roman" w:eastAsia="宋体" w:cs="Times New Roman"/>
                      <w:bCs/>
                      <w:color w:val="auto"/>
                      <w:kern w:val="2"/>
                      <w:sz w:val="18"/>
                      <w:szCs w:val="18"/>
                      <w:lang w:val="en-US" w:eastAsia="zh-CN" w:bidi="ar-SA"/>
                    </w:rPr>
                  </w:pPr>
                  <w:r>
                    <w:rPr>
                      <w:rFonts w:hint="eastAsia"/>
                      <w:bCs/>
                      <w:color w:val="auto"/>
                      <w:sz w:val="18"/>
                      <w:szCs w:val="18"/>
                    </w:rPr>
                    <w:t>有组织</w:t>
                  </w:r>
                </w:p>
              </w:tc>
              <w:tc>
                <w:tcPr>
                  <w:tcW w:w="775" w:type="dxa"/>
                  <w:shd w:val="clear" w:color="auto" w:fill="auto"/>
                  <w:noWrap w:val="0"/>
                  <w:tcMar>
                    <w:top w:w="15" w:type="dxa"/>
                    <w:left w:w="15" w:type="dxa"/>
                    <w:bottom w:w="15" w:type="dxa"/>
                    <w:right w:w="15" w:type="dxa"/>
                  </w:tcMar>
                  <w:vAlign w:val="center"/>
                </w:tcPr>
                <w:p>
                  <w:pPr>
                    <w:jc w:val="center"/>
                    <w:textAlignment w:val="center"/>
                    <w:rPr>
                      <w:rFonts w:hint="eastAsia" w:ascii="Times New Roman" w:hAnsi="Times New Roman" w:eastAsia="宋体" w:cs="Times New Roman"/>
                      <w:bCs/>
                      <w:color w:val="auto"/>
                      <w:kern w:val="2"/>
                      <w:sz w:val="18"/>
                      <w:szCs w:val="18"/>
                      <w:lang w:val="en-US" w:eastAsia="zh-CN" w:bidi="ar-SA"/>
                    </w:rPr>
                  </w:pPr>
                  <w:r>
                    <w:rPr>
                      <w:rFonts w:hint="eastAsia"/>
                      <w:bCs/>
                      <w:color w:val="auto"/>
                      <w:sz w:val="18"/>
                      <w:szCs w:val="18"/>
                    </w:rPr>
                    <w:t>油烟净化装置</w:t>
                  </w:r>
                </w:p>
              </w:tc>
              <w:tc>
                <w:tcPr>
                  <w:tcW w:w="688" w:type="dxa"/>
                  <w:shd w:val="clear" w:color="auto" w:fill="auto"/>
                  <w:noWrap w:val="0"/>
                  <w:vAlign w:val="center"/>
                </w:tcPr>
                <w:p>
                  <w:pPr>
                    <w:jc w:val="center"/>
                    <w:textAlignment w:val="center"/>
                    <w:rPr>
                      <w:rFonts w:hint="eastAsia" w:ascii="Times New Roman" w:hAnsi="Times New Roman" w:eastAsia="宋体" w:cs="Times New Roman"/>
                      <w:bCs/>
                      <w:color w:val="auto"/>
                      <w:kern w:val="2"/>
                      <w:sz w:val="18"/>
                      <w:szCs w:val="18"/>
                      <w:lang w:val="en-US" w:eastAsia="zh-CN" w:bidi="ar-SA"/>
                    </w:rPr>
                  </w:pPr>
                  <w:r>
                    <w:rPr>
                      <w:rFonts w:hint="eastAsia"/>
                      <w:bCs/>
                      <w:color w:val="auto"/>
                      <w:sz w:val="18"/>
                      <w:szCs w:val="18"/>
                    </w:rPr>
                    <w:t>6000m</w:t>
                  </w:r>
                  <w:r>
                    <w:rPr>
                      <w:rFonts w:hint="eastAsia"/>
                      <w:bCs/>
                      <w:color w:val="auto"/>
                      <w:sz w:val="18"/>
                      <w:szCs w:val="18"/>
                      <w:vertAlign w:val="superscript"/>
                    </w:rPr>
                    <w:t>3</w:t>
                  </w:r>
                  <w:r>
                    <w:rPr>
                      <w:rFonts w:hint="eastAsia"/>
                      <w:bCs/>
                      <w:color w:val="auto"/>
                      <w:sz w:val="18"/>
                      <w:szCs w:val="18"/>
                    </w:rPr>
                    <w:t>/h</w:t>
                  </w:r>
                </w:p>
              </w:tc>
              <w:tc>
                <w:tcPr>
                  <w:tcW w:w="700" w:type="dxa"/>
                  <w:shd w:val="clear" w:color="auto" w:fill="auto"/>
                  <w:noWrap w:val="0"/>
                  <w:vAlign w:val="center"/>
                </w:tcPr>
                <w:p>
                  <w:pPr>
                    <w:jc w:val="center"/>
                    <w:textAlignment w:val="center"/>
                    <w:rPr>
                      <w:rFonts w:hint="eastAsia" w:ascii="Times New Roman" w:hAnsi="Times New Roman" w:eastAsia="宋体" w:cs="Times New Roman"/>
                      <w:bCs/>
                      <w:color w:val="auto"/>
                      <w:kern w:val="2"/>
                      <w:sz w:val="18"/>
                      <w:szCs w:val="18"/>
                      <w:lang w:val="en-US" w:eastAsia="zh-CN" w:bidi="ar-SA"/>
                    </w:rPr>
                  </w:pPr>
                  <w:r>
                    <w:rPr>
                      <w:rFonts w:hint="eastAsia"/>
                      <w:bCs/>
                      <w:color w:val="auto"/>
                      <w:sz w:val="18"/>
                      <w:szCs w:val="18"/>
                      <w:lang w:val="en-US" w:eastAsia="zh-CN"/>
                    </w:rPr>
                    <w:t>100</w:t>
                  </w:r>
                  <w:r>
                    <w:rPr>
                      <w:rFonts w:hint="eastAsia"/>
                      <w:bCs/>
                      <w:color w:val="auto"/>
                      <w:sz w:val="18"/>
                      <w:szCs w:val="18"/>
                    </w:rPr>
                    <w:t>%</w:t>
                  </w:r>
                </w:p>
              </w:tc>
              <w:tc>
                <w:tcPr>
                  <w:tcW w:w="612" w:type="dxa"/>
                  <w:shd w:val="clear" w:color="auto" w:fill="auto"/>
                  <w:noWrap w:val="0"/>
                  <w:vAlign w:val="center"/>
                </w:tcPr>
                <w:p>
                  <w:pPr>
                    <w:jc w:val="center"/>
                    <w:textAlignment w:val="center"/>
                    <w:rPr>
                      <w:rFonts w:hint="eastAsia" w:ascii="Times New Roman" w:hAnsi="Times New Roman" w:eastAsia="宋体" w:cs="Times New Roman"/>
                      <w:bCs/>
                      <w:color w:val="auto"/>
                      <w:kern w:val="2"/>
                      <w:sz w:val="18"/>
                      <w:szCs w:val="18"/>
                      <w:lang w:val="en-US" w:eastAsia="zh-CN" w:bidi="ar-SA"/>
                    </w:rPr>
                  </w:pPr>
                  <w:r>
                    <w:rPr>
                      <w:rFonts w:hint="eastAsia"/>
                      <w:bCs/>
                      <w:color w:val="auto"/>
                      <w:sz w:val="18"/>
                      <w:szCs w:val="18"/>
                    </w:rPr>
                    <w:t>75%</w:t>
                  </w:r>
                </w:p>
              </w:tc>
              <w:tc>
                <w:tcPr>
                  <w:tcW w:w="1013" w:type="dxa"/>
                  <w:shd w:val="clear" w:color="auto" w:fill="auto"/>
                  <w:noWrap w:val="0"/>
                  <w:vAlign w:val="center"/>
                </w:tcPr>
                <w:p>
                  <w:pPr>
                    <w:jc w:val="center"/>
                    <w:textAlignment w:val="center"/>
                    <w:rPr>
                      <w:rFonts w:hint="default" w:ascii="Times New Roman" w:hAnsi="Times New Roman" w:eastAsia="宋体" w:cs="Times New Roman"/>
                      <w:bCs/>
                      <w:color w:val="auto"/>
                      <w:kern w:val="2"/>
                      <w:sz w:val="18"/>
                      <w:szCs w:val="18"/>
                      <w:lang w:val="en-US" w:eastAsia="zh-CN" w:bidi="ar-SA"/>
                    </w:rPr>
                  </w:pPr>
                  <w:r>
                    <w:rPr>
                      <w:rFonts w:hint="eastAsia"/>
                      <w:bCs/>
                      <w:color w:val="auto"/>
                      <w:sz w:val="18"/>
                      <w:szCs w:val="18"/>
                    </w:rPr>
                    <w:t>0.</w:t>
                  </w:r>
                  <w:r>
                    <w:rPr>
                      <w:rFonts w:hint="eastAsia"/>
                      <w:bCs/>
                      <w:color w:val="auto"/>
                      <w:sz w:val="18"/>
                      <w:szCs w:val="18"/>
                      <w:lang w:val="en-US" w:eastAsia="zh-CN"/>
                    </w:rPr>
                    <w:t>63</w:t>
                  </w:r>
                </w:p>
              </w:tc>
              <w:tc>
                <w:tcPr>
                  <w:tcW w:w="975" w:type="dxa"/>
                  <w:shd w:val="clear" w:color="auto" w:fill="auto"/>
                  <w:noWrap w:val="0"/>
                  <w:vAlign w:val="center"/>
                </w:tcPr>
                <w:p>
                  <w:pPr>
                    <w:jc w:val="center"/>
                    <w:textAlignment w:val="center"/>
                    <w:rPr>
                      <w:rFonts w:hint="default" w:ascii="Times New Roman" w:hAnsi="Times New Roman" w:eastAsia="宋体" w:cs="Times New Roman"/>
                      <w:bCs/>
                      <w:color w:val="auto"/>
                      <w:kern w:val="2"/>
                      <w:sz w:val="18"/>
                      <w:szCs w:val="18"/>
                      <w:lang w:val="en-US" w:eastAsia="zh-CN" w:bidi="ar-SA"/>
                    </w:rPr>
                  </w:pPr>
                  <w:r>
                    <w:rPr>
                      <w:rFonts w:hint="eastAsia"/>
                      <w:bCs/>
                      <w:color w:val="auto"/>
                      <w:sz w:val="18"/>
                      <w:szCs w:val="18"/>
                    </w:rPr>
                    <w:t>0.00</w:t>
                  </w:r>
                  <w:r>
                    <w:rPr>
                      <w:rFonts w:hint="eastAsia"/>
                      <w:bCs/>
                      <w:color w:val="auto"/>
                      <w:sz w:val="18"/>
                      <w:szCs w:val="18"/>
                      <w:lang w:val="en-US" w:eastAsia="zh-CN"/>
                    </w:rPr>
                    <w:t>38</w:t>
                  </w:r>
                </w:p>
              </w:tc>
              <w:tc>
                <w:tcPr>
                  <w:tcW w:w="887" w:type="dxa"/>
                  <w:shd w:val="clear" w:color="auto" w:fill="auto"/>
                  <w:noWrap w:val="0"/>
                  <w:vAlign w:val="center"/>
                </w:tcPr>
                <w:p>
                  <w:pPr>
                    <w:jc w:val="center"/>
                    <w:textAlignment w:val="center"/>
                    <w:rPr>
                      <w:rFonts w:hint="default" w:ascii="Times New Roman" w:hAnsi="Times New Roman" w:eastAsia="宋体" w:cs="Times New Roman"/>
                      <w:bCs/>
                      <w:color w:val="auto"/>
                      <w:kern w:val="2"/>
                      <w:sz w:val="18"/>
                      <w:szCs w:val="18"/>
                      <w:lang w:val="en-US" w:eastAsia="zh-CN" w:bidi="ar-SA"/>
                    </w:rPr>
                  </w:pPr>
                  <w:r>
                    <w:rPr>
                      <w:rFonts w:hint="eastAsia"/>
                      <w:bCs/>
                      <w:color w:val="auto"/>
                      <w:sz w:val="18"/>
                      <w:szCs w:val="18"/>
                    </w:rPr>
                    <w:t>0.00</w:t>
                  </w:r>
                  <w:r>
                    <w:rPr>
                      <w:rFonts w:hint="eastAsia"/>
                      <w:bCs/>
                      <w:color w:val="auto"/>
                      <w:sz w:val="18"/>
                      <w:szCs w:val="18"/>
                      <w:lang w:val="en-US" w:eastAsia="zh-CN"/>
                    </w:rPr>
                    <w:t>45</w:t>
                  </w:r>
                </w:p>
              </w:tc>
              <w:tc>
                <w:tcPr>
                  <w:tcW w:w="875" w:type="dxa"/>
                  <w:shd w:val="clear" w:color="auto" w:fill="auto"/>
                  <w:noWrap w:val="0"/>
                  <w:vAlign w:val="center"/>
                </w:tcPr>
                <w:p>
                  <w:pPr>
                    <w:jc w:val="center"/>
                    <w:textAlignment w:val="center"/>
                    <w:rPr>
                      <w:rFonts w:hint="eastAsia" w:ascii="Times New Roman" w:hAnsi="Times New Roman" w:eastAsia="宋体" w:cs="Times New Roman"/>
                      <w:bCs/>
                      <w:color w:val="auto"/>
                      <w:kern w:val="2"/>
                      <w:sz w:val="18"/>
                      <w:szCs w:val="18"/>
                      <w:lang w:val="en-US" w:eastAsia="zh-CN" w:bidi="ar-SA"/>
                    </w:rPr>
                  </w:pPr>
                  <w:r>
                    <w:rPr>
                      <w:rFonts w:hint="eastAsia"/>
                      <w:bCs/>
                      <w:color w:val="auto"/>
                      <w:sz w:val="18"/>
                      <w:szCs w:val="18"/>
                    </w:rPr>
                    <w:t>2.0</w:t>
                  </w:r>
                </w:p>
              </w:tc>
              <w:tc>
                <w:tcPr>
                  <w:tcW w:w="700" w:type="dxa"/>
                  <w:shd w:val="clear" w:color="auto" w:fill="auto"/>
                  <w:noWrap w:val="0"/>
                  <w:tcMar>
                    <w:top w:w="15" w:type="dxa"/>
                    <w:left w:w="15" w:type="dxa"/>
                    <w:bottom w:w="15" w:type="dxa"/>
                    <w:right w:w="15" w:type="dxa"/>
                  </w:tcMar>
                  <w:vAlign w:val="center"/>
                </w:tcPr>
                <w:p>
                  <w:pPr>
                    <w:jc w:val="center"/>
                    <w:textAlignment w:val="center"/>
                    <w:rPr>
                      <w:rFonts w:hint="eastAsia" w:ascii="Times New Roman" w:hAnsi="Times New Roman" w:eastAsia="宋体" w:cs="Times New Roman"/>
                      <w:bCs/>
                      <w:color w:val="auto"/>
                      <w:kern w:val="2"/>
                      <w:sz w:val="18"/>
                      <w:szCs w:val="18"/>
                      <w:lang w:val="en-US" w:eastAsia="zh-CN" w:bidi="ar-SA"/>
                    </w:rPr>
                  </w:pPr>
                  <w:r>
                    <w:rPr>
                      <w:rFonts w:hint="eastAsia" w:ascii="Times New Roman" w:hAnsi="Times New Roman" w:eastAsia="宋体" w:cs="Times New Roman"/>
                      <w:bCs/>
                      <w:color w:val="auto"/>
                      <w:sz w:val="18"/>
                      <w:szCs w:val="18"/>
                      <w:lang w:val="en-US" w:eastAsia="zh-CN"/>
                    </w:rPr>
                    <w:t>/</w:t>
                  </w:r>
                </w:p>
              </w:tc>
              <w:tc>
                <w:tcPr>
                  <w:tcW w:w="665" w:type="dxa"/>
                  <w:shd w:val="clear" w:color="auto" w:fill="auto"/>
                  <w:noWrap w:val="0"/>
                  <w:tcMar>
                    <w:top w:w="15" w:type="dxa"/>
                    <w:left w:w="15" w:type="dxa"/>
                    <w:bottom w:w="15" w:type="dxa"/>
                    <w:right w:w="15" w:type="dxa"/>
                  </w:tcMar>
                  <w:vAlign w:val="center"/>
                </w:tcPr>
                <w:p>
                  <w:pPr>
                    <w:jc w:val="center"/>
                    <w:textAlignment w:val="center"/>
                    <w:rPr>
                      <w:rFonts w:hint="default" w:ascii="Times New Roman" w:hAnsi="Times New Roman" w:eastAsia="宋体" w:cs="Times New Roman"/>
                      <w:bCs/>
                      <w:color w:val="auto"/>
                      <w:kern w:val="2"/>
                      <w:sz w:val="18"/>
                      <w:szCs w:val="18"/>
                      <w:lang w:val="en-US" w:eastAsia="zh-CN" w:bidi="ar-SA"/>
                    </w:rPr>
                  </w:pPr>
                  <w:r>
                    <w:rPr>
                      <w:rFonts w:hint="eastAsia"/>
                      <w:bCs/>
                      <w:color w:val="auto"/>
                      <w:sz w:val="18"/>
                      <w:szCs w:val="18"/>
                      <w:lang w:val="en-US" w:eastAsia="zh-CN"/>
                    </w:rPr>
                    <w:t>1200h</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108" w:type="dxa"/>
                  <w:bottom w:w="0" w:type="dxa"/>
                  <w:right w:w="108" w:type="dxa"/>
                </w:tblCellMar>
              </w:tblPrEx>
              <w:trPr>
                <w:trHeight w:val="1141" w:hRule="atLeast"/>
                <w:jc w:val="center"/>
              </w:trPr>
              <w:tc>
                <w:tcPr>
                  <w:tcW w:w="692" w:type="dxa"/>
                  <w:vMerge w:val="restart"/>
                  <w:noWrap w:val="0"/>
                  <w:tcMar>
                    <w:top w:w="15" w:type="dxa"/>
                    <w:left w:w="15" w:type="dxa"/>
                    <w:bottom w:w="15" w:type="dxa"/>
                    <w:right w:w="15" w:type="dxa"/>
                  </w:tcMar>
                  <w:vAlign w:val="center"/>
                </w:tcPr>
                <w:p>
                  <w:pPr>
                    <w:jc w:val="center"/>
                    <w:textAlignment w:val="center"/>
                    <w:rPr>
                      <w:rFonts w:hint="default" w:ascii="Times New Roman" w:hAnsi="Times New Roman" w:eastAsia="宋体" w:cs="Times New Roman"/>
                      <w:color w:val="auto"/>
                      <w:sz w:val="18"/>
                      <w:szCs w:val="18"/>
                      <w:lang w:val="en-US" w:eastAsia="zh-CN"/>
                    </w:rPr>
                  </w:pPr>
                  <w:r>
                    <w:rPr>
                      <w:rFonts w:hint="eastAsia" w:cs="Times New Roman"/>
                      <w:bCs/>
                      <w:color w:val="auto"/>
                      <w:sz w:val="18"/>
                      <w:szCs w:val="18"/>
                      <w:lang w:val="en-US" w:eastAsia="zh-CN"/>
                    </w:rPr>
                    <w:t>机加工</w:t>
                  </w:r>
                  <w:r>
                    <w:rPr>
                      <w:rFonts w:hint="eastAsia" w:ascii="Times New Roman" w:hAnsi="Times New Roman" w:eastAsia="宋体" w:cs="Times New Roman"/>
                      <w:bCs/>
                      <w:color w:val="auto"/>
                      <w:sz w:val="18"/>
                      <w:szCs w:val="18"/>
                      <w:lang w:val="en-US" w:eastAsia="zh-CN"/>
                    </w:rPr>
                    <w:t>车间</w:t>
                  </w:r>
                </w:p>
              </w:tc>
              <w:tc>
                <w:tcPr>
                  <w:tcW w:w="693" w:type="dxa"/>
                  <w:vMerge w:val="restart"/>
                  <w:noWrap w:val="0"/>
                  <w:tcMar>
                    <w:top w:w="15" w:type="dxa"/>
                    <w:left w:w="15" w:type="dxa"/>
                    <w:bottom w:w="15" w:type="dxa"/>
                    <w:right w:w="15" w:type="dxa"/>
                  </w:tcMar>
                  <w:vAlign w:val="center"/>
                </w:tcPr>
                <w:p>
                  <w:pPr>
                    <w:pStyle w:val="49"/>
                    <w:ind w:firstLine="0" w:firstLineChars="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eastAsia="zh-CN"/>
                    </w:rPr>
                    <w:t>下料</w:t>
                  </w:r>
                  <w:r>
                    <w:rPr>
                      <w:rFonts w:hint="eastAsia" w:ascii="Times New Roman" w:hAnsi="Times New Roman" w:eastAsia="宋体" w:cs="Times New Roman"/>
                      <w:color w:val="auto"/>
                      <w:sz w:val="18"/>
                      <w:szCs w:val="18"/>
                      <w:lang w:val="en-US" w:eastAsia="zh-CN"/>
                    </w:rPr>
                    <w:t>切割粉尘、机加工</w:t>
                  </w:r>
                  <w:r>
                    <w:rPr>
                      <w:rFonts w:hint="eastAsia" w:ascii="Times New Roman" w:hAnsi="Times New Roman" w:eastAsia="宋体" w:cs="Times New Roman"/>
                      <w:color w:val="auto"/>
                      <w:sz w:val="18"/>
                      <w:szCs w:val="18"/>
                      <w:lang w:eastAsia="zh-CN"/>
                    </w:rPr>
                    <w:t>废气、</w:t>
                  </w:r>
                  <w:r>
                    <w:rPr>
                      <w:rFonts w:hint="default" w:ascii="Times New Roman" w:hAnsi="Times New Roman" w:eastAsia="宋体" w:cs="Times New Roman"/>
                      <w:color w:val="auto"/>
                      <w:sz w:val="18"/>
                      <w:szCs w:val="18"/>
                      <w:lang w:val="en-US" w:eastAsia="zh-CN"/>
                    </w:rPr>
                    <w:t>维修</w:t>
                  </w:r>
                  <w:r>
                    <w:rPr>
                      <w:rFonts w:hint="eastAsia" w:ascii="Times New Roman" w:hAnsi="Times New Roman" w:eastAsia="宋体" w:cs="Times New Roman"/>
                      <w:color w:val="auto"/>
                      <w:sz w:val="18"/>
                      <w:szCs w:val="18"/>
                      <w:lang w:val="en-US" w:eastAsia="zh-CN"/>
                    </w:rPr>
                    <w:t>切割粉尘、</w:t>
                  </w:r>
                  <w:r>
                    <w:rPr>
                      <w:rFonts w:hint="eastAsia" w:ascii="Times New Roman" w:hAnsi="Times New Roman" w:eastAsia="宋体" w:cs="Times New Roman"/>
                      <w:color w:val="auto"/>
                      <w:sz w:val="18"/>
                      <w:szCs w:val="18"/>
                      <w:lang w:eastAsia="zh-CN"/>
                    </w:rPr>
                    <w:t>打磨粉尘</w:t>
                  </w:r>
                </w:p>
              </w:tc>
              <w:tc>
                <w:tcPr>
                  <w:tcW w:w="688" w:type="dxa"/>
                  <w:noWrap w:val="0"/>
                  <w:tcMar>
                    <w:top w:w="15" w:type="dxa"/>
                    <w:left w:w="15" w:type="dxa"/>
                    <w:bottom w:w="15" w:type="dxa"/>
                    <w:right w:w="15" w:type="dxa"/>
                  </w:tcMar>
                  <w:vAlign w:val="center"/>
                </w:tcPr>
                <w:p>
                  <w:pPr>
                    <w:pStyle w:val="49"/>
                    <w:ind w:firstLine="0" w:firstLineChars="0"/>
                    <w:jc w:val="center"/>
                    <w:rPr>
                      <w:rFonts w:hint="eastAsia" w:eastAsia="宋体" w:cs="Times New Roman"/>
                      <w:bCs/>
                      <w:color w:val="auto"/>
                      <w:sz w:val="18"/>
                      <w:szCs w:val="18"/>
                      <w:lang w:eastAsia="zh-CN"/>
                    </w:rPr>
                  </w:pPr>
                  <w:r>
                    <w:rPr>
                      <w:rFonts w:hint="eastAsia" w:ascii="Times New Roman" w:hAnsi="Times New Roman" w:cs="Times New Roman"/>
                      <w:color w:val="auto"/>
                      <w:sz w:val="18"/>
                      <w:szCs w:val="18"/>
                      <w:lang w:eastAsia="zh-CN"/>
                    </w:rPr>
                    <w:t>颗粒物</w:t>
                  </w:r>
                </w:p>
              </w:tc>
              <w:tc>
                <w:tcPr>
                  <w:tcW w:w="862" w:type="dxa"/>
                  <w:noWrap w:val="0"/>
                  <w:tcMar>
                    <w:top w:w="15" w:type="dxa"/>
                    <w:left w:w="15" w:type="dxa"/>
                    <w:bottom w:w="15" w:type="dxa"/>
                    <w:right w:w="15" w:type="dxa"/>
                  </w:tcMar>
                  <w:vAlign w:val="center"/>
                </w:tcPr>
                <w:p>
                  <w:pPr>
                    <w:jc w:val="center"/>
                    <w:textAlignment w:val="center"/>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w:t>
                  </w:r>
                </w:p>
              </w:tc>
              <w:tc>
                <w:tcPr>
                  <w:tcW w:w="838" w:type="dxa"/>
                  <w:noWrap w:val="0"/>
                  <w:tcMar>
                    <w:top w:w="15" w:type="dxa"/>
                    <w:left w:w="15" w:type="dxa"/>
                    <w:bottom w:w="15" w:type="dxa"/>
                    <w:right w:w="15" w:type="dxa"/>
                  </w:tcMar>
                  <w:vAlign w:val="center"/>
                </w:tcPr>
                <w:p>
                  <w:pPr>
                    <w:jc w:val="center"/>
                    <w:textAlignment w:val="center"/>
                    <w:rPr>
                      <w:rFonts w:hint="default" w:ascii="Times New Roman" w:hAnsi="Times New Roman" w:eastAsia="宋体" w:cs="Times New Roman"/>
                      <w:bCs/>
                      <w:color w:val="auto"/>
                      <w:sz w:val="18"/>
                      <w:szCs w:val="18"/>
                      <w:lang w:val="en-US" w:eastAsia="zh-CN"/>
                    </w:rPr>
                  </w:pPr>
                  <w:r>
                    <w:rPr>
                      <w:rFonts w:hint="eastAsia" w:cs="Times New Roman"/>
                      <w:bCs/>
                      <w:color w:val="auto"/>
                      <w:sz w:val="18"/>
                      <w:szCs w:val="18"/>
                      <w:lang w:val="en-US" w:eastAsia="zh-CN"/>
                    </w:rPr>
                    <w:t>1.4222</w:t>
                  </w:r>
                </w:p>
              </w:tc>
              <w:tc>
                <w:tcPr>
                  <w:tcW w:w="850" w:type="dxa"/>
                  <w:noWrap w:val="0"/>
                  <w:tcMar>
                    <w:top w:w="15" w:type="dxa"/>
                    <w:left w:w="15" w:type="dxa"/>
                    <w:bottom w:w="15" w:type="dxa"/>
                    <w:right w:w="15" w:type="dxa"/>
                  </w:tcMar>
                  <w:vAlign w:val="center"/>
                </w:tcPr>
                <w:p>
                  <w:pPr>
                    <w:jc w:val="center"/>
                    <w:textAlignment w:val="center"/>
                    <w:rPr>
                      <w:rFonts w:hint="default" w:ascii="Times New Roman" w:hAnsi="Times New Roman" w:eastAsia="宋体" w:cs="Times New Roman"/>
                      <w:bCs/>
                      <w:color w:val="auto"/>
                      <w:sz w:val="18"/>
                      <w:szCs w:val="18"/>
                      <w:lang w:val="en-US" w:eastAsia="zh-CN"/>
                    </w:rPr>
                  </w:pPr>
                  <w:r>
                    <w:rPr>
                      <w:rFonts w:hint="eastAsia" w:cs="Times New Roman"/>
                      <w:bCs/>
                      <w:color w:val="auto"/>
                      <w:sz w:val="18"/>
                      <w:szCs w:val="18"/>
                      <w:lang w:val="en-US" w:eastAsia="zh-CN"/>
                    </w:rPr>
                    <w:t>6.34</w:t>
                  </w:r>
                </w:p>
              </w:tc>
              <w:tc>
                <w:tcPr>
                  <w:tcW w:w="512" w:type="dxa"/>
                  <w:vMerge w:val="restart"/>
                  <w:noWrap w:val="0"/>
                  <w:tcMar>
                    <w:top w:w="15" w:type="dxa"/>
                    <w:left w:w="15" w:type="dxa"/>
                    <w:bottom w:w="15" w:type="dxa"/>
                    <w:right w:w="15" w:type="dxa"/>
                  </w:tcMar>
                  <w:vAlign w:val="center"/>
                </w:tcPr>
                <w:p>
                  <w:pPr>
                    <w:jc w:val="center"/>
                    <w:textAlignment w:val="center"/>
                    <w:rPr>
                      <w:rFonts w:hint="eastAsia" w:ascii="Times New Roman" w:hAnsi="Times New Roman" w:eastAsia="宋体" w:cs="Times New Roman"/>
                      <w:bCs/>
                      <w:color w:val="auto"/>
                      <w:sz w:val="18"/>
                      <w:szCs w:val="18"/>
                      <w:lang w:eastAsia="zh-CN"/>
                    </w:rPr>
                  </w:pPr>
                  <w:r>
                    <w:rPr>
                      <w:rFonts w:hint="eastAsia" w:ascii="Times New Roman" w:hAnsi="Times New Roman" w:eastAsia="宋体" w:cs="Times New Roman"/>
                      <w:bCs/>
                      <w:color w:val="auto"/>
                      <w:sz w:val="18"/>
                      <w:szCs w:val="18"/>
                      <w:lang w:eastAsia="zh-CN"/>
                    </w:rPr>
                    <w:t>无</w:t>
                  </w:r>
                  <w:r>
                    <w:rPr>
                      <w:rFonts w:hint="eastAsia" w:ascii="Times New Roman" w:hAnsi="Times New Roman" w:eastAsia="宋体" w:cs="Times New Roman"/>
                      <w:bCs/>
                      <w:color w:val="auto"/>
                      <w:sz w:val="18"/>
                      <w:szCs w:val="18"/>
                    </w:rPr>
                    <w:t>组织</w:t>
                  </w:r>
                </w:p>
              </w:tc>
              <w:tc>
                <w:tcPr>
                  <w:tcW w:w="775" w:type="dxa"/>
                  <w:noWrap w:val="0"/>
                  <w:tcMar>
                    <w:top w:w="15" w:type="dxa"/>
                    <w:left w:w="15" w:type="dxa"/>
                    <w:bottom w:w="15" w:type="dxa"/>
                    <w:right w:w="15" w:type="dxa"/>
                  </w:tcMar>
                  <w:vAlign w:val="center"/>
                </w:tcPr>
                <w:p>
                  <w:pPr>
                    <w:jc w:val="center"/>
                    <w:textAlignment w:val="center"/>
                    <w:rPr>
                      <w:rFonts w:hint="eastAsia" w:eastAsia="宋体" w:cs="Times New Roman"/>
                      <w:bCs/>
                      <w:color w:val="auto"/>
                      <w:sz w:val="18"/>
                      <w:szCs w:val="18"/>
                      <w:lang w:val="en-US" w:eastAsia="zh-CN"/>
                    </w:rPr>
                  </w:pPr>
                  <w:r>
                    <w:rPr>
                      <w:rFonts w:hint="default" w:ascii="Times New Roman" w:hAnsi="Times New Roman" w:eastAsia="宋体" w:cs="Times New Roman"/>
                      <w:color w:val="auto"/>
                      <w:sz w:val="18"/>
                      <w:szCs w:val="18"/>
                      <w:lang w:val="en-US" w:eastAsia="zh-CN"/>
                    </w:rPr>
                    <w:t>维修</w:t>
                  </w:r>
                  <w:r>
                    <w:rPr>
                      <w:rFonts w:hint="eastAsia" w:ascii="Times New Roman" w:hAnsi="Times New Roman" w:eastAsia="宋体" w:cs="Times New Roman"/>
                      <w:color w:val="auto"/>
                      <w:sz w:val="18"/>
                      <w:szCs w:val="18"/>
                      <w:lang w:val="en-US" w:eastAsia="zh-CN"/>
                    </w:rPr>
                    <w:t>切割粉尘、</w:t>
                  </w:r>
                  <w:r>
                    <w:rPr>
                      <w:rFonts w:hint="eastAsia" w:ascii="Times New Roman" w:hAnsi="Times New Roman" w:eastAsia="宋体" w:cs="Times New Roman"/>
                      <w:color w:val="auto"/>
                      <w:sz w:val="18"/>
                      <w:szCs w:val="18"/>
                      <w:lang w:eastAsia="zh-CN"/>
                    </w:rPr>
                    <w:t>打磨粉尘工序</w:t>
                  </w:r>
                  <w:r>
                    <w:rPr>
                      <w:rFonts w:hint="default" w:ascii="Times New Roman" w:hAnsi="Times New Roman" w:cs="Times New Roman"/>
                      <w:color w:val="auto"/>
                      <w:kern w:val="0"/>
                      <w:sz w:val="18"/>
                      <w:szCs w:val="18"/>
                      <w:lang w:eastAsia="zh-CN"/>
                    </w:rPr>
                    <w:t>移动式除尘器</w:t>
                  </w:r>
                </w:p>
              </w:tc>
              <w:tc>
                <w:tcPr>
                  <w:tcW w:w="688" w:type="dxa"/>
                  <w:noWrap w:val="0"/>
                  <w:vAlign w:val="center"/>
                </w:tcPr>
                <w:p>
                  <w:pPr>
                    <w:jc w:val="center"/>
                    <w:textAlignment w:val="center"/>
                    <w:rPr>
                      <w:rFonts w:hint="eastAsia"/>
                      <w:bCs/>
                      <w:color w:val="auto"/>
                      <w:sz w:val="18"/>
                      <w:szCs w:val="18"/>
                    </w:rPr>
                  </w:pPr>
                  <w:r>
                    <w:rPr>
                      <w:rFonts w:hint="eastAsia" w:ascii="Times New Roman" w:hAnsi="Times New Roman" w:eastAsia="宋体" w:cs="Times New Roman"/>
                      <w:bCs/>
                      <w:color w:val="auto"/>
                      <w:sz w:val="18"/>
                      <w:szCs w:val="18"/>
                      <w:lang w:val="en-US" w:eastAsia="zh-CN"/>
                    </w:rPr>
                    <w:t>--</w:t>
                  </w:r>
                </w:p>
              </w:tc>
              <w:tc>
                <w:tcPr>
                  <w:tcW w:w="700" w:type="dxa"/>
                  <w:noWrap w:val="0"/>
                  <w:vAlign w:val="center"/>
                </w:tcPr>
                <w:p>
                  <w:pPr>
                    <w:jc w:val="center"/>
                    <w:textAlignment w:val="center"/>
                    <w:rPr>
                      <w:rFonts w:hint="default"/>
                      <w:bCs/>
                      <w:color w:val="auto"/>
                      <w:sz w:val="18"/>
                      <w:szCs w:val="18"/>
                      <w:lang w:val="en-US"/>
                    </w:rPr>
                  </w:pPr>
                  <w:r>
                    <w:rPr>
                      <w:rFonts w:hint="eastAsia" w:cs="Times New Roman"/>
                      <w:bCs/>
                      <w:color w:val="auto"/>
                      <w:sz w:val="18"/>
                      <w:szCs w:val="18"/>
                      <w:lang w:val="en-US" w:eastAsia="zh-CN"/>
                    </w:rPr>
                    <w:t>90</w:t>
                  </w:r>
                  <w:r>
                    <w:rPr>
                      <w:rFonts w:hint="eastAsia" w:ascii="Times New Roman" w:hAnsi="Times New Roman" w:eastAsia="宋体" w:cs="Times New Roman"/>
                      <w:bCs/>
                      <w:color w:val="auto"/>
                      <w:sz w:val="18"/>
                      <w:szCs w:val="18"/>
                      <w:lang w:val="en-US" w:eastAsia="zh-CN"/>
                    </w:rPr>
                    <w:t>%</w:t>
                  </w:r>
                </w:p>
              </w:tc>
              <w:tc>
                <w:tcPr>
                  <w:tcW w:w="612" w:type="dxa"/>
                  <w:noWrap w:val="0"/>
                  <w:vAlign w:val="center"/>
                </w:tcPr>
                <w:p>
                  <w:pPr>
                    <w:jc w:val="center"/>
                    <w:textAlignment w:val="center"/>
                    <w:rPr>
                      <w:rFonts w:hint="eastAsia"/>
                      <w:bCs/>
                      <w:color w:val="auto"/>
                      <w:sz w:val="18"/>
                      <w:szCs w:val="18"/>
                    </w:rPr>
                  </w:pPr>
                  <w:r>
                    <w:rPr>
                      <w:rFonts w:hint="eastAsia" w:ascii="Times New Roman" w:hAnsi="Times New Roman" w:cs="Times New Roman"/>
                      <w:color w:val="auto"/>
                      <w:sz w:val="18"/>
                      <w:szCs w:val="18"/>
                      <w:lang w:val="en-US" w:eastAsia="zh-CN"/>
                    </w:rPr>
                    <w:t>95</w:t>
                  </w:r>
                  <w:r>
                    <w:rPr>
                      <w:rFonts w:hint="eastAsia" w:ascii="Times New Roman" w:hAnsi="Times New Roman" w:eastAsia="宋体" w:cs="Times New Roman"/>
                      <w:bCs/>
                      <w:color w:val="auto"/>
                      <w:sz w:val="18"/>
                      <w:szCs w:val="18"/>
                      <w:lang w:val="en-US" w:eastAsia="zh-CN"/>
                    </w:rPr>
                    <w:t>%</w:t>
                  </w:r>
                </w:p>
              </w:tc>
              <w:tc>
                <w:tcPr>
                  <w:tcW w:w="1013" w:type="dxa"/>
                  <w:noWrap w:val="0"/>
                  <w:vAlign w:val="center"/>
                </w:tcPr>
                <w:p>
                  <w:pPr>
                    <w:jc w:val="center"/>
                    <w:textAlignment w:val="center"/>
                    <w:rPr>
                      <w:rFonts w:hint="eastAsia" w:eastAsia="宋体"/>
                      <w:bCs/>
                      <w:color w:val="auto"/>
                      <w:sz w:val="18"/>
                      <w:szCs w:val="18"/>
                      <w:lang w:val="en-US" w:eastAsia="zh-CN"/>
                    </w:rPr>
                  </w:pPr>
                  <w:r>
                    <w:rPr>
                      <w:rFonts w:hint="eastAsia" w:ascii="Times New Roman" w:hAnsi="Times New Roman" w:eastAsia="宋体" w:cs="Times New Roman"/>
                      <w:bCs/>
                      <w:color w:val="auto"/>
                      <w:sz w:val="18"/>
                      <w:szCs w:val="18"/>
                      <w:lang w:val="en-US" w:eastAsia="zh-CN"/>
                    </w:rPr>
                    <w:t>--</w:t>
                  </w:r>
                </w:p>
              </w:tc>
              <w:tc>
                <w:tcPr>
                  <w:tcW w:w="975" w:type="dxa"/>
                  <w:noWrap w:val="0"/>
                  <w:vAlign w:val="center"/>
                </w:tcPr>
                <w:p>
                  <w:pPr>
                    <w:jc w:val="center"/>
                    <w:textAlignment w:val="center"/>
                    <w:rPr>
                      <w:rFonts w:hint="default" w:eastAsia="宋体"/>
                      <w:bCs/>
                      <w:color w:val="auto"/>
                      <w:sz w:val="18"/>
                      <w:szCs w:val="18"/>
                      <w:lang w:val="en-US" w:eastAsia="zh-CN"/>
                    </w:rPr>
                  </w:pPr>
                  <w:r>
                    <w:rPr>
                      <w:rFonts w:hint="eastAsia" w:cs="Times New Roman"/>
                      <w:bCs/>
                      <w:color w:val="auto"/>
                      <w:sz w:val="18"/>
                      <w:szCs w:val="18"/>
                      <w:lang w:val="en-US" w:eastAsia="zh-CN"/>
                    </w:rPr>
                    <w:t>0.5209</w:t>
                  </w:r>
                </w:p>
              </w:tc>
              <w:tc>
                <w:tcPr>
                  <w:tcW w:w="887" w:type="dxa"/>
                  <w:noWrap w:val="0"/>
                  <w:vAlign w:val="center"/>
                </w:tcPr>
                <w:p>
                  <w:pPr>
                    <w:jc w:val="center"/>
                    <w:textAlignment w:val="center"/>
                    <w:rPr>
                      <w:rFonts w:hint="default" w:eastAsia="宋体"/>
                      <w:bCs/>
                      <w:color w:val="auto"/>
                      <w:sz w:val="18"/>
                      <w:szCs w:val="18"/>
                      <w:lang w:val="en-US" w:eastAsia="zh-CN"/>
                    </w:rPr>
                  </w:pPr>
                  <w:r>
                    <w:rPr>
                      <w:rFonts w:hint="eastAsia" w:cs="Times New Roman"/>
                      <w:bCs/>
                      <w:color w:val="auto"/>
                      <w:sz w:val="18"/>
                      <w:szCs w:val="18"/>
                      <w:lang w:val="en-US" w:eastAsia="zh-CN"/>
                    </w:rPr>
                    <w:t>3.1851</w:t>
                  </w:r>
                </w:p>
              </w:tc>
              <w:tc>
                <w:tcPr>
                  <w:tcW w:w="875" w:type="dxa"/>
                  <w:noWrap w:val="0"/>
                  <w:vAlign w:val="center"/>
                </w:tcPr>
                <w:p>
                  <w:pPr>
                    <w:jc w:val="center"/>
                    <w:textAlignment w:val="center"/>
                    <w:rPr>
                      <w:rFonts w:hint="eastAsia"/>
                      <w:bCs/>
                      <w:color w:val="auto"/>
                      <w:sz w:val="18"/>
                      <w:szCs w:val="18"/>
                      <w:lang w:val="en-US" w:eastAsia="zh-CN"/>
                    </w:rPr>
                  </w:pPr>
                  <w:r>
                    <w:rPr>
                      <w:rFonts w:hint="eastAsia" w:eastAsia="宋体"/>
                      <w:bCs/>
                      <w:color w:val="auto"/>
                      <w:sz w:val="18"/>
                      <w:szCs w:val="18"/>
                      <w:lang w:val="en-US" w:eastAsia="zh-CN"/>
                    </w:rPr>
                    <w:t>0.5</w:t>
                  </w:r>
                </w:p>
              </w:tc>
              <w:tc>
                <w:tcPr>
                  <w:tcW w:w="700" w:type="dxa"/>
                  <w:noWrap w:val="0"/>
                  <w:tcMar>
                    <w:top w:w="15" w:type="dxa"/>
                    <w:left w:w="15" w:type="dxa"/>
                    <w:bottom w:w="15" w:type="dxa"/>
                    <w:right w:w="15" w:type="dxa"/>
                  </w:tcMar>
                  <w:vAlign w:val="center"/>
                </w:tcPr>
                <w:p>
                  <w:pPr>
                    <w:jc w:val="center"/>
                    <w:textAlignment w:val="center"/>
                    <w:rPr>
                      <w:rFonts w:hint="default" w:eastAsia="宋体"/>
                      <w:bCs/>
                      <w:color w:val="auto"/>
                      <w:sz w:val="18"/>
                      <w:szCs w:val="18"/>
                      <w:lang w:val="en-US" w:eastAsia="zh-CN"/>
                    </w:rPr>
                  </w:pPr>
                  <w:r>
                    <w:rPr>
                      <w:rFonts w:hint="eastAsia" w:eastAsia="宋体"/>
                      <w:bCs/>
                      <w:color w:val="auto"/>
                      <w:sz w:val="18"/>
                      <w:szCs w:val="18"/>
                      <w:lang w:val="en-US" w:eastAsia="zh-CN"/>
                    </w:rPr>
                    <w:t>/</w:t>
                  </w:r>
                </w:p>
              </w:tc>
              <w:tc>
                <w:tcPr>
                  <w:tcW w:w="665" w:type="dxa"/>
                  <w:noWrap w:val="0"/>
                  <w:tcMar>
                    <w:top w:w="15" w:type="dxa"/>
                    <w:left w:w="15" w:type="dxa"/>
                    <w:bottom w:w="15" w:type="dxa"/>
                    <w:right w:w="15" w:type="dxa"/>
                  </w:tcMar>
                  <w:vAlign w:val="center"/>
                </w:tcPr>
                <w:p>
                  <w:pPr>
                    <w:jc w:val="center"/>
                    <w:textAlignment w:val="center"/>
                    <w:rPr>
                      <w:rFonts w:hint="eastAsia" w:eastAsia="宋体"/>
                      <w:bCs/>
                      <w:color w:val="auto"/>
                      <w:sz w:val="18"/>
                      <w:szCs w:val="18"/>
                      <w:lang w:val="en-US" w:eastAsia="zh-CN"/>
                    </w:rPr>
                  </w:pPr>
                  <w:r>
                    <w:rPr>
                      <w:rFonts w:hint="eastAsia"/>
                      <w:bCs/>
                      <w:color w:val="auto"/>
                      <w:sz w:val="18"/>
                      <w:szCs w:val="18"/>
                      <w:lang w:val="en-US" w:eastAsia="zh-CN"/>
                    </w:rPr>
                    <w:t>7200h</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108" w:type="dxa"/>
                  <w:bottom w:w="0" w:type="dxa"/>
                  <w:right w:w="108" w:type="dxa"/>
                </w:tblCellMar>
              </w:tblPrEx>
              <w:trPr>
                <w:trHeight w:val="545" w:hRule="atLeast"/>
                <w:jc w:val="center"/>
              </w:trPr>
              <w:tc>
                <w:tcPr>
                  <w:tcW w:w="692" w:type="dxa"/>
                  <w:vMerge w:val="continue"/>
                  <w:noWrap w:val="0"/>
                  <w:tcMar>
                    <w:top w:w="15" w:type="dxa"/>
                    <w:left w:w="15" w:type="dxa"/>
                    <w:bottom w:w="15" w:type="dxa"/>
                    <w:right w:w="15" w:type="dxa"/>
                  </w:tcMar>
                  <w:vAlign w:val="center"/>
                </w:tcPr>
                <w:p>
                  <w:pPr>
                    <w:jc w:val="center"/>
                    <w:textAlignment w:val="center"/>
                    <w:rPr>
                      <w:rFonts w:hint="eastAsia" w:ascii="Times New Roman" w:hAnsi="Times New Roman" w:eastAsia="宋体" w:cs="Times New Roman"/>
                      <w:bCs/>
                      <w:color w:val="auto"/>
                      <w:sz w:val="18"/>
                      <w:szCs w:val="18"/>
                      <w:lang w:val="en-US" w:eastAsia="zh-CN"/>
                    </w:rPr>
                  </w:pPr>
                </w:p>
              </w:tc>
              <w:tc>
                <w:tcPr>
                  <w:tcW w:w="693" w:type="dxa"/>
                  <w:vMerge w:val="continue"/>
                  <w:noWrap w:val="0"/>
                  <w:tcMar>
                    <w:top w:w="15" w:type="dxa"/>
                    <w:left w:w="15" w:type="dxa"/>
                    <w:bottom w:w="15" w:type="dxa"/>
                    <w:right w:w="15" w:type="dxa"/>
                  </w:tcMar>
                  <w:vAlign w:val="center"/>
                </w:tcPr>
                <w:p>
                  <w:pPr>
                    <w:jc w:val="center"/>
                    <w:textAlignment w:val="center"/>
                    <w:rPr>
                      <w:rFonts w:hint="eastAsia" w:ascii="Times New Roman" w:hAnsi="Times New Roman" w:eastAsia="宋体" w:cs="Times New Roman"/>
                      <w:bCs/>
                      <w:color w:val="auto"/>
                      <w:sz w:val="18"/>
                      <w:szCs w:val="18"/>
                      <w:lang w:val="en-US" w:eastAsia="zh-CN"/>
                    </w:rPr>
                  </w:pPr>
                </w:p>
              </w:tc>
              <w:tc>
                <w:tcPr>
                  <w:tcW w:w="688" w:type="dxa"/>
                  <w:noWrap w:val="0"/>
                  <w:tcMar>
                    <w:top w:w="15" w:type="dxa"/>
                    <w:left w:w="15" w:type="dxa"/>
                    <w:bottom w:w="15" w:type="dxa"/>
                    <w:right w:w="15" w:type="dxa"/>
                  </w:tcMar>
                  <w:vAlign w:val="center"/>
                </w:tcPr>
                <w:p>
                  <w:pPr>
                    <w:jc w:val="center"/>
                    <w:textAlignment w:val="center"/>
                    <w:rPr>
                      <w:rFonts w:hint="eastAsia" w:eastAsia="宋体" w:cs="Times New Roman"/>
                      <w:bCs/>
                      <w:color w:val="auto"/>
                      <w:sz w:val="18"/>
                      <w:szCs w:val="18"/>
                      <w:lang w:eastAsia="zh-CN"/>
                    </w:rPr>
                  </w:pPr>
                  <w:r>
                    <w:rPr>
                      <w:rFonts w:hint="eastAsia" w:eastAsia="宋体" w:cs="Times New Roman"/>
                      <w:bCs/>
                      <w:color w:val="auto"/>
                      <w:sz w:val="18"/>
                      <w:szCs w:val="18"/>
                      <w:lang w:eastAsia="zh-CN"/>
                    </w:rPr>
                    <w:t>非甲烷总烃</w:t>
                  </w:r>
                </w:p>
              </w:tc>
              <w:tc>
                <w:tcPr>
                  <w:tcW w:w="862" w:type="dxa"/>
                  <w:noWrap w:val="0"/>
                  <w:tcMar>
                    <w:top w:w="15" w:type="dxa"/>
                    <w:left w:w="15" w:type="dxa"/>
                    <w:bottom w:w="15" w:type="dxa"/>
                    <w:right w:w="15" w:type="dxa"/>
                  </w:tcMar>
                  <w:vAlign w:val="center"/>
                </w:tcPr>
                <w:p>
                  <w:pPr>
                    <w:jc w:val="center"/>
                    <w:textAlignment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w:t>
                  </w:r>
                </w:p>
              </w:tc>
              <w:tc>
                <w:tcPr>
                  <w:tcW w:w="838" w:type="dxa"/>
                  <w:noWrap w:val="0"/>
                  <w:tcMar>
                    <w:top w:w="15" w:type="dxa"/>
                    <w:left w:w="15" w:type="dxa"/>
                    <w:bottom w:w="15" w:type="dxa"/>
                    <w:right w:w="15" w:type="dxa"/>
                  </w:tcMar>
                  <w:vAlign w:val="center"/>
                </w:tcPr>
                <w:p>
                  <w:pPr>
                    <w:jc w:val="center"/>
                    <w:textAlignment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0.</w:t>
                  </w:r>
                  <w:r>
                    <w:rPr>
                      <w:rFonts w:hint="eastAsia" w:cs="Times New Roman"/>
                      <w:bCs/>
                      <w:color w:val="auto"/>
                      <w:sz w:val="18"/>
                      <w:szCs w:val="18"/>
                      <w:lang w:val="en-US" w:eastAsia="zh-CN"/>
                    </w:rPr>
                    <w:t>0002</w:t>
                  </w:r>
                </w:p>
              </w:tc>
              <w:tc>
                <w:tcPr>
                  <w:tcW w:w="850" w:type="dxa"/>
                  <w:noWrap w:val="0"/>
                  <w:tcMar>
                    <w:top w:w="15" w:type="dxa"/>
                    <w:left w:w="15" w:type="dxa"/>
                    <w:bottom w:w="15" w:type="dxa"/>
                    <w:right w:w="15" w:type="dxa"/>
                  </w:tcMar>
                  <w:vAlign w:val="center"/>
                </w:tcPr>
                <w:p>
                  <w:pPr>
                    <w:jc w:val="center"/>
                    <w:textAlignment w:val="center"/>
                    <w:rPr>
                      <w:rFonts w:hint="default" w:ascii="Times New Roman" w:hAnsi="Times New Roman" w:eastAsia="宋体" w:cs="Times New Roman"/>
                      <w:bCs/>
                      <w:color w:val="auto"/>
                      <w:sz w:val="18"/>
                      <w:szCs w:val="18"/>
                      <w:lang w:val="en-US" w:eastAsia="zh-CN"/>
                    </w:rPr>
                  </w:pPr>
                  <w:r>
                    <w:rPr>
                      <w:rFonts w:hint="eastAsia" w:cs="Times New Roman"/>
                      <w:bCs/>
                      <w:color w:val="auto"/>
                      <w:sz w:val="18"/>
                      <w:szCs w:val="18"/>
                      <w:lang w:val="en-US" w:eastAsia="zh-CN"/>
                    </w:rPr>
                    <w:t>0.0011</w:t>
                  </w:r>
                </w:p>
              </w:tc>
              <w:tc>
                <w:tcPr>
                  <w:tcW w:w="512" w:type="dxa"/>
                  <w:vMerge w:val="continue"/>
                  <w:noWrap w:val="0"/>
                  <w:tcMar>
                    <w:top w:w="15" w:type="dxa"/>
                    <w:left w:w="15" w:type="dxa"/>
                    <w:bottom w:w="15" w:type="dxa"/>
                    <w:right w:w="15" w:type="dxa"/>
                  </w:tcMar>
                  <w:vAlign w:val="center"/>
                </w:tcPr>
                <w:p>
                  <w:pPr>
                    <w:jc w:val="center"/>
                    <w:textAlignment w:val="center"/>
                    <w:rPr>
                      <w:rFonts w:hint="eastAsia" w:ascii="Times New Roman" w:hAnsi="Times New Roman" w:eastAsia="宋体" w:cs="Times New Roman"/>
                      <w:bCs/>
                      <w:color w:val="auto"/>
                      <w:sz w:val="18"/>
                      <w:szCs w:val="18"/>
                      <w:lang w:eastAsia="zh-CN"/>
                    </w:rPr>
                  </w:pPr>
                </w:p>
              </w:tc>
              <w:tc>
                <w:tcPr>
                  <w:tcW w:w="775" w:type="dxa"/>
                  <w:noWrap w:val="0"/>
                  <w:tcMar>
                    <w:top w:w="15" w:type="dxa"/>
                    <w:left w:w="15" w:type="dxa"/>
                    <w:bottom w:w="15" w:type="dxa"/>
                    <w:right w:w="15" w:type="dxa"/>
                  </w:tcMar>
                  <w:vAlign w:val="center"/>
                </w:tcPr>
                <w:p>
                  <w:pPr>
                    <w:jc w:val="center"/>
                    <w:textAlignment w:val="center"/>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w:t>
                  </w:r>
                </w:p>
              </w:tc>
              <w:tc>
                <w:tcPr>
                  <w:tcW w:w="688" w:type="dxa"/>
                  <w:noWrap w:val="0"/>
                  <w:vAlign w:val="center"/>
                </w:tcPr>
                <w:p>
                  <w:pPr>
                    <w:jc w:val="center"/>
                    <w:textAlignment w:val="center"/>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w:t>
                  </w:r>
                </w:p>
              </w:tc>
              <w:tc>
                <w:tcPr>
                  <w:tcW w:w="700" w:type="dxa"/>
                  <w:noWrap w:val="0"/>
                  <w:vAlign w:val="center"/>
                </w:tcPr>
                <w:p>
                  <w:pPr>
                    <w:jc w:val="center"/>
                    <w:textAlignment w:val="center"/>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w:t>
                  </w:r>
                </w:p>
              </w:tc>
              <w:tc>
                <w:tcPr>
                  <w:tcW w:w="612" w:type="dxa"/>
                  <w:noWrap w:val="0"/>
                  <w:vAlign w:val="center"/>
                </w:tcPr>
                <w:p>
                  <w:pPr>
                    <w:jc w:val="center"/>
                    <w:textAlignment w:val="center"/>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w:t>
                  </w:r>
                </w:p>
              </w:tc>
              <w:tc>
                <w:tcPr>
                  <w:tcW w:w="1013" w:type="dxa"/>
                  <w:noWrap w:val="0"/>
                  <w:vAlign w:val="center"/>
                </w:tcPr>
                <w:p>
                  <w:pPr>
                    <w:jc w:val="center"/>
                    <w:textAlignment w:val="center"/>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w:t>
                  </w:r>
                </w:p>
              </w:tc>
              <w:tc>
                <w:tcPr>
                  <w:tcW w:w="975" w:type="dxa"/>
                  <w:noWrap w:val="0"/>
                  <w:vAlign w:val="center"/>
                </w:tcPr>
                <w:p>
                  <w:pPr>
                    <w:jc w:val="center"/>
                    <w:textAlignment w:val="center"/>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0.</w:t>
                  </w:r>
                  <w:r>
                    <w:rPr>
                      <w:rFonts w:hint="eastAsia" w:cs="Times New Roman"/>
                      <w:bCs/>
                      <w:color w:val="auto"/>
                      <w:sz w:val="18"/>
                      <w:szCs w:val="18"/>
                      <w:lang w:val="en-US" w:eastAsia="zh-CN"/>
                    </w:rPr>
                    <w:t>0002</w:t>
                  </w:r>
                </w:p>
              </w:tc>
              <w:tc>
                <w:tcPr>
                  <w:tcW w:w="887" w:type="dxa"/>
                  <w:noWrap w:val="0"/>
                  <w:vAlign w:val="center"/>
                </w:tcPr>
                <w:p>
                  <w:pPr>
                    <w:jc w:val="center"/>
                    <w:textAlignment w:val="center"/>
                    <w:rPr>
                      <w:rFonts w:hint="eastAsia" w:ascii="Times New Roman" w:hAnsi="Times New Roman" w:eastAsia="宋体" w:cs="Times New Roman"/>
                      <w:bCs/>
                      <w:color w:val="auto"/>
                      <w:sz w:val="18"/>
                      <w:szCs w:val="18"/>
                      <w:lang w:val="en-US" w:eastAsia="zh-CN"/>
                    </w:rPr>
                  </w:pPr>
                  <w:r>
                    <w:rPr>
                      <w:rFonts w:hint="eastAsia" w:cs="Times New Roman"/>
                      <w:bCs/>
                      <w:color w:val="auto"/>
                      <w:sz w:val="18"/>
                      <w:szCs w:val="18"/>
                      <w:lang w:val="en-US" w:eastAsia="zh-CN"/>
                    </w:rPr>
                    <w:t>0.0011</w:t>
                  </w:r>
                </w:p>
              </w:tc>
              <w:tc>
                <w:tcPr>
                  <w:tcW w:w="875" w:type="dxa"/>
                  <w:noWrap w:val="0"/>
                  <w:vAlign w:val="center"/>
                </w:tcPr>
                <w:p>
                  <w:pPr>
                    <w:jc w:val="center"/>
                    <w:textAlignment w:val="center"/>
                    <w:rPr>
                      <w:rFonts w:hint="eastAsia"/>
                      <w:bCs/>
                      <w:color w:val="auto"/>
                      <w:sz w:val="18"/>
                      <w:szCs w:val="18"/>
                      <w:lang w:val="en-US" w:eastAsia="zh-CN"/>
                    </w:rPr>
                  </w:pPr>
                  <w:r>
                    <w:rPr>
                      <w:rFonts w:hint="default" w:ascii="Times New Roman" w:hAnsi="Times New Roman" w:eastAsia="宋体" w:cs="Times New Roman"/>
                      <w:bCs/>
                      <w:color w:val="auto"/>
                      <w:sz w:val="18"/>
                      <w:szCs w:val="18"/>
                      <w:lang w:val="en-US" w:eastAsia="zh-CN"/>
                    </w:rPr>
                    <w:t>6.0</w:t>
                  </w:r>
                </w:p>
              </w:tc>
              <w:tc>
                <w:tcPr>
                  <w:tcW w:w="700" w:type="dxa"/>
                  <w:noWrap w:val="0"/>
                  <w:tcMar>
                    <w:top w:w="15" w:type="dxa"/>
                    <w:left w:w="15" w:type="dxa"/>
                    <w:bottom w:w="15" w:type="dxa"/>
                    <w:right w:w="15" w:type="dxa"/>
                  </w:tcMar>
                  <w:vAlign w:val="center"/>
                </w:tcPr>
                <w:p>
                  <w:pPr>
                    <w:jc w:val="center"/>
                    <w:textAlignment w:val="center"/>
                    <w:rPr>
                      <w:rFonts w:hint="eastAsia" w:ascii="Times New Roman" w:hAnsi="Times New Roman" w:eastAsia="宋体" w:cs="Times New Roman"/>
                      <w:bCs/>
                      <w:color w:val="auto"/>
                      <w:sz w:val="18"/>
                      <w:szCs w:val="18"/>
                      <w:lang w:val="en-US" w:eastAsia="zh-CN"/>
                    </w:rPr>
                  </w:pPr>
                  <w:r>
                    <w:rPr>
                      <w:rFonts w:hint="eastAsia" w:eastAsia="宋体"/>
                      <w:bCs/>
                      <w:color w:val="auto"/>
                      <w:sz w:val="18"/>
                      <w:szCs w:val="18"/>
                      <w:lang w:val="en-US" w:eastAsia="zh-CN"/>
                    </w:rPr>
                    <w:t>/</w:t>
                  </w:r>
                </w:p>
              </w:tc>
              <w:tc>
                <w:tcPr>
                  <w:tcW w:w="665" w:type="dxa"/>
                  <w:noWrap w:val="0"/>
                  <w:tcMar>
                    <w:top w:w="15" w:type="dxa"/>
                    <w:left w:w="15" w:type="dxa"/>
                    <w:bottom w:w="15" w:type="dxa"/>
                    <w:right w:w="15" w:type="dxa"/>
                  </w:tcMar>
                  <w:vAlign w:val="center"/>
                </w:tcPr>
                <w:p>
                  <w:pPr>
                    <w:jc w:val="center"/>
                    <w:textAlignment w:val="center"/>
                    <w:rPr>
                      <w:rFonts w:hint="eastAsia"/>
                      <w:bCs/>
                      <w:color w:val="auto"/>
                      <w:sz w:val="18"/>
                      <w:szCs w:val="18"/>
                      <w:lang w:val="en-US" w:eastAsia="zh-CN"/>
                    </w:rPr>
                  </w:pPr>
                  <w:r>
                    <w:rPr>
                      <w:rFonts w:hint="eastAsia"/>
                      <w:bCs/>
                      <w:color w:val="auto"/>
                      <w:sz w:val="18"/>
                      <w:szCs w:val="18"/>
                      <w:lang w:val="en-US" w:eastAsia="zh-CN"/>
                    </w:rPr>
                    <w:t>7200h</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108" w:type="dxa"/>
                  <w:bottom w:w="0" w:type="dxa"/>
                  <w:right w:w="108" w:type="dxa"/>
                </w:tblCellMar>
              </w:tblPrEx>
              <w:trPr>
                <w:trHeight w:val="545" w:hRule="atLeast"/>
                <w:jc w:val="center"/>
              </w:trPr>
              <w:tc>
                <w:tcPr>
                  <w:tcW w:w="692" w:type="dxa"/>
                  <w:noWrap w:val="0"/>
                  <w:vAlign w:val="center"/>
                </w:tcPr>
                <w:p>
                  <w:pPr>
                    <w:jc w:val="center"/>
                    <w:textAlignment w:val="center"/>
                    <w:rPr>
                      <w:rFonts w:hint="eastAsia" w:eastAsia="宋体"/>
                      <w:sz w:val="18"/>
                      <w:szCs w:val="18"/>
                      <w:lang w:eastAsia="zh-CN"/>
                    </w:rPr>
                  </w:pPr>
                  <w:r>
                    <w:rPr>
                      <w:rFonts w:hint="eastAsia"/>
                      <w:sz w:val="18"/>
                      <w:szCs w:val="18"/>
                      <w:lang w:eastAsia="zh-CN"/>
                    </w:rPr>
                    <w:t>危废仓库</w:t>
                  </w:r>
                </w:p>
              </w:tc>
              <w:tc>
                <w:tcPr>
                  <w:tcW w:w="693" w:type="dxa"/>
                  <w:noWrap w:val="0"/>
                  <w:vAlign w:val="center"/>
                </w:tcPr>
                <w:p>
                  <w:pPr>
                    <w:jc w:val="center"/>
                    <w:textAlignment w:val="center"/>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危险废物</w:t>
                  </w:r>
                </w:p>
              </w:tc>
              <w:tc>
                <w:tcPr>
                  <w:tcW w:w="6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shd w:val="clear" w:color="auto" w:fill="auto"/>
                      <w:lang w:val="en-US" w:eastAsia="zh-CN" w:bidi="ar"/>
                    </w:rPr>
                  </w:pPr>
                  <w:r>
                    <w:rPr>
                      <w:rFonts w:hint="default" w:ascii="Times New Roman" w:hAnsi="Times New Roman" w:eastAsia="宋体" w:cs="Times New Roman"/>
                      <w:i w:val="0"/>
                      <w:iCs w:val="0"/>
                      <w:color w:val="auto"/>
                      <w:kern w:val="0"/>
                      <w:sz w:val="18"/>
                      <w:szCs w:val="18"/>
                      <w:u w:val="none"/>
                      <w:shd w:val="clear" w:color="auto" w:fill="auto"/>
                      <w:lang w:val="en-US" w:eastAsia="zh-CN" w:bidi="ar"/>
                    </w:rPr>
                    <w:t>臭气浓度</w:t>
                  </w:r>
                </w:p>
              </w:tc>
              <w:tc>
                <w:tcPr>
                  <w:tcW w:w="862" w:type="dxa"/>
                  <w:noWrap w:val="0"/>
                  <w:vAlign w:val="center"/>
                </w:tcPr>
                <w:p>
                  <w:pPr>
                    <w:jc w:val="center"/>
                    <w:textAlignment w:val="center"/>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w:t>
                  </w:r>
                </w:p>
              </w:tc>
              <w:tc>
                <w:tcPr>
                  <w:tcW w:w="838" w:type="dxa"/>
                  <w:noWrap w:val="0"/>
                  <w:vAlign w:val="center"/>
                </w:tcPr>
                <w:p>
                  <w:pPr>
                    <w:jc w:val="center"/>
                    <w:textAlignment w:val="center"/>
                    <w:rPr>
                      <w:rFonts w:hint="eastAsia" w:ascii="Times New Roman" w:hAnsi="Times New Roman" w:cs="Times New Roman"/>
                      <w:color w:val="auto"/>
                      <w:sz w:val="18"/>
                      <w:szCs w:val="18"/>
                      <w:lang w:val="en-US" w:eastAsia="zh-CN"/>
                    </w:rPr>
                  </w:pPr>
                  <w:r>
                    <w:rPr>
                      <w:rFonts w:hint="eastAsia" w:ascii="Times New Roman" w:hAnsi="Times New Roman" w:eastAsia="宋体" w:cs="Times New Roman"/>
                      <w:bCs/>
                      <w:color w:val="auto"/>
                      <w:sz w:val="18"/>
                      <w:szCs w:val="18"/>
                      <w:lang w:val="en-US" w:eastAsia="zh-CN"/>
                    </w:rPr>
                    <w:t>--</w:t>
                  </w:r>
                </w:p>
              </w:tc>
              <w:tc>
                <w:tcPr>
                  <w:tcW w:w="850" w:type="dxa"/>
                  <w:noWrap w:val="0"/>
                  <w:vAlign w:val="center"/>
                </w:tcPr>
                <w:p>
                  <w:pPr>
                    <w:jc w:val="center"/>
                    <w:textAlignment w:val="center"/>
                    <w:rPr>
                      <w:rFonts w:hint="default" w:ascii="Times New Roman" w:hAnsi="Times New Roman" w:cs="Times New Roman"/>
                      <w:color w:val="auto"/>
                      <w:sz w:val="18"/>
                      <w:szCs w:val="18"/>
                      <w:lang w:val="en-US" w:eastAsia="zh-CN"/>
                    </w:rPr>
                  </w:pPr>
                  <w:r>
                    <w:rPr>
                      <w:rFonts w:hint="eastAsia" w:ascii="Times New Roman" w:hAnsi="Times New Roman" w:eastAsia="宋体" w:cs="Times New Roman"/>
                      <w:bCs/>
                      <w:color w:val="auto"/>
                      <w:sz w:val="18"/>
                      <w:szCs w:val="18"/>
                      <w:lang w:val="en-US" w:eastAsia="zh-CN"/>
                    </w:rPr>
                    <w:t>--</w:t>
                  </w:r>
                </w:p>
              </w:tc>
              <w:tc>
                <w:tcPr>
                  <w:tcW w:w="512" w:type="dxa"/>
                  <w:noWrap w:val="0"/>
                  <w:vAlign w:val="center"/>
                </w:tcPr>
                <w:p>
                  <w:pPr>
                    <w:jc w:val="center"/>
                    <w:textAlignment w:val="center"/>
                    <w:rPr>
                      <w:rFonts w:hint="eastAsia" w:ascii="Times New Roman" w:hAnsi="Times New Roman" w:eastAsia="宋体" w:cs="Times New Roman"/>
                      <w:bCs/>
                      <w:color w:val="auto"/>
                      <w:sz w:val="18"/>
                      <w:szCs w:val="18"/>
                      <w:lang w:eastAsia="zh-CN"/>
                    </w:rPr>
                  </w:pPr>
                  <w:r>
                    <w:rPr>
                      <w:rFonts w:hint="eastAsia" w:ascii="Times New Roman" w:hAnsi="Times New Roman" w:eastAsia="宋体" w:cs="Times New Roman"/>
                      <w:bCs/>
                      <w:color w:val="auto"/>
                      <w:sz w:val="18"/>
                      <w:szCs w:val="18"/>
                      <w:lang w:eastAsia="zh-CN"/>
                    </w:rPr>
                    <w:t>无</w:t>
                  </w:r>
                  <w:r>
                    <w:rPr>
                      <w:rFonts w:hint="eastAsia" w:ascii="Times New Roman" w:hAnsi="Times New Roman" w:eastAsia="宋体" w:cs="Times New Roman"/>
                      <w:bCs/>
                      <w:color w:val="auto"/>
                      <w:sz w:val="18"/>
                      <w:szCs w:val="18"/>
                    </w:rPr>
                    <w:t>组织</w:t>
                  </w:r>
                </w:p>
              </w:tc>
              <w:tc>
                <w:tcPr>
                  <w:tcW w:w="775" w:type="dxa"/>
                  <w:noWrap w:val="0"/>
                  <w:vAlign w:val="center"/>
                </w:tcPr>
                <w:p>
                  <w:pPr>
                    <w:jc w:val="center"/>
                    <w:textAlignment w:val="center"/>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w:t>
                  </w:r>
                </w:p>
              </w:tc>
              <w:tc>
                <w:tcPr>
                  <w:tcW w:w="688" w:type="dxa"/>
                  <w:noWrap w:val="0"/>
                  <w:vAlign w:val="center"/>
                </w:tcPr>
                <w:p>
                  <w:pPr>
                    <w:jc w:val="center"/>
                    <w:textAlignment w:val="center"/>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w:t>
                  </w:r>
                </w:p>
              </w:tc>
              <w:tc>
                <w:tcPr>
                  <w:tcW w:w="700" w:type="dxa"/>
                  <w:noWrap w:val="0"/>
                  <w:vAlign w:val="center"/>
                </w:tcPr>
                <w:p>
                  <w:pPr>
                    <w:jc w:val="center"/>
                    <w:textAlignment w:val="center"/>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w:t>
                  </w:r>
                </w:p>
              </w:tc>
              <w:tc>
                <w:tcPr>
                  <w:tcW w:w="612" w:type="dxa"/>
                  <w:noWrap w:val="0"/>
                  <w:vAlign w:val="center"/>
                </w:tcPr>
                <w:p>
                  <w:pPr>
                    <w:jc w:val="center"/>
                    <w:textAlignment w:val="center"/>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w:t>
                  </w:r>
                </w:p>
              </w:tc>
              <w:tc>
                <w:tcPr>
                  <w:tcW w:w="1013" w:type="dxa"/>
                  <w:noWrap w:val="0"/>
                  <w:vAlign w:val="center"/>
                </w:tcPr>
                <w:p>
                  <w:pPr>
                    <w:jc w:val="center"/>
                    <w:textAlignment w:val="center"/>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w:t>
                  </w:r>
                </w:p>
              </w:tc>
              <w:tc>
                <w:tcPr>
                  <w:tcW w:w="975" w:type="dxa"/>
                  <w:noWrap w:val="0"/>
                  <w:vAlign w:val="center"/>
                </w:tcPr>
                <w:p>
                  <w:pPr>
                    <w:jc w:val="center"/>
                    <w:textAlignment w:val="center"/>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w:t>
                  </w:r>
                </w:p>
              </w:tc>
              <w:tc>
                <w:tcPr>
                  <w:tcW w:w="887" w:type="dxa"/>
                  <w:noWrap w:val="0"/>
                  <w:vAlign w:val="center"/>
                </w:tcPr>
                <w:p>
                  <w:pPr>
                    <w:jc w:val="center"/>
                    <w:textAlignment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w:t>
                  </w:r>
                </w:p>
              </w:tc>
              <w:tc>
                <w:tcPr>
                  <w:tcW w:w="875" w:type="dxa"/>
                  <w:noWrap w:val="0"/>
                  <w:vAlign w:val="center"/>
                </w:tcPr>
                <w:p>
                  <w:pPr>
                    <w:jc w:val="center"/>
                    <w:textAlignment w:val="center"/>
                    <w:rPr>
                      <w:rFonts w:hint="eastAsia"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20（无量纲）</w:t>
                  </w:r>
                </w:p>
              </w:tc>
              <w:tc>
                <w:tcPr>
                  <w:tcW w:w="700" w:type="dxa"/>
                  <w:noWrap w:val="0"/>
                  <w:vAlign w:val="center"/>
                </w:tcPr>
                <w:p>
                  <w:pPr>
                    <w:jc w:val="center"/>
                    <w:textAlignment w:val="center"/>
                    <w:rPr>
                      <w:rFonts w:hint="eastAsia" w:ascii="Times New Roman" w:hAnsi="Times New Roman" w:eastAsia="宋体"/>
                      <w:bCs/>
                      <w:color w:val="auto"/>
                      <w:kern w:val="2"/>
                      <w:sz w:val="18"/>
                      <w:szCs w:val="18"/>
                      <w:lang w:val="en-US" w:eastAsia="zh-CN" w:bidi="ar-SA"/>
                    </w:rPr>
                  </w:pPr>
                  <w:r>
                    <w:rPr>
                      <w:rFonts w:hint="eastAsia" w:eastAsia="宋体"/>
                      <w:bCs/>
                      <w:color w:val="auto"/>
                      <w:sz w:val="18"/>
                      <w:szCs w:val="18"/>
                      <w:lang w:val="en-US" w:eastAsia="zh-CN"/>
                    </w:rPr>
                    <w:t>/</w:t>
                  </w:r>
                </w:p>
              </w:tc>
              <w:tc>
                <w:tcPr>
                  <w:tcW w:w="0" w:type="auto"/>
                  <w:noWrap w:val="0"/>
                  <w:vAlign w:val="center"/>
                </w:tcPr>
                <w:p>
                  <w:pPr>
                    <w:jc w:val="center"/>
                    <w:textAlignment w:val="center"/>
                    <w:rPr>
                      <w:rFonts w:hint="eastAsia"/>
                      <w:bCs/>
                      <w:color w:val="auto"/>
                      <w:sz w:val="18"/>
                      <w:szCs w:val="18"/>
                      <w:lang w:val="en-US" w:eastAsia="zh-CN"/>
                    </w:rPr>
                  </w:pPr>
                  <w:r>
                    <w:rPr>
                      <w:rFonts w:hint="eastAsia"/>
                      <w:bCs/>
                      <w:color w:val="auto"/>
                      <w:sz w:val="18"/>
                      <w:szCs w:val="18"/>
                      <w:lang w:val="en-US" w:eastAsia="zh-CN"/>
                    </w:rPr>
                    <w:t>7200h</w:t>
                  </w:r>
                </w:p>
              </w:tc>
            </w:tr>
          </w:tbl>
          <w:p>
            <w:pPr>
              <w:adjustRightInd w:val="0"/>
              <w:snapToGrid w:val="0"/>
              <w:spacing w:line="200" w:lineRule="exact"/>
              <w:jc w:val="both"/>
              <w:rPr>
                <w:rFonts w:ascii="宋体" w:hAnsi="宋体" w:cs="宋体"/>
                <w:bCs/>
                <w:szCs w:val="21"/>
              </w:rPr>
            </w:pPr>
          </w:p>
        </w:tc>
      </w:tr>
    </w:tbl>
    <w:p>
      <w:pPr>
        <w:pStyle w:val="11"/>
        <w:ind w:left="0" w:leftChars="0" w:firstLine="0" w:firstLineChars="0"/>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2"/>
        <w:tblW w:w="9173" w:type="dxa"/>
        <w:tblInd w:w="-2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8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8" w:hRule="atLeast"/>
        </w:trPr>
        <w:tc>
          <w:tcPr>
            <w:tcW w:w="791" w:type="dxa"/>
          </w:tcPr>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t>运</w:t>
            </w:r>
          </w:p>
          <w:p>
            <w:pPr>
              <w:jc w:val="center"/>
            </w:pPr>
            <w:r>
              <w:t>营</w:t>
            </w:r>
          </w:p>
          <w:p>
            <w:pPr>
              <w:jc w:val="center"/>
            </w:pPr>
            <w:r>
              <w:t>期</w:t>
            </w:r>
          </w:p>
          <w:p>
            <w:pPr>
              <w:jc w:val="center"/>
            </w:pPr>
            <w:r>
              <w:t>环</w:t>
            </w:r>
          </w:p>
          <w:p>
            <w:pPr>
              <w:jc w:val="center"/>
            </w:pPr>
            <w:r>
              <w:t>境</w:t>
            </w:r>
          </w:p>
          <w:p>
            <w:pPr>
              <w:jc w:val="center"/>
            </w:pPr>
            <w:r>
              <w:t>影</w:t>
            </w:r>
          </w:p>
          <w:p>
            <w:pPr>
              <w:jc w:val="center"/>
            </w:pPr>
            <w:r>
              <w:t>响</w:t>
            </w:r>
          </w:p>
          <w:p>
            <w:pPr>
              <w:jc w:val="center"/>
            </w:pPr>
            <w:r>
              <w:t>和</w:t>
            </w:r>
          </w:p>
          <w:p>
            <w:pPr>
              <w:jc w:val="center"/>
            </w:pPr>
            <w:r>
              <w:t>保</w:t>
            </w:r>
          </w:p>
          <w:p>
            <w:pPr>
              <w:jc w:val="center"/>
            </w:pPr>
            <w:r>
              <w:t>护</w:t>
            </w:r>
          </w:p>
          <w:p>
            <w:pPr>
              <w:jc w:val="center"/>
            </w:pPr>
            <w:r>
              <w:t>措</w:t>
            </w:r>
          </w:p>
          <w:p>
            <w:pPr>
              <w:jc w:val="center"/>
            </w:pPr>
            <w:r>
              <w:t>施</w:t>
            </w:r>
          </w:p>
        </w:tc>
        <w:tc>
          <w:tcPr>
            <w:tcW w:w="8382" w:type="dxa"/>
          </w:tcPr>
          <w:p>
            <w:pPr>
              <w:spacing w:line="500" w:lineRule="exact"/>
              <w:ind w:firstLine="422" w:firstLineChars="200"/>
              <w:rPr>
                <w:b/>
                <w:bCs/>
              </w:rPr>
            </w:pPr>
            <w:r>
              <w:rPr>
                <w:b/>
                <w:bCs/>
              </w:rPr>
              <w:t>1、废气源强核算</w:t>
            </w:r>
          </w:p>
          <w:p>
            <w:pPr>
              <w:spacing w:line="500" w:lineRule="exact"/>
              <w:ind w:firstLine="420" w:firstLineChars="200"/>
              <w:rPr>
                <w:rFonts w:ascii="Times New Roman" w:hAnsi="Times New Roman" w:eastAsia="宋体" w:cs="Times New Roman"/>
                <w:b w:val="0"/>
                <w:bCs w:val="0"/>
                <w:color w:val="auto"/>
              </w:rPr>
            </w:pPr>
            <w:r>
              <w:rPr>
                <w:rFonts w:hint="eastAsia" w:ascii="Times New Roman" w:hAnsi="Times New Roman" w:eastAsia="宋体" w:cs="Times New Roman"/>
                <w:b w:val="0"/>
                <w:bCs w:val="0"/>
                <w:color w:val="auto"/>
                <w:lang w:val="en-US" w:eastAsia="zh-CN"/>
              </w:rPr>
              <w:t>现有项目污染物产生与本项目有交叉或覆盖情况，因此本次环评对全厂</w:t>
            </w:r>
            <w:r>
              <w:rPr>
                <w:rFonts w:hint="eastAsia" w:ascii="Times New Roman" w:hAnsi="Times New Roman" w:eastAsia="宋体" w:cs="Times New Roman"/>
                <w:b w:val="0"/>
                <w:bCs w:val="0"/>
                <w:color w:val="auto"/>
                <w:lang w:eastAsia="zh-CN"/>
              </w:rPr>
              <w:t>燃烧废气、金属加工有机废气</w:t>
            </w:r>
            <w:r>
              <w:rPr>
                <w:rFonts w:hint="eastAsia" w:cs="Times New Roman"/>
                <w:b w:val="0"/>
                <w:bCs w:val="0"/>
                <w:color w:val="auto"/>
                <w:lang w:eastAsia="zh-CN"/>
              </w:rPr>
              <w:t>、设备维修气割</w:t>
            </w:r>
            <w:r>
              <w:rPr>
                <w:rFonts w:hint="eastAsia" w:ascii="Times New Roman" w:hAnsi="Times New Roman" w:eastAsia="宋体" w:cs="Times New Roman"/>
                <w:b w:val="0"/>
                <w:bCs w:val="0"/>
                <w:color w:val="auto"/>
                <w:lang w:val="en-US" w:eastAsia="zh-CN"/>
              </w:rPr>
              <w:t>源强按照实际情况进行重新核定。</w:t>
            </w:r>
          </w:p>
          <w:p>
            <w:pPr>
              <w:spacing w:line="500" w:lineRule="exact"/>
              <w:ind w:firstLine="420" w:firstLineChars="200"/>
              <w:rPr>
                <w:rFonts w:hint="eastAsia" w:ascii="Times New Roman" w:hAnsi="Times New Roman" w:eastAsia="宋体" w:cs="Times New Roman"/>
                <w:b w:val="0"/>
                <w:bCs w:val="0"/>
                <w:color w:val="auto"/>
                <w:lang w:eastAsia="zh-CN"/>
              </w:rPr>
            </w:pPr>
            <w:r>
              <w:rPr>
                <w:rFonts w:ascii="Times New Roman" w:hAnsi="Times New Roman" w:eastAsia="宋体" w:cs="Times New Roman"/>
                <w:b w:val="0"/>
                <w:bCs w:val="0"/>
                <w:color w:val="auto"/>
              </w:rPr>
              <w:t>（1）</w:t>
            </w:r>
            <w:r>
              <w:rPr>
                <w:rFonts w:hint="eastAsia" w:ascii="Times New Roman" w:hAnsi="Times New Roman" w:eastAsia="宋体" w:cs="Times New Roman"/>
                <w:b w:val="0"/>
                <w:bCs w:val="0"/>
                <w:color w:val="auto"/>
                <w:lang w:eastAsia="zh-CN"/>
              </w:rPr>
              <w:t>燃烧废气</w:t>
            </w:r>
          </w:p>
          <w:p>
            <w:pPr>
              <w:spacing w:line="500" w:lineRule="exact"/>
              <w:ind w:firstLine="420" w:firstLineChars="200"/>
              <w:rPr>
                <w:rFonts w:ascii="Times New Roman" w:hAnsi="Times New Roman" w:eastAsia="宋体" w:cs="Times New Roman"/>
                <w:b w:val="0"/>
                <w:bCs w:val="0"/>
              </w:rPr>
            </w:pPr>
            <w:r>
              <w:rPr>
                <w:rFonts w:hint="eastAsia" w:ascii="Times New Roman" w:hAnsi="Times New Roman" w:eastAsia="宋体" w:cs="Times New Roman"/>
                <w:b w:val="0"/>
                <w:bCs w:val="0"/>
              </w:rPr>
              <w:t>本项目</w:t>
            </w:r>
            <w:r>
              <w:rPr>
                <w:rFonts w:hint="eastAsia" w:ascii="Times New Roman" w:hAnsi="Times New Roman" w:eastAsia="宋体" w:cs="Times New Roman"/>
                <w:b w:val="0"/>
                <w:bCs w:val="0"/>
                <w:lang w:eastAsia="zh-CN"/>
              </w:rPr>
              <w:t>锻造车间加热工序</w:t>
            </w:r>
            <w:r>
              <w:rPr>
                <w:rFonts w:hint="eastAsia" w:ascii="Times New Roman" w:hAnsi="Times New Roman" w:eastAsia="宋体" w:cs="Times New Roman"/>
                <w:b w:val="0"/>
                <w:bCs w:val="0"/>
              </w:rPr>
              <w:t>使用</w:t>
            </w:r>
            <w:r>
              <w:rPr>
                <w:rFonts w:ascii="Times New Roman" w:hAnsi="Times New Roman" w:eastAsia="宋体" w:cs="Times New Roman"/>
                <w:b w:val="0"/>
                <w:bCs w:val="0"/>
              </w:rPr>
              <w:t>天然气作为热源</w:t>
            </w:r>
            <w:r>
              <w:rPr>
                <w:rFonts w:hint="eastAsia" w:ascii="Times New Roman" w:hAnsi="Times New Roman" w:eastAsia="宋体" w:cs="Times New Roman"/>
                <w:b w:val="0"/>
                <w:bCs w:val="0"/>
              </w:rPr>
              <w:t>。</w:t>
            </w:r>
            <w:r>
              <w:rPr>
                <w:rFonts w:ascii="Times New Roman" w:hAnsi="Times New Roman" w:eastAsia="宋体" w:cs="Times New Roman"/>
                <w:b w:val="0"/>
                <w:bCs w:val="0"/>
              </w:rPr>
              <w:t>参照《</w:t>
            </w:r>
            <w:r>
              <w:rPr>
                <w:rFonts w:hint="eastAsia" w:ascii="Times New Roman" w:hAnsi="Times New Roman" w:eastAsia="宋体" w:cs="Times New Roman"/>
                <w:b w:val="0"/>
                <w:bCs w:val="0"/>
              </w:rPr>
              <w:t>排放源统计调查产排污核算方法和系数手册</w:t>
            </w:r>
            <w:r>
              <w:rPr>
                <w:rFonts w:ascii="Times New Roman" w:hAnsi="Times New Roman" w:eastAsia="宋体" w:cs="Times New Roman"/>
                <w:b w:val="0"/>
                <w:bCs w:val="0"/>
              </w:rPr>
              <w:t>》</w:t>
            </w:r>
            <w:r>
              <w:rPr>
                <w:rFonts w:hint="eastAsia" w:ascii="Times New Roman" w:hAnsi="Times New Roman" w:eastAsia="宋体" w:cs="Times New Roman"/>
                <w:b w:val="0"/>
                <w:bCs w:val="0"/>
              </w:rPr>
              <w:t>“</w:t>
            </w:r>
            <w:r>
              <w:rPr>
                <w:rFonts w:ascii="Times New Roman" w:hAnsi="Times New Roman" w:eastAsia="宋体" w:cs="Times New Roman"/>
                <w:b w:val="0"/>
                <w:bCs w:val="0"/>
              </w:rPr>
              <w:t>33-37</w:t>
            </w:r>
            <w:r>
              <w:rPr>
                <w:rFonts w:hint="eastAsia" w:ascii="Times New Roman" w:hAnsi="Times New Roman" w:eastAsia="宋体" w:cs="Times New Roman"/>
                <w:b w:val="0"/>
                <w:bCs w:val="0"/>
              </w:rPr>
              <w:t>，</w:t>
            </w:r>
            <w:r>
              <w:rPr>
                <w:rFonts w:ascii="Times New Roman" w:hAnsi="Times New Roman" w:eastAsia="宋体" w:cs="Times New Roman"/>
                <w:b w:val="0"/>
                <w:bCs w:val="0"/>
              </w:rPr>
              <w:t>431-434行业系数手册</w:t>
            </w:r>
            <w:r>
              <w:rPr>
                <w:rFonts w:hint="eastAsia" w:ascii="Times New Roman" w:hAnsi="Times New Roman" w:eastAsia="宋体" w:cs="Times New Roman"/>
                <w:b w:val="0"/>
                <w:bCs w:val="0"/>
              </w:rPr>
              <w:t>，12热处理”天然气燃烧</w:t>
            </w:r>
            <w:r>
              <w:rPr>
                <w:rFonts w:ascii="Times New Roman" w:hAnsi="Times New Roman" w:eastAsia="宋体" w:cs="Times New Roman"/>
                <w:b w:val="0"/>
                <w:bCs w:val="0"/>
              </w:rPr>
              <w:t>产排污系数，具体产污系数见表4-</w:t>
            </w:r>
            <w:r>
              <w:rPr>
                <w:rFonts w:hint="eastAsia" w:cs="Times New Roman"/>
                <w:b w:val="0"/>
                <w:bCs w:val="0"/>
                <w:lang w:val="en-US" w:eastAsia="zh-CN"/>
              </w:rPr>
              <w:t>2</w:t>
            </w:r>
            <w:r>
              <w:rPr>
                <w:rFonts w:ascii="Times New Roman" w:hAnsi="Times New Roman" w:eastAsia="宋体" w:cs="Times New Roman"/>
                <w:b w:val="0"/>
                <w:bCs w:val="0"/>
              </w:rPr>
              <w:t>。</w:t>
            </w:r>
          </w:p>
          <w:p>
            <w:pPr>
              <w:pStyle w:val="9"/>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表4-</w:t>
            </w:r>
            <w:r>
              <w:rPr>
                <w:rFonts w:hint="eastAsia" w:ascii="Times New Roman" w:hAnsi="Times New Roman" w:cs="Times New Roman"/>
                <w:b/>
                <w:bCs/>
                <w:color w:val="000000"/>
                <w:szCs w:val="21"/>
                <w:lang w:val="en-US" w:eastAsia="zh-CN"/>
              </w:rPr>
              <w:t>2</w:t>
            </w:r>
            <w:r>
              <w:rPr>
                <w:rFonts w:ascii="Times New Roman" w:hAnsi="Times New Roman" w:eastAsia="宋体" w:cs="Times New Roman"/>
                <w:b/>
                <w:bCs/>
                <w:color w:val="000000"/>
                <w:szCs w:val="21"/>
              </w:rPr>
              <w:t xml:space="preserve">  天然气燃烧废气污染物产污系数</w:t>
            </w:r>
          </w:p>
          <w:tbl>
            <w:tblPr>
              <w:tblStyle w:val="21"/>
              <w:tblW w:w="497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448"/>
              <w:gridCol w:w="1246"/>
              <w:gridCol w:w="1270"/>
              <w:gridCol w:w="1357"/>
              <w:gridCol w:w="1553"/>
              <w:gridCol w:w="1243"/>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457" w:hRule="atLeast"/>
                <w:jc w:val="center"/>
              </w:trPr>
              <w:tc>
                <w:tcPr>
                  <w:tcW w:w="891" w:type="pct"/>
                  <w:noWrap w:val="0"/>
                  <w:vAlign w:val="center"/>
                </w:tcPr>
                <w:p>
                  <w:pPr>
                    <w:adjustRightInd w:val="0"/>
                    <w:snapToGrid w:val="0"/>
                    <w:jc w:val="center"/>
                    <w:rPr>
                      <w:rFonts w:ascii="Times New Roman" w:hAnsi="Times New Roman"/>
                      <w:b/>
                      <w:bCs/>
                      <w:sz w:val="18"/>
                      <w:szCs w:val="18"/>
                    </w:rPr>
                  </w:pPr>
                  <w:r>
                    <w:rPr>
                      <w:rFonts w:ascii="Times New Roman" w:hAnsi="Times New Roman"/>
                      <w:b/>
                      <w:bCs/>
                      <w:sz w:val="18"/>
                      <w:szCs w:val="18"/>
                    </w:rPr>
                    <w:t>燃料类型</w:t>
                  </w:r>
                </w:p>
              </w:tc>
              <w:tc>
                <w:tcPr>
                  <w:tcW w:w="767" w:type="pct"/>
                  <w:noWrap w:val="0"/>
                  <w:vAlign w:val="center"/>
                </w:tcPr>
                <w:p>
                  <w:pPr>
                    <w:adjustRightInd w:val="0"/>
                    <w:snapToGrid w:val="0"/>
                    <w:jc w:val="center"/>
                    <w:rPr>
                      <w:rFonts w:ascii="Times New Roman" w:hAnsi="Times New Roman"/>
                      <w:b/>
                      <w:bCs/>
                      <w:sz w:val="18"/>
                      <w:szCs w:val="18"/>
                    </w:rPr>
                  </w:pPr>
                  <w:r>
                    <w:rPr>
                      <w:rFonts w:ascii="Times New Roman" w:hAnsi="Times New Roman"/>
                      <w:b/>
                      <w:bCs/>
                      <w:sz w:val="18"/>
                      <w:szCs w:val="18"/>
                    </w:rPr>
                    <w:t>污染源指标</w:t>
                  </w:r>
                </w:p>
              </w:tc>
              <w:tc>
                <w:tcPr>
                  <w:tcW w:w="782" w:type="pct"/>
                  <w:noWrap w:val="0"/>
                  <w:vAlign w:val="center"/>
                </w:tcPr>
                <w:p>
                  <w:pPr>
                    <w:widowControl/>
                    <w:jc w:val="center"/>
                    <w:rPr>
                      <w:rFonts w:ascii="Times New Roman" w:hAnsi="Times New Roman"/>
                      <w:b/>
                      <w:bCs/>
                      <w:sz w:val="18"/>
                      <w:szCs w:val="18"/>
                    </w:rPr>
                  </w:pPr>
                  <w:r>
                    <w:rPr>
                      <w:rFonts w:ascii="Times New Roman" w:hAnsi="Times New Roman"/>
                      <w:b/>
                      <w:bCs/>
                      <w:sz w:val="18"/>
                      <w:szCs w:val="18"/>
                    </w:rPr>
                    <w:t>单位</w:t>
                  </w:r>
                </w:p>
              </w:tc>
              <w:tc>
                <w:tcPr>
                  <w:tcW w:w="835" w:type="pct"/>
                  <w:noWrap w:val="0"/>
                  <w:vAlign w:val="center"/>
                </w:tcPr>
                <w:p>
                  <w:pPr>
                    <w:adjustRightInd w:val="0"/>
                    <w:snapToGrid w:val="0"/>
                    <w:jc w:val="center"/>
                    <w:rPr>
                      <w:rFonts w:ascii="Times New Roman" w:hAnsi="Times New Roman"/>
                      <w:b/>
                      <w:bCs/>
                      <w:sz w:val="18"/>
                      <w:szCs w:val="18"/>
                    </w:rPr>
                  </w:pPr>
                  <w:r>
                    <w:rPr>
                      <w:rFonts w:ascii="Times New Roman" w:hAnsi="Times New Roman"/>
                      <w:b/>
                      <w:bCs/>
                      <w:sz w:val="18"/>
                      <w:szCs w:val="18"/>
                    </w:rPr>
                    <w:t>产污系数</w:t>
                  </w:r>
                </w:p>
              </w:tc>
              <w:tc>
                <w:tcPr>
                  <w:tcW w:w="956" w:type="pct"/>
                  <w:noWrap w:val="0"/>
                  <w:vAlign w:val="center"/>
                </w:tcPr>
                <w:p>
                  <w:pPr>
                    <w:widowControl/>
                    <w:jc w:val="center"/>
                    <w:rPr>
                      <w:rFonts w:ascii="Times New Roman" w:hAnsi="Times New Roman"/>
                      <w:b/>
                      <w:bCs/>
                      <w:sz w:val="18"/>
                      <w:szCs w:val="18"/>
                    </w:rPr>
                  </w:pPr>
                  <w:r>
                    <w:rPr>
                      <w:rFonts w:ascii="Times New Roman" w:hAnsi="Times New Roman"/>
                      <w:b/>
                      <w:bCs/>
                      <w:sz w:val="18"/>
                      <w:szCs w:val="18"/>
                    </w:rPr>
                    <w:t>末端治理技术</w:t>
                  </w:r>
                </w:p>
              </w:tc>
              <w:tc>
                <w:tcPr>
                  <w:tcW w:w="765" w:type="pct"/>
                  <w:noWrap w:val="0"/>
                  <w:vAlign w:val="center"/>
                </w:tcPr>
                <w:p>
                  <w:pPr>
                    <w:adjustRightInd w:val="0"/>
                    <w:snapToGrid w:val="0"/>
                    <w:jc w:val="center"/>
                    <w:rPr>
                      <w:rFonts w:ascii="Times New Roman" w:hAnsi="Times New Roman"/>
                      <w:b/>
                      <w:bCs/>
                      <w:sz w:val="18"/>
                      <w:szCs w:val="18"/>
                    </w:rPr>
                  </w:pPr>
                  <w:r>
                    <w:rPr>
                      <w:rFonts w:ascii="Times New Roman" w:hAnsi="Times New Roman"/>
                      <w:b/>
                      <w:bCs/>
                      <w:sz w:val="18"/>
                      <w:szCs w:val="18"/>
                    </w:rPr>
                    <w:t>去除效率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432" w:hRule="atLeast"/>
                <w:jc w:val="center"/>
              </w:trPr>
              <w:tc>
                <w:tcPr>
                  <w:tcW w:w="891" w:type="pct"/>
                  <w:vMerge w:val="restart"/>
                  <w:noWrap w:val="0"/>
                  <w:vAlign w:val="center"/>
                </w:tcPr>
                <w:p>
                  <w:pPr>
                    <w:adjustRightInd w:val="0"/>
                    <w:snapToGrid w:val="0"/>
                    <w:jc w:val="center"/>
                    <w:rPr>
                      <w:rFonts w:ascii="Times New Roman" w:hAnsi="Times New Roman"/>
                      <w:sz w:val="18"/>
                      <w:szCs w:val="18"/>
                    </w:rPr>
                  </w:pPr>
                  <w:r>
                    <w:rPr>
                      <w:rFonts w:ascii="Times New Roman" w:hAnsi="Times New Roman"/>
                      <w:sz w:val="18"/>
                      <w:szCs w:val="18"/>
                    </w:rPr>
                    <w:t>天然气</w:t>
                  </w:r>
                </w:p>
              </w:tc>
              <w:tc>
                <w:tcPr>
                  <w:tcW w:w="767" w:type="pct"/>
                  <w:noWrap w:val="0"/>
                  <w:vAlign w:val="center"/>
                </w:tcPr>
                <w:p>
                  <w:pPr>
                    <w:adjustRightInd w:val="0"/>
                    <w:snapToGrid w:val="0"/>
                    <w:jc w:val="center"/>
                    <w:rPr>
                      <w:rFonts w:ascii="Times New Roman" w:hAnsi="Times New Roman"/>
                      <w:color w:val="auto"/>
                      <w:sz w:val="18"/>
                      <w:szCs w:val="18"/>
                    </w:rPr>
                  </w:pPr>
                  <w:r>
                    <w:rPr>
                      <w:rFonts w:ascii="宋体" w:hAnsi="宋体" w:eastAsia="宋体" w:cs="宋体"/>
                      <w:b w:val="0"/>
                      <w:bCs w:val="0"/>
                      <w:color w:val="auto"/>
                      <w:sz w:val="19"/>
                      <w:szCs w:val="19"/>
                    </w:rPr>
                    <w:t>工业废气量</w:t>
                  </w:r>
                </w:p>
              </w:tc>
              <w:tc>
                <w:tcPr>
                  <w:tcW w:w="782" w:type="pct"/>
                  <w:noWrap w:val="0"/>
                  <w:vAlign w:val="center"/>
                </w:tcPr>
                <w:p>
                  <w:pPr>
                    <w:adjustRightInd w:val="0"/>
                    <w:snapToGrid w:val="0"/>
                    <w:jc w:val="center"/>
                    <w:rPr>
                      <w:rFonts w:ascii="Times New Roman" w:hAnsi="Times New Roman"/>
                      <w:color w:val="auto"/>
                      <w:sz w:val="18"/>
                      <w:szCs w:val="18"/>
                    </w:rPr>
                  </w:pPr>
                  <w:r>
                    <w:rPr>
                      <w:rFonts w:ascii="Times New Roman" w:hAnsi="Times New Roman"/>
                      <w:color w:val="auto"/>
                      <w:sz w:val="18"/>
                      <w:szCs w:val="18"/>
                    </w:rPr>
                    <w:t>m</w:t>
                  </w:r>
                  <w:r>
                    <w:rPr>
                      <w:rFonts w:ascii="Times New Roman" w:hAnsi="Times New Roman"/>
                      <w:color w:val="auto"/>
                      <w:sz w:val="18"/>
                      <w:szCs w:val="18"/>
                      <w:vertAlign w:val="superscript"/>
                    </w:rPr>
                    <w:t>3</w:t>
                  </w:r>
                  <w:r>
                    <w:rPr>
                      <w:rFonts w:ascii="宋体" w:hAnsi="宋体" w:eastAsia="宋体" w:cs="宋体"/>
                      <w:b w:val="0"/>
                      <w:bCs w:val="0"/>
                      <w:color w:val="auto"/>
                      <w:sz w:val="19"/>
                      <w:szCs w:val="19"/>
                    </w:rPr>
                    <w:t>/</w:t>
                  </w:r>
                  <w:r>
                    <w:rPr>
                      <w:rFonts w:ascii="Times New Roman" w:hAnsi="Times New Roman"/>
                      <w:color w:val="auto"/>
                      <w:sz w:val="18"/>
                      <w:szCs w:val="18"/>
                    </w:rPr>
                    <w:t>m</w:t>
                  </w:r>
                  <w:r>
                    <w:rPr>
                      <w:rFonts w:ascii="Times New Roman" w:hAnsi="Times New Roman"/>
                      <w:color w:val="auto"/>
                      <w:sz w:val="18"/>
                      <w:szCs w:val="18"/>
                      <w:vertAlign w:val="superscript"/>
                    </w:rPr>
                    <w:t>3</w:t>
                  </w:r>
                </w:p>
              </w:tc>
              <w:tc>
                <w:tcPr>
                  <w:tcW w:w="835" w:type="pct"/>
                  <w:noWrap w:val="0"/>
                  <w:vAlign w:val="center"/>
                </w:tcPr>
                <w:p>
                  <w:pPr>
                    <w:adjustRightInd w:val="0"/>
                    <w:snapToGrid w:val="0"/>
                    <w:jc w:val="center"/>
                    <w:rPr>
                      <w:rFonts w:ascii="Times New Roman" w:hAnsi="Times New Roman"/>
                      <w:color w:val="auto"/>
                      <w:sz w:val="18"/>
                      <w:szCs w:val="18"/>
                    </w:rPr>
                  </w:pPr>
                  <w:r>
                    <w:rPr>
                      <w:rFonts w:ascii="TimesNewRomanPSMT" w:hAnsi="TimesNewRomanPSMT" w:eastAsia="TimesNewRomanPSMT" w:cs="TimesNewRomanPSMT"/>
                      <w:b w:val="0"/>
                      <w:bCs w:val="0"/>
                      <w:color w:val="auto"/>
                      <w:sz w:val="19"/>
                      <w:szCs w:val="19"/>
                    </w:rPr>
                    <w:t>13.6</w:t>
                  </w:r>
                </w:p>
              </w:tc>
              <w:tc>
                <w:tcPr>
                  <w:tcW w:w="956" w:type="pct"/>
                  <w:noWrap w:val="0"/>
                  <w:vAlign w:val="center"/>
                </w:tcPr>
                <w:p>
                  <w:pPr>
                    <w:widowControl/>
                    <w:jc w:val="center"/>
                    <w:rPr>
                      <w:rFonts w:ascii="Times New Roman" w:hAnsi="Times New Roman"/>
                      <w:color w:val="auto"/>
                      <w:sz w:val="18"/>
                      <w:szCs w:val="18"/>
                    </w:rPr>
                  </w:pPr>
                  <w:r>
                    <w:rPr>
                      <w:rFonts w:ascii="Times New Roman" w:hAnsi="Times New Roman"/>
                      <w:color w:val="auto"/>
                      <w:sz w:val="18"/>
                      <w:szCs w:val="18"/>
                    </w:rPr>
                    <w:t>/</w:t>
                  </w:r>
                </w:p>
              </w:tc>
              <w:tc>
                <w:tcPr>
                  <w:tcW w:w="765" w:type="pct"/>
                  <w:noWrap w:val="0"/>
                  <w:vAlign w:val="center"/>
                </w:tcPr>
                <w:p>
                  <w:pPr>
                    <w:adjustRightInd w:val="0"/>
                    <w:snapToGrid w:val="0"/>
                    <w:jc w:val="center"/>
                    <w:rPr>
                      <w:rFonts w:ascii="Times New Roman" w:hAnsi="Times New Roman"/>
                      <w:color w:val="auto"/>
                      <w:sz w:val="18"/>
                      <w:szCs w:val="18"/>
                    </w:rPr>
                  </w:pPr>
                  <w:r>
                    <w:rPr>
                      <w:rFonts w:ascii="Times New Roman" w:hAnsi="Times New Roman"/>
                      <w:color w:val="auto"/>
                      <w:sz w:val="18"/>
                      <w:szCs w:val="18"/>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432" w:hRule="atLeast"/>
                <w:jc w:val="center"/>
              </w:trPr>
              <w:tc>
                <w:tcPr>
                  <w:tcW w:w="891" w:type="pct"/>
                  <w:vMerge w:val="continue"/>
                  <w:noWrap w:val="0"/>
                  <w:vAlign w:val="center"/>
                </w:tcPr>
                <w:p>
                  <w:pPr>
                    <w:adjustRightInd w:val="0"/>
                    <w:snapToGrid w:val="0"/>
                    <w:jc w:val="center"/>
                    <w:rPr>
                      <w:rFonts w:ascii="Times New Roman" w:hAnsi="Times New Roman"/>
                      <w:sz w:val="18"/>
                      <w:szCs w:val="18"/>
                    </w:rPr>
                  </w:pPr>
                </w:p>
              </w:tc>
              <w:tc>
                <w:tcPr>
                  <w:tcW w:w="1246" w:type="dxa"/>
                  <w:noWrap w:val="0"/>
                  <w:vAlign w:val="center"/>
                </w:tcPr>
                <w:p>
                  <w:pPr>
                    <w:adjustRightInd w:val="0"/>
                    <w:snapToGrid w:val="0"/>
                    <w:jc w:val="center"/>
                    <w:rPr>
                      <w:rFonts w:ascii="Times New Roman" w:hAnsi="Times New Roman"/>
                      <w:sz w:val="18"/>
                      <w:szCs w:val="18"/>
                    </w:rPr>
                  </w:pPr>
                  <w:r>
                    <w:rPr>
                      <w:rFonts w:ascii="Times New Roman" w:hAnsi="Times New Roman"/>
                      <w:sz w:val="18"/>
                      <w:szCs w:val="18"/>
                    </w:rPr>
                    <w:t>SO</w:t>
                  </w:r>
                  <w:r>
                    <w:rPr>
                      <w:rFonts w:ascii="Times New Roman" w:hAnsi="Times New Roman"/>
                      <w:sz w:val="18"/>
                      <w:szCs w:val="18"/>
                      <w:vertAlign w:val="subscript"/>
                    </w:rPr>
                    <w:t>2</w:t>
                  </w:r>
                </w:p>
              </w:tc>
              <w:tc>
                <w:tcPr>
                  <w:tcW w:w="1270" w:type="dxa"/>
                  <w:noWrap w:val="0"/>
                  <w:vAlign w:val="center"/>
                </w:tcPr>
                <w:p>
                  <w:pPr>
                    <w:adjustRightInd w:val="0"/>
                    <w:snapToGrid w:val="0"/>
                    <w:jc w:val="center"/>
                    <w:rPr>
                      <w:rFonts w:ascii="Times New Roman" w:hAnsi="Times New Roman"/>
                      <w:sz w:val="18"/>
                      <w:szCs w:val="18"/>
                    </w:rPr>
                  </w:pPr>
                  <w:r>
                    <w:rPr>
                      <w:rFonts w:ascii="Times New Roman" w:hAnsi="Times New Roman"/>
                      <w:sz w:val="18"/>
                      <w:szCs w:val="18"/>
                    </w:rPr>
                    <w:t>Kg/m</w:t>
                  </w:r>
                  <w:r>
                    <w:rPr>
                      <w:rFonts w:ascii="Times New Roman" w:hAnsi="Times New Roman"/>
                      <w:sz w:val="18"/>
                      <w:szCs w:val="18"/>
                      <w:vertAlign w:val="superscript"/>
                    </w:rPr>
                    <w:t>3</w:t>
                  </w:r>
                </w:p>
              </w:tc>
              <w:tc>
                <w:tcPr>
                  <w:tcW w:w="1357" w:type="dxa"/>
                  <w:noWrap w:val="0"/>
                  <w:vAlign w:val="center"/>
                </w:tcPr>
                <w:p>
                  <w:pPr>
                    <w:adjustRightInd w:val="0"/>
                    <w:snapToGrid w:val="0"/>
                    <w:jc w:val="center"/>
                    <w:rPr>
                      <w:rFonts w:ascii="Times New Roman" w:hAnsi="Times New Roman"/>
                      <w:color w:val="000000"/>
                      <w:sz w:val="18"/>
                      <w:szCs w:val="18"/>
                    </w:rPr>
                  </w:pPr>
                  <w:r>
                    <w:rPr>
                      <w:rFonts w:ascii="Times New Roman" w:hAnsi="Times New Roman"/>
                      <w:color w:val="000000"/>
                      <w:sz w:val="18"/>
                      <w:szCs w:val="18"/>
                    </w:rPr>
                    <w:t>0.0</w:t>
                  </w:r>
                  <w:r>
                    <w:rPr>
                      <w:rFonts w:hint="eastAsia" w:ascii="Times New Roman" w:hAnsi="Times New Roman"/>
                      <w:color w:val="000000"/>
                      <w:sz w:val="18"/>
                      <w:szCs w:val="18"/>
                    </w:rPr>
                    <w:t>0000</w:t>
                  </w:r>
                  <w:r>
                    <w:rPr>
                      <w:rFonts w:ascii="Times New Roman" w:hAnsi="Times New Roman"/>
                      <w:color w:val="000000"/>
                      <w:sz w:val="18"/>
                      <w:szCs w:val="18"/>
                    </w:rPr>
                    <w:t>2S</w:t>
                  </w:r>
                </w:p>
              </w:tc>
              <w:tc>
                <w:tcPr>
                  <w:tcW w:w="1553" w:type="dxa"/>
                  <w:noWrap w:val="0"/>
                  <w:vAlign w:val="center"/>
                </w:tcPr>
                <w:p>
                  <w:pPr>
                    <w:widowControl/>
                    <w:jc w:val="center"/>
                    <w:rPr>
                      <w:rFonts w:ascii="Times New Roman" w:hAnsi="Times New Roman"/>
                      <w:sz w:val="18"/>
                      <w:szCs w:val="18"/>
                    </w:rPr>
                  </w:pPr>
                  <w:r>
                    <w:rPr>
                      <w:rFonts w:ascii="Times New Roman" w:hAnsi="Times New Roman"/>
                      <w:sz w:val="18"/>
                      <w:szCs w:val="18"/>
                    </w:rPr>
                    <w:t>/</w:t>
                  </w:r>
                </w:p>
              </w:tc>
              <w:tc>
                <w:tcPr>
                  <w:tcW w:w="1243" w:type="dxa"/>
                  <w:noWrap w:val="0"/>
                  <w:vAlign w:val="center"/>
                </w:tcPr>
                <w:p>
                  <w:pPr>
                    <w:adjustRightInd w:val="0"/>
                    <w:snapToGrid w:val="0"/>
                    <w:jc w:val="center"/>
                    <w:rPr>
                      <w:rFonts w:ascii="Times New Roman" w:hAnsi="Times New Roman"/>
                      <w:sz w:val="18"/>
                      <w:szCs w:val="18"/>
                    </w:rPr>
                  </w:pPr>
                  <w:r>
                    <w:rPr>
                      <w:rFonts w:ascii="Times New Roman" w:hAnsi="Times New Roman"/>
                      <w:sz w:val="18"/>
                      <w:szCs w:val="18"/>
                    </w:rPr>
                    <w:t>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429" w:hRule="atLeast"/>
                <w:jc w:val="center"/>
              </w:trPr>
              <w:tc>
                <w:tcPr>
                  <w:tcW w:w="891" w:type="pct"/>
                  <w:vMerge w:val="continue"/>
                  <w:noWrap w:val="0"/>
                  <w:vAlign w:val="center"/>
                </w:tcPr>
                <w:p>
                  <w:pPr>
                    <w:adjustRightInd w:val="0"/>
                    <w:snapToGrid w:val="0"/>
                    <w:jc w:val="center"/>
                    <w:rPr>
                      <w:rFonts w:ascii="Times New Roman" w:hAnsi="Times New Roman"/>
                      <w:sz w:val="18"/>
                      <w:szCs w:val="18"/>
                    </w:rPr>
                  </w:pPr>
                </w:p>
              </w:tc>
              <w:tc>
                <w:tcPr>
                  <w:tcW w:w="767" w:type="pct"/>
                  <w:noWrap w:val="0"/>
                  <w:vAlign w:val="center"/>
                </w:tcPr>
                <w:p>
                  <w:pPr>
                    <w:adjustRightInd w:val="0"/>
                    <w:snapToGrid w:val="0"/>
                    <w:jc w:val="center"/>
                    <w:rPr>
                      <w:rFonts w:ascii="Times New Roman" w:hAnsi="Times New Roman"/>
                      <w:sz w:val="18"/>
                      <w:szCs w:val="18"/>
                    </w:rPr>
                  </w:pPr>
                  <w:r>
                    <w:rPr>
                      <w:rFonts w:ascii="Times New Roman" w:hAnsi="Times New Roman"/>
                      <w:sz w:val="18"/>
                      <w:szCs w:val="18"/>
                    </w:rPr>
                    <w:t>NO</w:t>
                  </w:r>
                  <w:r>
                    <w:rPr>
                      <w:rFonts w:ascii="Times New Roman" w:hAnsi="Times New Roman"/>
                      <w:sz w:val="18"/>
                      <w:szCs w:val="18"/>
                      <w:vertAlign w:val="subscript"/>
                    </w:rPr>
                    <w:t>X</w:t>
                  </w:r>
                </w:p>
              </w:tc>
              <w:tc>
                <w:tcPr>
                  <w:tcW w:w="782" w:type="pct"/>
                  <w:noWrap w:val="0"/>
                  <w:vAlign w:val="center"/>
                </w:tcPr>
                <w:p>
                  <w:pPr>
                    <w:adjustRightInd w:val="0"/>
                    <w:snapToGrid w:val="0"/>
                    <w:jc w:val="center"/>
                    <w:rPr>
                      <w:rFonts w:ascii="Times New Roman" w:hAnsi="Times New Roman"/>
                      <w:sz w:val="18"/>
                      <w:szCs w:val="18"/>
                    </w:rPr>
                  </w:pPr>
                  <w:r>
                    <w:rPr>
                      <w:rFonts w:ascii="Times New Roman" w:hAnsi="Times New Roman"/>
                      <w:sz w:val="18"/>
                      <w:szCs w:val="18"/>
                    </w:rPr>
                    <w:t>Kg/m</w:t>
                  </w:r>
                  <w:r>
                    <w:rPr>
                      <w:rFonts w:ascii="Times New Roman" w:hAnsi="Times New Roman"/>
                      <w:sz w:val="18"/>
                      <w:szCs w:val="18"/>
                      <w:vertAlign w:val="superscript"/>
                    </w:rPr>
                    <w:t>3</w:t>
                  </w:r>
                </w:p>
              </w:tc>
              <w:tc>
                <w:tcPr>
                  <w:tcW w:w="835" w:type="pct"/>
                  <w:noWrap w:val="0"/>
                  <w:vAlign w:val="center"/>
                </w:tcPr>
                <w:p>
                  <w:pPr>
                    <w:adjustRightInd w:val="0"/>
                    <w:snapToGrid w:val="0"/>
                    <w:jc w:val="center"/>
                    <w:rPr>
                      <w:rFonts w:ascii="Times New Roman" w:hAnsi="Times New Roman"/>
                      <w:color w:val="000000"/>
                      <w:sz w:val="18"/>
                      <w:szCs w:val="18"/>
                    </w:rPr>
                  </w:pPr>
                  <w:r>
                    <w:rPr>
                      <w:rFonts w:hint="eastAsia" w:ascii="Times New Roman" w:hAnsi="Times New Roman"/>
                      <w:color w:val="000000"/>
                      <w:sz w:val="18"/>
                      <w:szCs w:val="18"/>
                    </w:rPr>
                    <w:t>0.00187</w:t>
                  </w:r>
                </w:p>
              </w:tc>
              <w:tc>
                <w:tcPr>
                  <w:tcW w:w="956" w:type="pct"/>
                  <w:noWrap w:val="0"/>
                  <w:vAlign w:val="center"/>
                </w:tcPr>
                <w:p>
                  <w:pPr>
                    <w:adjustRightInd w:val="0"/>
                    <w:snapToGrid w:val="0"/>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低氮燃烧法</w:t>
                  </w:r>
                </w:p>
              </w:tc>
              <w:tc>
                <w:tcPr>
                  <w:tcW w:w="765" w:type="pct"/>
                  <w:noWrap w:val="0"/>
                  <w:vAlign w:val="center"/>
                </w:tcPr>
                <w:p>
                  <w:pPr>
                    <w:adjustRightInd w:val="0"/>
                    <w:snapToGrid w:val="0"/>
                    <w:jc w:val="center"/>
                    <w:rPr>
                      <w:rFonts w:hint="default"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50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429" w:hRule="atLeast"/>
                <w:jc w:val="center"/>
              </w:trPr>
              <w:tc>
                <w:tcPr>
                  <w:tcW w:w="891" w:type="pct"/>
                  <w:vMerge w:val="continue"/>
                  <w:noWrap w:val="0"/>
                  <w:vAlign w:val="center"/>
                </w:tcPr>
                <w:p>
                  <w:pPr>
                    <w:adjustRightInd w:val="0"/>
                    <w:snapToGrid w:val="0"/>
                    <w:jc w:val="center"/>
                    <w:rPr>
                      <w:rFonts w:ascii="Times New Roman" w:hAnsi="Times New Roman"/>
                      <w:sz w:val="18"/>
                      <w:szCs w:val="18"/>
                    </w:rPr>
                  </w:pPr>
                </w:p>
              </w:tc>
              <w:tc>
                <w:tcPr>
                  <w:tcW w:w="767" w:type="pct"/>
                  <w:noWrap w:val="0"/>
                  <w:vAlign w:val="center"/>
                </w:tcPr>
                <w:p>
                  <w:pPr>
                    <w:adjustRightInd w:val="0"/>
                    <w:snapToGrid w:val="0"/>
                    <w:jc w:val="center"/>
                    <w:rPr>
                      <w:rFonts w:hint="eastAsia" w:ascii="Times New Roman" w:hAnsi="Times New Roman"/>
                      <w:sz w:val="18"/>
                      <w:szCs w:val="18"/>
                    </w:rPr>
                  </w:pPr>
                  <w:r>
                    <w:rPr>
                      <w:rFonts w:hint="eastAsia" w:ascii="Times New Roman" w:hAnsi="Times New Roman"/>
                      <w:sz w:val="18"/>
                      <w:szCs w:val="18"/>
                    </w:rPr>
                    <w:t>颗粒物</w:t>
                  </w:r>
                </w:p>
              </w:tc>
              <w:tc>
                <w:tcPr>
                  <w:tcW w:w="782" w:type="pct"/>
                  <w:noWrap w:val="0"/>
                  <w:vAlign w:val="center"/>
                </w:tcPr>
                <w:p>
                  <w:pPr>
                    <w:adjustRightInd w:val="0"/>
                    <w:snapToGrid w:val="0"/>
                    <w:jc w:val="center"/>
                    <w:rPr>
                      <w:rFonts w:ascii="Times New Roman" w:hAnsi="Times New Roman"/>
                      <w:sz w:val="18"/>
                      <w:szCs w:val="18"/>
                    </w:rPr>
                  </w:pPr>
                  <w:r>
                    <w:rPr>
                      <w:rFonts w:ascii="Times New Roman" w:hAnsi="Times New Roman"/>
                      <w:sz w:val="18"/>
                      <w:szCs w:val="18"/>
                    </w:rPr>
                    <w:t>Kg/m</w:t>
                  </w:r>
                  <w:r>
                    <w:rPr>
                      <w:rFonts w:ascii="Times New Roman" w:hAnsi="Times New Roman"/>
                      <w:sz w:val="18"/>
                      <w:szCs w:val="18"/>
                      <w:vertAlign w:val="superscript"/>
                    </w:rPr>
                    <w:t>3</w:t>
                  </w:r>
                </w:p>
              </w:tc>
              <w:tc>
                <w:tcPr>
                  <w:tcW w:w="835" w:type="pct"/>
                  <w:noWrap w:val="0"/>
                  <w:vAlign w:val="center"/>
                </w:tcPr>
                <w:p>
                  <w:pPr>
                    <w:adjustRightInd w:val="0"/>
                    <w:snapToGrid w:val="0"/>
                    <w:jc w:val="center"/>
                    <w:rPr>
                      <w:rFonts w:ascii="Times New Roman" w:hAnsi="Times New Roman"/>
                      <w:color w:val="000000"/>
                      <w:sz w:val="18"/>
                      <w:szCs w:val="18"/>
                    </w:rPr>
                  </w:pPr>
                  <w:r>
                    <w:rPr>
                      <w:rFonts w:hint="eastAsia" w:ascii="Times New Roman" w:hAnsi="Times New Roman"/>
                      <w:color w:val="000000"/>
                      <w:sz w:val="18"/>
                      <w:szCs w:val="18"/>
                    </w:rPr>
                    <w:t>0.000286</w:t>
                  </w:r>
                </w:p>
              </w:tc>
              <w:tc>
                <w:tcPr>
                  <w:tcW w:w="956" w:type="pct"/>
                  <w:noWrap w:val="0"/>
                  <w:vAlign w:val="center"/>
                </w:tcPr>
                <w:p>
                  <w:pPr>
                    <w:jc w:val="center"/>
                    <w:rPr>
                      <w:rFonts w:ascii="Times New Roman" w:hAnsi="Times New Roman"/>
                      <w:sz w:val="18"/>
                      <w:szCs w:val="18"/>
                    </w:rPr>
                  </w:pPr>
                  <w:r>
                    <w:rPr>
                      <w:rFonts w:hint="eastAsia" w:ascii="Times New Roman" w:hAnsi="Times New Roman"/>
                      <w:sz w:val="18"/>
                      <w:szCs w:val="18"/>
                    </w:rPr>
                    <w:t>/</w:t>
                  </w:r>
                </w:p>
              </w:tc>
              <w:tc>
                <w:tcPr>
                  <w:tcW w:w="765" w:type="pct"/>
                  <w:noWrap w:val="0"/>
                  <w:vAlign w:val="center"/>
                </w:tcPr>
                <w:p>
                  <w:pPr>
                    <w:adjustRightInd w:val="0"/>
                    <w:snapToGrid w:val="0"/>
                    <w:jc w:val="center"/>
                    <w:rPr>
                      <w:rFonts w:ascii="Times New Roman" w:hAnsi="Times New Roman"/>
                      <w:sz w:val="18"/>
                      <w:szCs w:val="18"/>
                    </w:rPr>
                  </w:pPr>
                  <w:r>
                    <w:rPr>
                      <w:rFonts w:hint="eastAsia" w:ascii="Times New Roman" w:hAnsi="Times New Roman"/>
                      <w:sz w:val="18"/>
                      <w:szCs w:val="18"/>
                    </w:rPr>
                    <w:t>0</w:t>
                  </w:r>
                </w:p>
              </w:tc>
            </w:tr>
          </w:tbl>
          <w:p>
            <w:pPr>
              <w:widowControl w:val="0"/>
              <w:jc w:val="both"/>
              <w:rPr>
                <w:rFonts w:ascii="Times New Roman" w:hAnsi="Times New Roman"/>
                <w:sz w:val="18"/>
                <w:szCs w:val="18"/>
              </w:rPr>
            </w:pPr>
            <w:r>
              <w:rPr>
                <w:rFonts w:hint="default" w:ascii="Times New Roman" w:hAnsi="Times New Roman" w:cs="Times New Roman"/>
                <w:b/>
                <w:bCs w:val="0"/>
                <w:sz w:val="18"/>
                <w:szCs w:val="18"/>
              </w:rPr>
              <w:t>注：①产排污系数中二氧化硫的产排污系数是以含硫量（S）的形式表示的，其中含硫量（S）是指燃气收到基硫分含量，单位为毫克/立方米。例如燃料中含硫量（S）为200毫克/立方米，则S=200。根据《天然气》（GB17820-2018）要求，</w:t>
            </w:r>
            <w:r>
              <w:rPr>
                <w:rFonts w:hint="eastAsia"/>
                <w:b/>
                <w:bCs w:val="0"/>
                <w:color w:val="auto"/>
                <w:sz w:val="18"/>
                <w:szCs w:val="18"/>
                <w:lang w:val="en-US" w:eastAsia="zh-CN"/>
              </w:rPr>
              <w:t>S参考</w:t>
            </w:r>
            <w:r>
              <w:rPr>
                <w:rFonts w:hint="eastAsia" w:cs="Times New Roman"/>
                <w:b/>
                <w:bCs w:val="0"/>
                <w:color w:val="auto"/>
                <w:sz w:val="18"/>
                <w:szCs w:val="18"/>
                <w:lang w:eastAsia="zh-CN"/>
              </w:rPr>
              <w:t>二</w:t>
            </w:r>
            <w:r>
              <w:rPr>
                <w:rFonts w:hint="default" w:ascii="Times New Roman" w:hAnsi="Times New Roman" w:cs="Times New Roman"/>
                <w:b/>
                <w:bCs w:val="0"/>
                <w:color w:val="auto"/>
                <w:sz w:val="18"/>
                <w:szCs w:val="18"/>
              </w:rPr>
              <w:t>类天然气含硫量为</w:t>
            </w:r>
            <w:r>
              <w:rPr>
                <w:rFonts w:hint="eastAsia" w:cs="Times New Roman"/>
                <w:b/>
                <w:bCs w:val="0"/>
                <w:color w:val="auto"/>
                <w:sz w:val="18"/>
                <w:szCs w:val="18"/>
                <w:lang w:val="en-US" w:eastAsia="zh-CN"/>
              </w:rPr>
              <w:t>100</w:t>
            </w:r>
            <w:r>
              <w:rPr>
                <w:rFonts w:hint="default" w:ascii="Times New Roman" w:hAnsi="Times New Roman" w:cs="Times New Roman"/>
                <w:b/>
                <w:bCs w:val="0"/>
                <w:color w:val="auto"/>
                <w:sz w:val="18"/>
                <w:szCs w:val="18"/>
              </w:rPr>
              <w:t>mg/m</w:t>
            </w:r>
            <w:r>
              <w:rPr>
                <w:rFonts w:hint="default" w:ascii="Times New Roman" w:hAnsi="Times New Roman" w:cs="Times New Roman"/>
                <w:b/>
                <w:bCs w:val="0"/>
                <w:color w:val="auto"/>
                <w:sz w:val="18"/>
                <w:szCs w:val="18"/>
                <w:vertAlign w:val="superscript"/>
              </w:rPr>
              <w:t>3</w:t>
            </w:r>
            <w:r>
              <w:rPr>
                <w:rFonts w:hint="default" w:ascii="Times New Roman" w:hAnsi="Times New Roman" w:cs="Times New Roman"/>
                <w:b/>
                <w:bCs w:val="0"/>
                <w:color w:val="auto"/>
                <w:sz w:val="18"/>
                <w:szCs w:val="18"/>
              </w:rPr>
              <w:t>。</w:t>
            </w:r>
          </w:p>
          <w:p>
            <w:pPr>
              <w:spacing w:line="500" w:lineRule="exact"/>
              <w:ind w:firstLine="420" w:firstLineChars="200"/>
              <w:rPr>
                <w:rFonts w:hint="default" w:ascii="Times New Roman" w:hAnsi="Times New Roman" w:eastAsia="宋体" w:cs="Times New Roman"/>
                <w:b w:val="0"/>
                <w:bCs w:val="0"/>
                <w:color w:val="auto"/>
                <w:lang w:eastAsia="zh-CN"/>
              </w:rPr>
            </w:pPr>
            <w:r>
              <w:rPr>
                <w:rFonts w:hint="default" w:ascii="Times New Roman" w:hAnsi="Times New Roman" w:eastAsia="宋体" w:cs="Times New Roman"/>
                <w:b w:val="0"/>
                <w:bCs w:val="0"/>
                <w:color w:val="auto"/>
                <w:lang w:eastAsia="zh-CN"/>
              </w:rPr>
              <w:t>现有项目</w:t>
            </w:r>
            <w:r>
              <w:rPr>
                <w:rFonts w:hint="eastAsia" w:cs="Times New Roman"/>
                <w:b w:val="0"/>
                <w:bCs w:val="0"/>
                <w:color w:val="auto"/>
                <w:lang w:val="en-US" w:eastAsia="zh-CN"/>
              </w:rPr>
              <w:t>经</w:t>
            </w:r>
            <w:r>
              <w:rPr>
                <w:rFonts w:hint="eastAsia" w:ascii="Times New Roman" w:hAnsi="Times New Roman" w:eastAsia="宋体" w:cs="Times New Roman"/>
                <w:b w:val="0"/>
                <w:bCs w:val="0"/>
                <w:color w:val="auto"/>
                <w:lang w:eastAsia="zh-CN"/>
              </w:rPr>
              <w:t>改</w:t>
            </w:r>
            <w:r>
              <w:rPr>
                <w:rFonts w:hint="eastAsia" w:cs="Times New Roman"/>
                <w:b w:val="0"/>
                <w:bCs w:val="0"/>
                <w:color w:val="auto"/>
                <w:lang w:val="en-US" w:eastAsia="zh-CN"/>
              </w:rPr>
              <w:t>扩建</w:t>
            </w:r>
            <w:r>
              <w:rPr>
                <w:rFonts w:hint="eastAsia" w:ascii="Times New Roman" w:hAnsi="Times New Roman" w:eastAsia="宋体" w:cs="Times New Roman"/>
                <w:b w:val="0"/>
                <w:bCs w:val="0"/>
                <w:color w:val="auto"/>
                <w:lang w:eastAsia="zh-CN"/>
              </w:rPr>
              <w:t>后，全厂</w:t>
            </w:r>
            <w:r>
              <w:rPr>
                <w:rFonts w:hint="eastAsia" w:ascii="Times New Roman" w:hAnsi="Times New Roman" w:eastAsia="宋体" w:cs="Times New Roman"/>
                <w:b w:val="0"/>
                <w:bCs w:val="0"/>
                <w:color w:val="auto"/>
                <w:lang w:val="en-US" w:eastAsia="zh-CN"/>
              </w:rPr>
              <w:t>天然气</w:t>
            </w:r>
            <w:r>
              <w:rPr>
                <w:rFonts w:hint="eastAsia" w:cs="Times New Roman"/>
                <w:b w:val="0"/>
                <w:bCs w:val="0"/>
                <w:color w:val="auto"/>
                <w:lang w:val="en-US" w:eastAsia="zh-CN"/>
              </w:rPr>
              <w:t>使用量为41</w:t>
            </w:r>
            <w:r>
              <w:rPr>
                <w:rFonts w:hint="eastAsia" w:ascii="Times New Roman" w:hAnsi="Times New Roman" w:eastAsia="宋体" w:cs="Times New Roman"/>
                <w:b w:val="0"/>
                <w:bCs w:val="0"/>
                <w:color w:val="auto"/>
                <w:lang w:val="en-US" w:eastAsia="zh-CN"/>
              </w:rPr>
              <w:t>10万立方米/年</w:t>
            </w:r>
            <w:r>
              <w:rPr>
                <w:rFonts w:hint="eastAsia" w:cs="Times New Roman"/>
                <w:b w:val="0"/>
                <w:bCs w:val="0"/>
                <w:color w:val="auto"/>
                <w:lang w:val="en-US" w:eastAsia="zh-CN"/>
              </w:rPr>
              <w:t>，天然气燃烧废气统计表如下</w:t>
            </w:r>
            <w:r>
              <w:rPr>
                <w:rFonts w:hint="eastAsia" w:ascii="Times New Roman" w:hAnsi="Times New Roman" w:eastAsia="宋体" w:cs="Times New Roman"/>
                <w:b w:val="0"/>
                <w:bCs w:val="0"/>
                <w:color w:val="auto"/>
                <w:lang w:eastAsia="zh-CN"/>
              </w:rPr>
              <w:t>。</w:t>
            </w:r>
          </w:p>
          <w:p>
            <w:pPr>
              <w:pStyle w:val="9"/>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color w:val="auto"/>
                <w:sz w:val="21"/>
                <w:szCs w:val="21"/>
              </w:rPr>
            </w:pPr>
            <w:r>
              <w:rPr>
                <w:rFonts w:ascii="Times New Roman" w:hAnsi="Times New Roman" w:eastAsia="宋体" w:cs="Times New Roman"/>
                <w:b/>
                <w:bCs/>
                <w:color w:val="auto"/>
                <w:szCs w:val="21"/>
              </w:rPr>
              <w:t>表</w:t>
            </w:r>
            <w:r>
              <w:rPr>
                <w:rFonts w:hint="eastAsia" w:ascii="Times New Roman" w:hAnsi="Times New Roman" w:eastAsia="宋体" w:cs="Times New Roman"/>
                <w:b/>
                <w:bCs/>
                <w:color w:val="auto"/>
                <w:szCs w:val="21"/>
              </w:rPr>
              <w:t>4</w:t>
            </w:r>
            <w:r>
              <w:rPr>
                <w:rFonts w:ascii="Times New Roman" w:hAnsi="Times New Roman" w:eastAsia="宋体" w:cs="Times New Roman"/>
                <w:b/>
                <w:bCs/>
                <w:color w:val="auto"/>
                <w:szCs w:val="21"/>
              </w:rPr>
              <w:t>-</w:t>
            </w:r>
            <w:r>
              <w:rPr>
                <w:rFonts w:hint="eastAsia" w:ascii="Times New Roman" w:hAnsi="Times New Roman" w:cs="Times New Roman"/>
                <w:b/>
                <w:bCs/>
                <w:color w:val="auto"/>
                <w:szCs w:val="21"/>
                <w:lang w:val="en-US" w:eastAsia="zh-CN"/>
              </w:rPr>
              <w:t>3</w:t>
            </w:r>
            <w:r>
              <w:rPr>
                <w:rFonts w:hint="eastAsia" w:ascii="Times New Roman" w:hAnsi="Times New Roman" w:eastAsia="宋体" w:cs="Times New Roman"/>
                <w:b/>
                <w:bCs/>
                <w:color w:val="auto"/>
                <w:szCs w:val="21"/>
              </w:rPr>
              <w:t xml:space="preserve">  </w:t>
            </w:r>
            <w:r>
              <w:rPr>
                <w:rFonts w:ascii="Times New Roman" w:hAnsi="Times New Roman" w:eastAsia="宋体" w:cs="Times New Roman"/>
                <w:b/>
                <w:bCs/>
                <w:color w:val="auto"/>
                <w:szCs w:val="21"/>
              </w:rPr>
              <w:t>天然气燃烧废气污染物产生、排放情况</w:t>
            </w:r>
          </w:p>
          <w:tbl>
            <w:tblPr>
              <w:tblStyle w:val="21"/>
              <w:tblW w:w="0" w:type="auto"/>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412"/>
              <w:gridCol w:w="531"/>
              <w:gridCol w:w="770"/>
              <w:gridCol w:w="480"/>
              <w:gridCol w:w="805"/>
              <w:gridCol w:w="823"/>
              <w:gridCol w:w="730"/>
              <w:gridCol w:w="783"/>
              <w:gridCol w:w="717"/>
              <w:gridCol w:w="637"/>
              <w:gridCol w:w="611"/>
              <w:gridCol w:w="371"/>
              <w:gridCol w:w="440"/>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630" w:hRule="atLeast"/>
                <w:jc w:val="center"/>
              </w:trPr>
              <w:tc>
                <w:tcPr>
                  <w:tcW w:w="412" w:type="dxa"/>
                  <w:vMerge w:val="restart"/>
                  <w:noWrap w:val="0"/>
                  <w:vAlign w:val="center"/>
                </w:tcPr>
                <w:p>
                  <w:pPr>
                    <w:pStyle w:val="30"/>
                    <w:keepNext w:val="0"/>
                    <w:keepLines w:val="0"/>
                    <w:pageBreakBefore w:val="0"/>
                    <w:widowControl/>
                    <w:kinsoku/>
                    <w:wordWrap/>
                    <w:overflowPunct/>
                    <w:topLinePunct w:val="0"/>
                    <w:autoSpaceDE/>
                    <w:autoSpaceDN/>
                    <w:bidi w:val="0"/>
                    <w:spacing w:line="240" w:lineRule="auto"/>
                    <w:ind w:firstLine="0" w:firstLineChars="0"/>
                    <w:textAlignment w:val="auto"/>
                    <w:rPr>
                      <w:rFonts w:ascii="Times New Roman" w:hAnsi="Times New Roman"/>
                      <w:b/>
                      <w:bCs/>
                      <w:color w:val="auto"/>
                      <w:sz w:val="18"/>
                      <w:szCs w:val="18"/>
                    </w:rPr>
                  </w:pPr>
                  <w:r>
                    <w:rPr>
                      <w:rFonts w:hint="default" w:ascii="Times New Roman" w:hAnsi="Times New Roman" w:eastAsia="宋体" w:cs="Times New Roman"/>
                      <w:b/>
                      <w:bCs/>
                      <w:color w:val="auto"/>
                      <w:kern w:val="2"/>
                      <w:sz w:val="18"/>
                      <w:szCs w:val="18"/>
                    </w:rPr>
                    <w:t>名称</w:t>
                  </w:r>
                </w:p>
              </w:tc>
              <w:tc>
                <w:tcPr>
                  <w:tcW w:w="531" w:type="dxa"/>
                  <w:vMerge w:val="restart"/>
                  <w:noWrap w:val="0"/>
                  <w:vAlign w:val="center"/>
                </w:tcPr>
                <w:p>
                  <w:pPr>
                    <w:pStyle w:val="30"/>
                    <w:keepNext w:val="0"/>
                    <w:keepLines w:val="0"/>
                    <w:pageBreakBefore w:val="0"/>
                    <w:widowControl/>
                    <w:kinsoku/>
                    <w:wordWrap/>
                    <w:overflowPunct/>
                    <w:topLinePunct w:val="0"/>
                    <w:autoSpaceDE/>
                    <w:autoSpaceDN/>
                    <w:bidi w:val="0"/>
                    <w:spacing w:line="240" w:lineRule="auto"/>
                    <w:ind w:firstLine="0" w:firstLineChars="0"/>
                    <w:textAlignment w:val="auto"/>
                    <w:rPr>
                      <w:rFonts w:hint="default" w:ascii="Times New Roman" w:hAnsi="Times New Roman" w:eastAsia="宋体"/>
                      <w:b/>
                      <w:bCs/>
                      <w:color w:val="auto"/>
                      <w:sz w:val="18"/>
                      <w:szCs w:val="18"/>
                      <w:lang w:val="en-US" w:eastAsia="zh-CN"/>
                    </w:rPr>
                  </w:pPr>
                  <w:r>
                    <w:rPr>
                      <w:rFonts w:hint="eastAsia" w:ascii="Times New Roman" w:hAnsi="Times New Roman" w:eastAsia="宋体" w:cs="Times New Roman"/>
                      <w:b/>
                      <w:bCs/>
                      <w:color w:val="auto"/>
                      <w:kern w:val="2"/>
                      <w:sz w:val="18"/>
                      <w:szCs w:val="18"/>
                      <w:lang w:eastAsia="zh-CN"/>
                    </w:rPr>
                    <w:t>用量</w:t>
                  </w:r>
                  <w:r>
                    <w:rPr>
                      <w:rFonts w:hint="eastAsia" w:ascii="Times New Roman" w:hAnsi="Times New Roman" w:eastAsia="宋体" w:cs="Times New Roman"/>
                      <w:b/>
                      <w:bCs/>
                      <w:color w:val="auto"/>
                      <w:sz w:val="18"/>
                      <w:szCs w:val="18"/>
                      <w:lang w:eastAsia="zh-CN"/>
                    </w:rPr>
                    <w:t>万m</w:t>
                  </w:r>
                  <w:r>
                    <w:rPr>
                      <w:rFonts w:hint="eastAsia" w:ascii="Times New Roman" w:hAnsi="Times New Roman" w:eastAsia="宋体" w:cs="Times New Roman"/>
                      <w:b/>
                      <w:bCs/>
                      <w:color w:val="auto"/>
                      <w:sz w:val="18"/>
                      <w:szCs w:val="18"/>
                      <w:vertAlign w:val="superscript"/>
                      <w:lang w:eastAsia="zh-CN"/>
                    </w:rPr>
                    <w:t>3</w:t>
                  </w:r>
                  <w:r>
                    <w:rPr>
                      <w:rFonts w:hint="eastAsia" w:ascii="Times New Roman" w:hAnsi="Times New Roman" w:eastAsia="宋体" w:cs="Times New Roman"/>
                      <w:b/>
                      <w:bCs/>
                      <w:color w:val="auto"/>
                      <w:sz w:val="18"/>
                      <w:szCs w:val="18"/>
                      <w:vertAlign w:val="baseline"/>
                      <w:lang w:val="en-US" w:eastAsia="zh-CN"/>
                    </w:rPr>
                    <w:t>/a</w:t>
                  </w:r>
                </w:p>
              </w:tc>
              <w:tc>
                <w:tcPr>
                  <w:tcW w:w="770" w:type="dxa"/>
                  <w:vMerge w:val="restart"/>
                  <w:noWrap w:val="0"/>
                  <w:vAlign w:val="center"/>
                </w:tcPr>
                <w:p>
                  <w:pPr>
                    <w:pStyle w:val="30"/>
                    <w:keepNext w:val="0"/>
                    <w:keepLines w:val="0"/>
                    <w:pageBreakBefore w:val="0"/>
                    <w:widowControl/>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rPr>
                    <w:t>污染物</w:t>
                  </w:r>
                </w:p>
                <w:p>
                  <w:pPr>
                    <w:adjustRightInd w:val="0"/>
                    <w:snapToGrid w:val="0"/>
                    <w:jc w:val="center"/>
                    <w:rPr>
                      <w:rFonts w:ascii="Times New Roman" w:hAnsi="Times New Roman"/>
                      <w:b/>
                      <w:bCs/>
                      <w:color w:val="auto"/>
                      <w:sz w:val="18"/>
                      <w:szCs w:val="18"/>
                    </w:rPr>
                  </w:pPr>
                  <w:r>
                    <w:rPr>
                      <w:rFonts w:hint="default" w:ascii="Times New Roman" w:hAnsi="Times New Roman" w:eastAsia="宋体" w:cs="Times New Roman"/>
                      <w:b/>
                      <w:bCs/>
                      <w:color w:val="auto"/>
                      <w:kern w:val="2"/>
                      <w:sz w:val="18"/>
                      <w:szCs w:val="18"/>
                    </w:rPr>
                    <w:t>名称</w:t>
                  </w:r>
                </w:p>
              </w:tc>
              <w:tc>
                <w:tcPr>
                  <w:tcW w:w="480" w:type="dxa"/>
                  <w:vMerge w:val="restart"/>
                  <w:noWrap w:val="0"/>
                  <w:vAlign w:val="center"/>
                </w:tcPr>
                <w:p>
                  <w:pPr>
                    <w:widowControl/>
                    <w:jc w:val="center"/>
                    <w:rPr>
                      <w:rFonts w:hint="eastAsia"/>
                      <w:color w:val="auto"/>
                      <w:lang w:eastAsia="zh-CN"/>
                    </w:rPr>
                  </w:pPr>
                  <w:r>
                    <w:rPr>
                      <w:rFonts w:hint="eastAsia" w:ascii="Times New Roman" w:hAnsi="Times New Roman"/>
                      <w:b/>
                      <w:bCs/>
                      <w:color w:val="auto"/>
                      <w:sz w:val="18"/>
                      <w:szCs w:val="18"/>
                      <w:lang w:eastAsia="zh-CN"/>
                    </w:rPr>
                    <w:t>风量</w:t>
                  </w:r>
                  <w:r>
                    <w:rPr>
                      <w:rFonts w:hint="default" w:ascii="Times New Roman" w:hAnsi="Times New Roman" w:cs="Times New Roman"/>
                      <w:b/>
                      <w:bCs/>
                      <w:color w:val="auto"/>
                      <w:sz w:val="21"/>
                      <w:szCs w:val="21"/>
                    </w:rPr>
                    <w:t>m</w:t>
                  </w:r>
                  <w:r>
                    <w:rPr>
                      <w:rFonts w:hint="default" w:ascii="Times New Roman" w:hAnsi="Times New Roman" w:cs="Times New Roman"/>
                      <w:b/>
                      <w:bCs/>
                      <w:color w:val="auto"/>
                      <w:sz w:val="21"/>
                      <w:szCs w:val="21"/>
                      <w:vertAlign w:val="superscript"/>
                    </w:rPr>
                    <w:t>3</w:t>
                  </w:r>
                  <w:r>
                    <w:rPr>
                      <w:rFonts w:hint="default" w:ascii="Times New Roman" w:hAnsi="Times New Roman" w:cs="Times New Roman"/>
                      <w:b/>
                      <w:bCs/>
                      <w:color w:val="auto"/>
                      <w:sz w:val="21"/>
                      <w:szCs w:val="21"/>
                    </w:rPr>
                    <w:t>/h</w:t>
                  </w:r>
                </w:p>
              </w:tc>
              <w:tc>
                <w:tcPr>
                  <w:tcW w:w="2358" w:type="dxa"/>
                  <w:gridSpan w:val="3"/>
                  <w:shd w:val="clear" w:color="auto" w:fill="auto"/>
                  <w:noWrap w:val="0"/>
                  <w:vAlign w:val="center"/>
                </w:tcPr>
                <w:p>
                  <w:pPr>
                    <w:widowControl/>
                    <w:jc w:val="center"/>
                    <w:rPr>
                      <w:rFonts w:ascii="Times New Roman" w:hAnsi="Times New Roman"/>
                      <w:b/>
                      <w:bCs/>
                      <w:color w:val="auto"/>
                      <w:sz w:val="18"/>
                      <w:szCs w:val="18"/>
                    </w:rPr>
                  </w:pPr>
                  <w:r>
                    <w:rPr>
                      <w:rFonts w:hint="default" w:ascii="Times New Roman" w:hAnsi="Times New Roman" w:eastAsia="宋体" w:cs="Times New Roman"/>
                      <w:b/>
                      <w:bCs/>
                      <w:color w:val="auto"/>
                      <w:kern w:val="2"/>
                      <w:sz w:val="18"/>
                      <w:szCs w:val="18"/>
                    </w:rPr>
                    <w:t>污染物产生情况</w:t>
                  </w:r>
                </w:p>
              </w:tc>
              <w:tc>
                <w:tcPr>
                  <w:tcW w:w="2137" w:type="dxa"/>
                  <w:gridSpan w:val="3"/>
                  <w:noWrap w:val="0"/>
                  <w:vAlign w:val="center"/>
                </w:tcPr>
                <w:p>
                  <w:pPr>
                    <w:widowControl/>
                    <w:jc w:val="center"/>
                    <w:rPr>
                      <w:rFonts w:hint="default" w:ascii="Times New Roman" w:hAnsi="Times New Roman" w:eastAsia="宋体"/>
                      <w:b/>
                      <w:bCs/>
                      <w:color w:val="auto"/>
                      <w:sz w:val="18"/>
                      <w:szCs w:val="18"/>
                      <w:lang w:val="en-US" w:eastAsia="zh-CN"/>
                    </w:rPr>
                  </w:pPr>
                  <w:r>
                    <w:rPr>
                      <w:rFonts w:hint="default" w:ascii="Times New Roman" w:hAnsi="Times New Roman" w:eastAsia="宋体" w:cs="Times New Roman"/>
                      <w:b/>
                      <w:bCs/>
                      <w:color w:val="auto"/>
                      <w:kern w:val="2"/>
                      <w:sz w:val="18"/>
                      <w:szCs w:val="18"/>
                    </w:rPr>
                    <w:t>污染物排放情况</w:t>
                  </w:r>
                </w:p>
              </w:tc>
              <w:tc>
                <w:tcPr>
                  <w:tcW w:w="611" w:type="dxa"/>
                  <w:shd w:val="clear" w:color="auto" w:fill="auto"/>
                  <w:noWrap w:val="0"/>
                  <w:vAlign w:val="center"/>
                </w:tcPr>
                <w:p>
                  <w:pPr>
                    <w:pStyle w:val="30"/>
                    <w:keepNext w:val="0"/>
                    <w:keepLines w:val="0"/>
                    <w:pageBreakBefore w:val="0"/>
                    <w:widowControl/>
                    <w:kinsoku/>
                    <w:wordWrap/>
                    <w:overflowPunct/>
                    <w:topLinePunct w:val="0"/>
                    <w:autoSpaceDE/>
                    <w:autoSpaceDN/>
                    <w:bidi w:val="0"/>
                    <w:spacing w:line="240" w:lineRule="auto"/>
                    <w:ind w:firstLine="0" w:firstLineChars="0"/>
                    <w:textAlignment w:val="auto"/>
                    <w:rPr>
                      <w:rFonts w:hint="eastAsia" w:ascii="Times New Roman" w:hAnsi="Times New Roman" w:eastAsia="宋体" w:cs="Times New Roman"/>
                      <w:b/>
                      <w:bCs/>
                      <w:color w:val="auto"/>
                      <w:spacing w:val="-10"/>
                      <w:kern w:val="2"/>
                      <w:sz w:val="18"/>
                      <w:szCs w:val="18"/>
                      <w:lang w:val="en-US" w:eastAsia="zh-CN" w:bidi="ar-SA"/>
                    </w:rPr>
                  </w:pPr>
                  <w:r>
                    <w:rPr>
                      <w:rFonts w:hint="default" w:ascii="Times New Roman" w:hAnsi="Times New Roman" w:eastAsia="宋体" w:cs="Times New Roman"/>
                      <w:b/>
                      <w:bCs/>
                      <w:color w:val="auto"/>
                      <w:kern w:val="2"/>
                      <w:sz w:val="18"/>
                      <w:szCs w:val="18"/>
                    </w:rPr>
                    <w:t>执行标准</w:t>
                  </w:r>
                </w:p>
              </w:tc>
              <w:tc>
                <w:tcPr>
                  <w:tcW w:w="371" w:type="dxa"/>
                  <w:vMerge w:val="restart"/>
                  <w:shd w:val="clear" w:color="auto" w:fill="auto"/>
                  <w:noWrap w:val="0"/>
                  <w:vAlign w:val="center"/>
                </w:tcPr>
                <w:p>
                  <w:pPr>
                    <w:pStyle w:val="30"/>
                    <w:keepNext w:val="0"/>
                    <w:keepLines w:val="0"/>
                    <w:pageBreakBefore w:val="0"/>
                    <w:widowControl/>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b/>
                      <w:bCs/>
                      <w:color w:val="auto"/>
                      <w:kern w:val="2"/>
                      <w:sz w:val="18"/>
                      <w:szCs w:val="18"/>
                      <w:lang w:val="en-US" w:eastAsia="zh-CN"/>
                    </w:rPr>
                  </w:pPr>
                  <w:r>
                    <w:rPr>
                      <w:rFonts w:hint="eastAsia" w:ascii="Times New Roman" w:hAnsi="Times New Roman" w:eastAsia="宋体" w:cs="Times New Roman"/>
                      <w:b/>
                      <w:bCs/>
                      <w:color w:val="auto"/>
                      <w:kern w:val="2"/>
                      <w:sz w:val="18"/>
                      <w:szCs w:val="18"/>
                      <w:lang w:val="en-US" w:eastAsia="zh-CN"/>
                    </w:rPr>
                    <w:t>工作时间h</w:t>
                  </w:r>
                </w:p>
              </w:tc>
              <w:tc>
                <w:tcPr>
                  <w:tcW w:w="440" w:type="dxa"/>
                  <w:vMerge w:val="restart"/>
                  <w:noWrap w:val="0"/>
                  <w:vAlign w:val="center"/>
                </w:tcPr>
                <w:p>
                  <w:pPr>
                    <w:adjustRightInd w:val="0"/>
                    <w:snapToGrid w:val="0"/>
                    <w:jc w:val="center"/>
                    <w:rPr>
                      <w:rFonts w:ascii="Times New Roman" w:hAnsi="Times New Roman"/>
                      <w:b/>
                      <w:bCs/>
                      <w:color w:val="auto"/>
                      <w:sz w:val="18"/>
                      <w:szCs w:val="18"/>
                    </w:rPr>
                  </w:pPr>
                  <w:r>
                    <w:rPr>
                      <w:rFonts w:ascii="Times New Roman" w:hAnsi="Times New Roman"/>
                      <w:b/>
                      <w:bCs/>
                      <w:color w:val="auto"/>
                      <w:sz w:val="18"/>
                      <w:szCs w:val="18"/>
                    </w:rPr>
                    <w:t>排放去向</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630" w:hRule="atLeast"/>
                <w:jc w:val="center"/>
              </w:trPr>
              <w:tc>
                <w:tcPr>
                  <w:tcW w:w="412" w:type="dxa"/>
                  <w:vMerge w:val="continue"/>
                  <w:noWrap w:val="0"/>
                  <w:vAlign w:val="center"/>
                </w:tcPr>
                <w:p>
                  <w:pPr>
                    <w:widowControl/>
                    <w:jc w:val="center"/>
                    <w:rPr>
                      <w:color w:val="auto"/>
                    </w:rPr>
                  </w:pPr>
                </w:p>
              </w:tc>
              <w:tc>
                <w:tcPr>
                  <w:tcW w:w="531" w:type="dxa"/>
                  <w:vMerge w:val="continue"/>
                  <w:noWrap w:val="0"/>
                  <w:vAlign w:val="center"/>
                </w:tcPr>
                <w:p>
                  <w:pPr>
                    <w:widowControl/>
                    <w:jc w:val="center"/>
                    <w:rPr>
                      <w:color w:val="auto"/>
                    </w:rPr>
                  </w:pPr>
                </w:p>
              </w:tc>
              <w:tc>
                <w:tcPr>
                  <w:tcW w:w="770" w:type="dxa"/>
                  <w:vMerge w:val="continue"/>
                  <w:noWrap w:val="0"/>
                  <w:vAlign w:val="center"/>
                </w:tcPr>
                <w:p>
                  <w:pPr>
                    <w:widowControl/>
                    <w:jc w:val="center"/>
                    <w:rPr>
                      <w:color w:val="auto"/>
                    </w:rPr>
                  </w:pPr>
                </w:p>
              </w:tc>
              <w:tc>
                <w:tcPr>
                  <w:tcW w:w="480" w:type="dxa"/>
                  <w:vMerge w:val="continue"/>
                  <w:noWrap w:val="0"/>
                  <w:vAlign w:val="center"/>
                </w:tcPr>
                <w:p>
                  <w:pPr>
                    <w:widowControl/>
                    <w:jc w:val="center"/>
                    <w:rPr>
                      <w:color w:val="auto"/>
                    </w:rPr>
                  </w:pPr>
                </w:p>
              </w:tc>
              <w:tc>
                <w:tcPr>
                  <w:tcW w:w="805" w:type="dxa"/>
                  <w:shd w:val="clear" w:color="auto" w:fill="auto"/>
                  <w:noWrap w:val="0"/>
                  <w:vAlign w:val="center"/>
                </w:tcPr>
                <w:p>
                  <w:pPr>
                    <w:widowControl/>
                    <w:jc w:val="center"/>
                    <w:rPr>
                      <w:color w:val="auto"/>
                    </w:rPr>
                  </w:pPr>
                  <w:r>
                    <w:rPr>
                      <w:rFonts w:ascii="Times New Roman" w:hAnsi="Times New Roman"/>
                      <w:b/>
                      <w:bCs/>
                      <w:color w:val="auto"/>
                      <w:sz w:val="18"/>
                      <w:szCs w:val="18"/>
                    </w:rPr>
                    <w:t>产生量t/a</w:t>
                  </w:r>
                </w:p>
              </w:tc>
              <w:tc>
                <w:tcPr>
                  <w:tcW w:w="823" w:type="dxa"/>
                  <w:shd w:val="clear" w:color="auto" w:fill="auto"/>
                  <w:noWrap w:val="0"/>
                  <w:vAlign w:val="center"/>
                </w:tcPr>
                <w:p>
                  <w:pPr>
                    <w:widowControl/>
                    <w:jc w:val="center"/>
                    <w:rPr>
                      <w:color w:val="auto"/>
                    </w:rPr>
                  </w:pPr>
                  <w:r>
                    <w:rPr>
                      <w:rFonts w:ascii="Times New Roman" w:hAnsi="Times New Roman"/>
                      <w:b/>
                      <w:bCs/>
                      <w:color w:val="auto"/>
                      <w:sz w:val="18"/>
                      <w:szCs w:val="18"/>
                    </w:rPr>
                    <w:t>排放速率kg/h</w:t>
                  </w:r>
                </w:p>
              </w:tc>
              <w:tc>
                <w:tcPr>
                  <w:tcW w:w="730" w:type="dxa"/>
                  <w:shd w:val="clear" w:color="auto" w:fill="auto"/>
                  <w:noWrap w:val="0"/>
                  <w:vAlign w:val="center"/>
                </w:tcPr>
                <w:p>
                  <w:pPr>
                    <w:widowControl/>
                    <w:jc w:val="center"/>
                    <w:rPr>
                      <w:color w:val="auto"/>
                    </w:rPr>
                  </w:pPr>
                  <w:r>
                    <w:rPr>
                      <w:rFonts w:hint="eastAsia" w:ascii="Times New Roman" w:hAnsi="Times New Roman"/>
                      <w:b/>
                      <w:bCs/>
                      <w:color w:val="auto"/>
                      <w:sz w:val="18"/>
                      <w:szCs w:val="18"/>
                      <w:lang w:eastAsia="zh-CN"/>
                    </w:rPr>
                    <w:t>排放浓度</w:t>
                  </w:r>
                  <w:r>
                    <w:rPr>
                      <w:rFonts w:hint="eastAsia" w:ascii="Times New Roman" w:hAnsi="Times New Roman"/>
                      <w:b/>
                      <w:bCs/>
                      <w:color w:val="auto"/>
                      <w:sz w:val="18"/>
                      <w:szCs w:val="18"/>
                      <w:lang w:val="en-US" w:eastAsia="zh-CN"/>
                    </w:rPr>
                    <w:t>mg/m</w:t>
                  </w:r>
                  <w:r>
                    <w:rPr>
                      <w:rFonts w:hint="eastAsia" w:ascii="Times New Roman" w:hAnsi="Times New Roman"/>
                      <w:b/>
                      <w:bCs/>
                      <w:color w:val="auto"/>
                      <w:sz w:val="18"/>
                      <w:szCs w:val="18"/>
                      <w:vertAlign w:val="superscript"/>
                      <w:lang w:val="en-US" w:eastAsia="zh-CN"/>
                    </w:rPr>
                    <w:t>3</w:t>
                  </w:r>
                </w:p>
              </w:tc>
              <w:tc>
                <w:tcPr>
                  <w:tcW w:w="783" w:type="dxa"/>
                  <w:noWrap w:val="0"/>
                  <w:vAlign w:val="center"/>
                </w:tcPr>
                <w:p>
                  <w:pPr>
                    <w:adjustRightInd w:val="0"/>
                    <w:snapToGrid w:val="0"/>
                    <w:jc w:val="center"/>
                    <w:rPr>
                      <w:rFonts w:ascii="Times New Roman" w:hAnsi="Times New Roman"/>
                      <w:b/>
                      <w:bCs/>
                      <w:color w:val="auto"/>
                      <w:sz w:val="18"/>
                      <w:szCs w:val="18"/>
                    </w:rPr>
                  </w:pPr>
                  <w:r>
                    <w:rPr>
                      <w:rFonts w:ascii="Times New Roman" w:hAnsi="Times New Roman"/>
                      <w:b/>
                      <w:bCs/>
                      <w:color w:val="auto"/>
                      <w:sz w:val="18"/>
                      <w:szCs w:val="18"/>
                    </w:rPr>
                    <w:t>排放量t/a</w:t>
                  </w:r>
                </w:p>
              </w:tc>
              <w:tc>
                <w:tcPr>
                  <w:tcW w:w="717" w:type="dxa"/>
                  <w:noWrap w:val="0"/>
                  <w:vAlign w:val="center"/>
                </w:tcPr>
                <w:p>
                  <w:pPr>
                    <w:widowControl/>
                    <w:jc w:val="center"/>
                    <w:rPr>
                      <w:rFonts w:ascii="Times New Roman" w:hAnsi="Times New Roman"/>
                      <w:b/>
                      <w:bCs/>
                      <w:color w:val="auto"/>
                      <w:sz w:val="18"/>
                      <w:szCs w:val="18"/>
                    </w:rPr>
                  </w:pPr>
                  <w:r>
                    <w:rPr>
                      <w:rFonts w:ascii="Times New Roman" w:hAnsi="Times New Roman"/>
                      <w:b/>
                      <w:bCs/>
                      <w:color w:val="auto"/>
                      <w:sz w:val="18"/>
                      <w:szCs w:val="18"/>
                    </w:rPr>
                    <w:t>排放速率kg/h</w:t>
                  </w:r>
                </w:p>
              </w:tc>
              <w:tc>
                <w:tcPr>
                  <w:tcW w:w="637" w:type="dxa"/>
                  <w:noWrap w:val="0"/>
                  <w:vAlign w:val="center"/>
                </w:tcPr>
                <w:p>
                  <w:pPr>
                    <w:widowControl/>
                    <w:jc w:val="center"/>
                    <w:rPr>
                      <w:rFonts w:ascii="Times New Roman" w:hAnsi="Times New Roman"/>
                      <w:b/>
                      <w:bCs/>
                      <w:color w:val="auto"/>
                      <w:sz w:val="18"/>
                      <w:szCs w:val="18"/>
                    </w:rPr>
                  </w:pPr>
                  <w:r>
                    <w:rPr>
                      <w:rFonts w:hint="eastAsia" w:ascii="Times New Roman" w:hAnsi="Times New Roman"/>
                      <w:b/>
                      <w:bCs/>
                      <w:color w:val="auto"/>
                      <w:sz w:val="18"/>
                      <w:szCs w:val="18"/>
                      <w:lang w:eastAsia="zh-CN"/>
                    </w:rPr>
                    <w:t>排放浓度</w:t>
                  </w:r>
                  <w:r>
                    <w:rPr>
                      <w:rFonts w:hint="eastAsia" w:ascii="Times New Roman" w:hAnsi="Times New Roman"/>
                      <w:b/>
                      <w:bCs/>
                      <w:color w:val="auto"/>
                      <w:sz w:val="18"/>
                      <w:szCs w:val="18"/>
                      <w:lang w:val="en-US" w:eastAsia="zh-CN"/>
                    </w:rPr>
                    <w:t>mg/m</w:t>
                  </w:r>
                  <w:r>
                    <w:rPr>
                      <w:rFonts w:hint="eastAsia" w:ascii="Times New Roman" w:hAnsi="Times New Roman"/>
                      <w:b/>
                      <w:bCs/>
                      <w:color w:val="auto"/>
                      <w:sz w:val="18"/>
                      <w:szCs w:val="18"/>
                      <w:vertAlign w:val="superscript"/>
                      <w:lang w:val="en-US" w:eastAsia="zh-CN"/>
                    </w:rPr>
                    <w:t>3</w:t>
                  </w:r>
                </w:p>
              </w:tc>
              <w:tc>
                <w:tcPr>
                  <w:tcW w:w="611" w:type="dxa"/>
                  <w:shd w:val="clear" w:color="auto" w:fill="auto"/>
                  <w:noWrap w:val="0"/>
                  <w:vAlign w:val="center"/>
                </w:tcPr>
                <w:p>
                  <w:pPr>
                    <w:pStyle w:val="30"/>
                    <w:keepNext w:val="0"/>
                    <w:keepLines w:val="0"/>
                    <w:pageBreakBefore w:val="0"/>
                    <w:widowControl/>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rPr>
                    <w:t>排放</w:t>
                  </w:r>
                </w:p>
                <w:p>
                  <w:pPr>
                    <w:pStyle w:val="30"/>
                    <w:keepNext w:val="0"/>
                    <w:keepLines w:val="0"/>
                    <w:pageBreakBefore w:val="0"/>
                    <w:widowControl/>
                    <w:kinsoku/>
                    <w:wordWrap/>
                    <w:overflowPunct/>
                    <w:topLinePunct w:val="0"/>
                    <w:autoSpaceDE/>
                    <w:autoSpaceDN/>
                    <w:bidi w:val="0"/>
                    <w:spacing w:line="240" w:lineRule="auto"/>
                    <w:ind w:firstLine="0" w:firstLineChars="0"/>
                    <w:textAlignment w:val="auto"/>
                    <w:rPr>
                      <w:rFonts w:ascii="Times New Roman" w:hAnsi="Times New Roman"/>
                      <w:b/>
                      <w:bCs/>
                      <w:color w:val="auto"/>
                      <w:sz w:val="18"/>
                      <w:szCs w:val="18"/>
                    </w:rPr>
                  </w:pPr>
                  <w:r>
                    <w:rPr>
                      <w:rFonts w:hint="default" w:ascii="Times New Roman" w:hAnsi="Times New Roman" w:eastAsia="宋体" w:cs="Times New Roman"/>
                      <w:b/>
                      <w:bCs/>
                      <w:color w:val="auto"/>
                      <w:kern w:val="2"/>
                      <w:sz w:val="18"/>
                      <w:szCs w:val="18"/>
                    </w:rPr>
                    <w:t>浓度mg/m</w:t>
                  </w:r>
                  <w:r>
                    <w:rPr>
                      <w:rFonts w:hint="default" w:ascii="Times New Roman" w:hAnsi="Times New Roman" w:eastAsia="宋体" w:cs="Times New Roman"/>
                      <w:b/>
                      <w:bCs/>
                      <w:color w:val="auto"/>
                      <w:kern w:val="2"/>
                      <w:sz w:val="18"/>
                      <w:szCs w:val="18"/>
                      <w:vertAlign w:val="superscript"/>
                    </w:rPr>
                    <w:t>3</w:t>
                  </w:r>
                </w:p>
              </w:tc>
              <w:tc>
                <w:tcPr>
                  <w:tcW w:w="371" w:type="dxa"/>
                  <w:vMerge w:val="continue"/>
                  <w:shd w:val="clear" w:color="auto" w:fill="auto"/>
                  <w:noWrap w:val="0"/>
                  <w:vAlign w:val="center"/>
                </w:tcPr>
                <w:p>
                  <w:pPr>
                    <w:pStyle w:val="30"/>
                    <w:keepNext w:val="0"/>
                    <w:keepLines w:val="0"/>
                    <w:pageBreakBefore w:val="0"/>
                    <w:widowControl/>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b/>
                      <w:bCs/>
                      <w:color w:val="auto"/>
                      <w:kern w:val="2"/>
                      <w:sz w:val="18"/>
                      <w:szCs w:val="18"/>
                    </w:rPr>
                  </w:pPr>
                </w:p>
              </w:tc>
              <w:tc>
                <w:tcPr>
                  <w:tcW w:w="440" w:type="dxa"/>
                  <w:vMerge w:val="continue"/>
                  <w:noWrap w:val="0"/>
                  <w:vAlign w:val="center"/>
                </w:tcPr>
                <w:p>
                  <w:pPr>
                    <w:widowControl/>
                    <w:jc w:val="center"/>
                    <w:rPr>
                      <w:rFonts w:ascii="Times New Roman" w:hAnsi="Times New Roman"/>
                      <w:b/>
                      <w:bCs/>
                      <w:color w:val="auto"/>
                      <w:sz w:val="18"/>
                      <w:szCs w:val="18"/>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432" w:hRule="atLeast"/>
                <w:jc w:val="center"/>
              </w:trPr>
              <w:tc>
                <w:tcPr>
                  <w:tcW w:w="412" w:type="dxa"/>
                  <w:vMerge w:val="restart"/>
                  <w:noWrap w:val="0"/>
                  <w:vAlign w:val="center"/>
                </w:tcPr>
                <w:p>
                  <w:pPr>
                    <w:adjustRightInd w:val="0"/>
                    <w:snapToGrid w:val="0"/>
                    <w:jc w:val="center"/>
                    <w:rPr>
                      <w:rFonts w:hint="eastAsia" w:ascii="Times New Roman" w:hAnsi="Times New Roman" w:eastAsia="宋体"/>
                      <w:color w:val="auto"/>
                      <w:sz w:val="18"/>
                      <w:szCs w:val="18"/>
                      <w:lang w:eastAsia="zh-CN"/>
                    </w:rPr>
                  </w:pPr>
                  <w:r>
                    <w:rPr>
                      <w:rFonts w:ascii="Times New Roman" w:hAnsi="Times New Roman"/>
                      <w:color w:val="auto"/>
                      <w:sz w:val="18"/>
                      <w:szCs w:val="18"/>
                    </w:rPr>
                    <w:t>天然气</w:t>
                  </w:r>
                </w:p>
              </w:tc>
              <w:tc>
                <w:tcPr>
                  <w:tcW w:w="531" w:type="dxa"/>
                  <w:vMerge w:val="restart"/>
                  <w:noWrap w:val="0"/>
                  <w:vAlign w:val="center"/>
                </w:tcPr>
                <w:p>
                  <w:pPr>
                    <w:adjustRightInd w:val="0"/>
                    <w:snapToGrid w:val="0"/>
                    <w:jc w:val="center"/>
                    <w:rPr>
                      <w:rFonts w:ascii="Times New Roman" w:hAnsi="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388.8</w:t>
                  </w:r>
                </w:p>
              </w:tc>
              <w:tc>
                <w:tcPr>
                  <w:tcW w:w="770" w:type="dxa"/>
                  <w:noWrap w:val="0"/>
                  <w:vAlign w:val="center"/>
                </w:tcPr>
                <w:p>
                  <w:pPr>
                    <w:adjustRightInd w:val="0"/>
                    <w:snapToGrid w:val="0"/>
                    <w:jc w:val="center"/>
                    <w:rPr>
                      <w:rFonts w:ascii="Times New Roman" w:hAnsi="Times New Roman"/>
                      <w:color w:val="auto"/>
                      <w:sz w:val="18"/>
                      <w:szCs w:val="18"/>
                    </w:rPr>
                  </w:pPr>
                  <w:r>
                    <w:rPr>
                      <w:rFonts w:ascii="Times New Roman" w:hAnsi="Times New Roman"/>
                      <w:color w:val="auto"/>
                      <w:sz w:val="18"/>
                      <w:szCs w:val="18"/>
                    </w:rPr>
                    <w:t>SO</w:t>
                  </w:r>
                  <w:r>
                    <w:rPr>
                      <w:rFonts w:ascii="Times New Roman" w:hAnsi="Times New Roman"/>
                      <w:color w:val="auto"/>
                      <w:sz w:val="18"/>
                      <w:szCs w:val="18"/>
                      <w:vertAlign w:val="subscript"/>
                    </w:rPr>
                    <w:t>2</w:t>
                  </w:r>
                </w:p>
              </w:tc>
              <w:tc>
                <w:tcPr>
                  <w:tcW w:w="480" w:type="dxa"/>
                  <w:vMerge w:val="restart"/>
                  <w:noWrap w:val="0"/>
                  <w:vAlign w:val="center"/>
                </w:tcPr>
                <w:p>
                  <w:pPr>
                    <w:keepNext w:val="0"/>
                    <w:keepLines w:val="0"/>
                    <w:widowControl/>
                    <w:suppressLineNumbers w:val="0"/>
                    <w:jc w:val="center"/>
                    <w:textAlignment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12000</w:t>
                  </w:r>
                </w:p>
              </w:tc>
              <w:tc>
                <w:tcPr>
                  <w:tcW w:w="805" w:type="dxa"/>
                  <w:shd w:val="clear" w:color="auto" w:fill="auto"/>
                  <w:noWrap w:val="0"/>
                  <w:vAlign w:val="center"/>
                </w:tcPr>
                <w:p>
                  <w:pPr>
                    <w:adjustRightInd w:val="0"/>
                    <w:snapToGrid w:val="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0.7776</w:t>
                  </w:r>
                </w:p>
              </w:tc>
              <w:tc>
                <w:tcPr>
                  <w:tcW w:w="823" w:type="dxa"/>
                  <w:shd w:val="clear" w:color="auto" w:fill="auto"/>
                  <w:noWrap w:val="0"/>
                  <w:vAlign w:val="center"/>
                </w:tcPr>
                <w:p>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 xml:space="preserve">0.1080 </w:t>
                  </w:r>
                </w:p>
              </w:tc>
              <w:tc>
                <w:tcPr>
                  <w:tcW w:w="730" w:type="dxa"/>
                  <w:shd w:val="clear" w:color="auto" w:fill="auto"/>
                  <w:noWrap w:val="0"/>
                  <w:vAlign w:val="center"/>
                </w:tcPr>
                <w:p>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 xml:space="preserve">3.86 </w:t>
                  </w:r>
                </w:p>
              </w:tc>
              <w:tc>
                <w:tcPr>
                  <w:tcW w:w="783" w:type="dxa"/>
                  <w:shd w:val="clear" w:color="auto" w:fill="auto"/>
                  <w:noWrap w:val="0"/>
                  <w:vAlign w:val="center"/>
                </w:tcPr>
                <w:p>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0.7776</w:t>
                  </w:r>
                </w:p>
              </w:tc>
              <w:tc>
                <w:tcPr>
                  <w:tcW w:w="717" w:type="dxa"/>
                  <w:noWrap w:val="0"/>
                  <w:vAlign w:val="center"/>
                </w:tcPr>
                <w:p>
                  <w:pPr>
                    <w:adjustRightInd w:val="0"/>
                    <w:snapToGrid w:val="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 xml:space="preserve">0.1080 </w:t>
                  </w:r>
                </w:p>
              </w:tc>
              <w:tc>
                <w:tcPr>
                  <w:tcW w:w="637" w:type="dxa"/>
                  <w:noWrap w:val="0"/>
                  <w:vAlign w:val="center"/>
                </w:tcPr>
                <w:p>
                  <w:pPr>
                    <w:adjustRightInd w:val="0"/>
                    <w:snapToGrid w:val="0"/>
                    <w:jc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 xml:space="preserve">3.86 </w:t>
                  </w:r>
                </w:p>
              </w:tc>
              <w:tc>
                <w:tcPr>
                  <w:tcW w:w="611" w:type="dxa"/>
                  <w:shd w:val="clear" w:color="auto" w:fill="auto"/>
                  <w:noWrap w:val="0"/>
                  <w:vAlign w:val="center"/>
                </w:tcPr>
                <w:p>
                  <w:pPr>
                    <w:pStyle w:val="30"/>
                    <w:keepNext w:val="0"/>
                    <w:keepLines w:val="0"/>
                    <w:pageBreakBefore w:val="0"/>
                    <w:widowControl/>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b/>
                      <w:bCs/>
                      <w:color w:val="auto"/>
                      <w:spacing w:val="-10"/>
                      <w:kern w:val="2"/>
                      <w:sz w:val="18"/>
                      <w:szCs w:val="18"/>
                      <w:lang w:val="en-US" w:eastAsia="zh-CN" w:bidi="ar-SA"/>
                    </w:rPr>
                  </w:pPr>
                  <w:r>
                    <w:rPr>
                      <w:rFonts w:hint="eastAsia" w:ascii="Times New Roman" w:hAnsi="Times New Roman" w:eastAsia="宋体" w:cs="Times New Roman"/>
                      <w:color w:val="auto"/>
                      <w:kern w:val="2"/>
                      <w:sz w:val="18"/>
                      <w:szCs w:val="18"/>
                      <w:lang w:val="en-US" w:eastAsia="zh-CN"/>
                    </w:rPr>
                    <w:t>80</w:t>
                  </w:r>
                </w:p>
              </w:tc>
              <w:tc>
                <w:tcPr>
                  <w:tcW w:w="371" w:type="dxa"/>
                  <w:vMerge w:val="restart"/>
                  <w:shd w:val="clear" w:color="auto" w:fill="auto"/>
                  <w:noWrap w:val="0"/>
                  <w:vAlign w:val="center"/>
                </w:tcPr>
                <w:p>
                  <w:pPr>
                    <w:pStyle w:val="30"/>
                    <w:keepNext w:val="0"/>
                    <w:keepLines w:val="0"/>
                    <w:pageBreakBefore w:val="0"/>
                    <w:widowControl/>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7200</w:t>
                  </w:r>
                </w:p>
              </w:tc>
              <w:tc>
                <w:tcPr>
                  <w:tcW w:w="440" w:type="dxa"/>
                  <w:vMerge w:val="restart"/>
                  <w:noWrap w:val="0"/>
                  <w:vAlign w:val="center"/>
                </w:tcPr>
                <w:p>
                  <w:pPr>
                    <w:adjustRightInd w:val="0"/>
                    <w:snapToGrid w:val="0"/>
                    <w:jc w:val="center"/>
                    <w:rPr>
                      <w:rFonts w:ascii="Times New Roman" w:hAnsi="Times New Roman"/>
                      <w:color w:val="auto"/>
                      <w:sz w:val="18"/>
                      <w:szCs w:val="18"/>
                    </w:rPr>
                  </w:pPr>
                  <w:r>
                    <w:rPr>
                      <w:rFonts w:hint="eastAsia" w:ascii="Times New Roman" w:hAnsi="Times New Roman" w:eastAsia="宋体" w:cs="Times New Roman"/>
                      <w:color w:val="auto"/>
                      <w:spacing w:val="-10"/>
                      <w:kern w:val="2"/>
                      <w:sz w:val="18"/>
                      <w:szCs w:val="18"/>
                      <w:lang w:val="en-US" w:eastAsia="zh-CN" w:bidi="ar-SA"/>
                    </w:rPr>
                    <w:t>DA001</w:t>
                  </w:r>
                  <w:r>
                    <w:rPr>
                      <w:rFonts w:hint="eastAsia" w:ascii="Times New Roman" w:hAnsi="Times New Roman"/>
                      <w:color w:val="auto"/>
                      <w:sz w:val="18"/>
                      <w:szCs w:val="18"/>
                    </w:rPr>
                    <w:t>排气筒排放</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432" w:hRule="atLeast"/>
                <w:jc w:val="center"/>
              </w:trPr>
              <w:tc>
                <w:tcPr>
                  <w:tcW w:w="412" w:type="dxa"/>
                  <w:vMerge w:val="continue"/>
                  <w:noWrap w:val="0"/>
                  <w:vAlign w:val="center"/>
                </w:tcPr>
                <w:p>
                  <w:pPr>
                    <w:adjustRightInd w:val="0"/>
                    <w:snapToGrid w:val="0"/>
                    <w:jc w:val="center"/>
                    <w:rPr>
                      <w:rFonts w:ascii="Times New Roman" w:hAnsi="Times New Roman"/>
                      <w:color w:val="auto"/>
                      <w:sz w:val="18"/>
                      <w:szCs w:val="18"/>
                    </w:rPr>
                  </w:pPr>
                </w:p>
              </w:tc>
              <w:tc>
                <w:tcPr>
                  <w:tcW w:w="531" w:type="dxa"/>
                  <w:vMerge w:val="continue"/>
                  <w:noWrap w:val="0"/>
                  <w:vAlign w:val="center"/>
                </w:tcPr>
                <w:p>
                  <w:pPr>
                    <w:adjustRightInd w:val="0"/>
                    <w:snapToGrid w:val="0"/>
                    <w:jc w:val="center"/>
                    <w:rPr>
                      <w:rFonts w:ascii="Times New Roman" w:hAnsi="Times New Roman"/>
                      <w:color w:val="auto"/>
                      <w:sz w:val="18"/>
                      <w:szCs w:val="18"/>
                    </w:rPr>
                  </w:pPr>
                </w:p>
              </w:tc>
              <w:tc>
                <w:tcPr>
                  <w:tcW w:w="770" w:type="dxa"/>
                  <w:noWrap w:val="0"/>
                  <w:vAlign w:val="center"/>
                </w:tcPr>
                <w:p>
                  <w:pPr>
                    <w:adjustRightInd w:val="0"/>
                    <w:snapToGrid w:val="0"/>
                    <w:jc w:val="center"/>
                    <w:rPr>
                      <w:rFonts w:ascii="Times New Roman" w:hAnsi="Times New Roman"/>
                      <w:color w:val="auto"/>
                      <w:sz w:val="18"/>
                      <w:szCs w:val="18"/>
                    </w:rPr>
                  </w:pPr>
                  <w:r>
                    <w:rPr>
                      <w:rFonts w:ascii="Times New Roman" w:hAnsi="Times New Roman"/>
                      <w:color w:val="auto"/>
                      <w:sz w:val="18"/>
                      <w:szCs w:val="18"/>
                    </w:rPr>
                    <w:t>NO</w:t>
                  </w:r>
                  <w:r>
                    <w:rPr>
                      <w:rFonts w:ascii="Times New Roman" w:hAnsi="Times New Roman"/>
                      <w:color w:val="auto"/>
                      <w:sz w:val="18"/>
                      <w:szCs w:val="18"/>
                      <w:vertAlign w:val="subscript"/>
                    </w:rPr>
                    <w:t>X</w:t>
                  </w:r>
                </w:p>
              </w:tc>
              <w:tc>
                <w:tcPr>
                  <w:tcW w:w="480" w:type="dxa"/>
                  <w:vMerge w:val="continue"/>
                  <w:noWrap w:val="0"/>
                  <w:vAlign w:val="center"/>
                </w:tcPr>
                <w:p>
                  <w:pPr>
                    <w:keepNext w:val="0"/>
                    <w:keepLines w:val="0"/>
                    <w:widowControl/>
                    <w:suppressLineNumbers w:val="0"/>
                    <w:jc w:val="center"/>
                    <w:textAlignment w:val="center"/>
                    <w:rPr>
                      <w:rFonts w:hint="default" w:ascii="Times New Roman" w:hAnsi="Times New Roman" w:eastAsia="宋体"/>
                      <w:color w:val="auto"/>
                      <w:sz w:val="18"/>
                      <w:szCs w:val="18"/>
                      <w:lang w:val="en-US" w:eastAsia="zh-CN"/>
                    </w:rPr>
                  </w:pPr>
                </w:p>
              </w:tc>
              <w:tc>
                <w:tcPr>
                  <w:tcW w:w="805" w:type="dxa"/>
                  <w:shd w:val="clear" w:color="auto" w:fill="auto"/>
                  <w:noWrap w:val="0"/>
                  <w:vAlign w:val="center"/>
                </w:tcPr>
                <w:p>
                  <w:pPr>
                    <w:adjustRightInd w:val="0"/>
                    <w:snapToGrid w:val="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7.2706</w:t>
                  </w:r>
                </w:p>
              </w:tc>
              <w:tc>
                <w:tcPr>
                  <w:tcW w:w="823" w:type="dxa"/>
                  <w:shd w:val="clear" w:color="auto" w:fill="auto"/>
                  <w:noWrap w:val="0"/>
                  <w:vAlign w:val="center"/>
                </w:tcPr>
                <w:p>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 xml:space="preserve">1.0098 </w:t>
                  </w:r>
                </w:p>
              </w:tc>
              <w:tc>
                <w:tcPr>
                  <w:tcW w:w="730" w:type="dxa"/>
                  <w:shd w:val="clear" w:color="auto" w:fill="auto"/>
                  <w:noWrap w:val="0"/>
                  <w:vAlign w:val="center"/>
                </w:tcPr>
                <w:p>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 xml:space="preserve">36.06 </w:t>
                  </w:r>
                </w:p>
              </w:tc>
              <w:tc>
                <w:tcPr>
                  <w:tcW w:w="783" w:type="dxa"/>
                  <w:shd w:val="clear" w:color="auto" w:fill="auto"/>
                  <w:noWrap w:val="0"/>
                  <w:vAlign w:val="center"/>
                </w:tcPr>
                <w:p>
                  <w:pPr>
                    <w:adjustRightInd w:val="0"/>
                    <w:snapToGrid w:val="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 xml:space="preserve">3.6353 </w:t>
                  </w:r>
                </w:p>
              </w:tc>
              <w:tc>
                <w:tcPr>
                  <w:tcW w:w="717" w:type="dxa"/>
                  <w:noWrap w:val="0"/>
                  <w:vAlign w:val="center"/>
                </w:tcPr>
                <w:p>
                  <w:pPr>
                    <w:adjustRightInd w:val="0"/>
                    <w:snapToGrid w:val="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 xml:space="preserve">0.5049 </w:t>
                  </w:r>
                </w:p>
              </w:tc>
              <w:tc>
                <w:tcPr>
                  <w:tcW w:w="637" w:type="dxa"/>
                  <w:noWrap w:val="0"/>
                  <w:vAlign w:val="center"/>
                </w:tcPr>
                <w:p>
                  <w:pPr>
                    <w:adjustRightInd w:val="0"/>
                    <w:snapToGrid w:val="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42.08</w:t>
                  </w:r>
                  <w:r>
                    <w:rPr>
                      <w:rFonts w:hint="default" w:ascii="Times New Roman" w:hAnsi="Times New Roman" w:eastAsia="宋体" w:cs="Times New Roman"/>
                      <w:color w:val="auto"/>
                      <w:sz w:val="18"/>
                      <w:szCs w:val="18"/>
                      <w:lang w:val="en-US" w:eastAsia="zh-CN"/>
                    </w:rPr>
                    <w:t xml:space="preserve"> </w:t>
                  </w:r>
                </w:p>
              </w:tc>
              <w:tc>
                <w:tcPr>
                  <w:tcW w:w="611" w:type="dxa"/>
                  <w:noWrap w:val="0"/>
                  <w:vAlign w:val="center"/>
                </w:tcPr>
                <w:p>
                  <w:pPr>
                    <w:pStyle w:val="30"/>
                    <w:keepNext w:val="0"/>
                    <w:keepLines w:val="0"/>
                    <w:pageBreakBefore w:val="0"/>
                    <w:widowControl/>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kern w:val="2"/>
                      <w:sz w:val="18"/>
                      <w:szCs w:val="18"/>
                      <w:lang w:val="en-US" w:eastAsia="zh-CN"/>
                    </w:rPr>
                    <w:t>180</w:t>
                  </w:r>
                </w:p>
              </w:tc>
              <w:tc>
                <w:tcPr>
                  <w:tcW w:w="371" w:type="dxa"/>
                  <w:vMerge w:val="continue"/>
                  <w:noWrap w:val="0"/>
                  <w:vAlign w:val="center"/>
                </w:tcPr>
                <w:p>
                  <w:pPr>
                    <w:keepNext w:val="0"/>
                    <w:keepLines w:val="0"/>
                    <w:pageBreakBefore w:val="0"/>
                    <w:widowControl/>
                    <w:kinsoku/>
                    <w:wordWrap/>
                    <w:overflowPunct/>
                    <w:topLinePunct w:val="0"/>
                    <w:autoSpaceDE/>
                    <w:autoSpaceDN/>
                    <w:bidi w:val="0"/>
                    <w:spacing w:line="240" w:lineRule="auto"/>
                    <w:ind w:firstLine="0" w:firstLineChars="0"/>
                    <w:textAlignment w:val="auto"/>
                    <w:rPr>
                      <w:rFonts w:hint="eastAsia" w:ascii="Times New Roman" w:hAnsi="Times New Roman" w:eastAsia="宋体" w:cs="Times New Roman"/>
                      <w:color w:val="auto"/>
                      <w:kern w:val="2"/>
                      <w:sz w:val="18"/>
                      <w:szCs w:val="18"/>
                      <w:lang w:val="en-US" w:eastAsia="zh-CN"/>
                    </w:rPr>
                  </w:pPr>
                </w:p>
              </w:tc>
              <w:tc>
                <w:tcPr>
                  <w:tcW w:w="440" w:type="dxa"/>
                  <w:vMerge w:val="continue"/>
                  <w:noWrap w:val="0"/>
                  <w:vAlign w:val="center"/>
                </w:tcPr>
                <w:p>
                  <w:pPr>
                    <w:adjustRightInd w:val="0"/>
                    <w:snapToGrid w:val="0"/>
                    <w:jc w:val="center"/>
                    <w:rPr>
                      <w:rFonts w:ascii="Times New Roman" w:hAnsi="Times New Roman"/>
                      <w:color w:val="auto"/>
                      <w:sz w:val="18"/>
                      <w:szCs w:val="18"/>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429" w:hRule="atLeast"/>
                <w:jc w:val="center"/>
              </w:trPr>
              <w:tc>
                <w:tcPr>
                  <w:tcW w:w="412" w:type="dxa"/>
                  <w:vMerge w:val="continue"/>
                  <w:noWrap w:val="0"/>
                  <w:vAlign w:val="center"/>
                </w:tcPr>
                <w:p>
                  <w:pPr>
                    <w:adjustRightInd w:val="0"/>
                    <w:snapToGrid w:val="0"/>
                    <w:jc w:val="center"/>
                    <w:rPr>
                      <w:rFonts w:ascii="Times New Roman" w:hAnsi="Times New Roman"/>
                      <w:color w:val="auto"/>
                      <w:sz w:val="18"/>
                      <w:szCs w:val="18"/>
                    </w:rPr>
                  </w:pPr>
                </w:p>
              </w:tc>
              <w:tc>
                <w:tcPr>
                  <w:tcW w:w="531" w:type="dxa"/>
                  <w:vMerge w:val="continue"/>
                  <w:noWrap w:val="0"/>
                  <w:vAlign w:val="center"/>
                </w:tcPr>
                <w:p>
                  <w:pPr>
                    <w:adjustRightInd w:val="0"/>
                    <w:snapToGrid w:val="0"/>
                    <w:jc w:val="center"/>
                    <w:rPr>
                      <w:rFonts w:ascii="Times New Roman" w:hAnsi="Times New Roman"/>
                      <w:color w:val="auto"/>
                      <w:sz w:val="18"/>
                      <w:szCs w:val="18"/>
                    </w:rPr>
                  </w:pPr>
                </w:p>
              </w:tc>
              <w:tc>
                <w:tcPr>
                  <w:tcW w:w="770" w:type="dxa"/>
                  <w:noWrap w:val="0"/>
                  <w:vAlign w:val="center"/>
                </w:tcPr>
                <w:p>
                  <w:pPr>
                    <w:adjustRightInd w:val="0"/>
                    <w:snapToGrid w:val="0"/>
                    <w:jc w:val="center"/>
                    <w:rPr>
                      <w:rFonts w:ascii="Times New Roman" w:hAnsi="Times New Roman"/>
                      <w:color w:val="auto"/>
                      <w:sz w:val="18"/>
                      <w:szCs w:val="18"/>
                    </w:rPr>
                  </w:pPr>
                  <w:r>
                    <w:rPr>
                      <w:rFonts w:ascii="Times New Roman" w:hAnsi="Times New Roman"/>
                      <w:color w:val="auto"/>
                      <w:sz w:val="18"/>
                      <w:szCs w:val="18"/>
                    </w:rPr>
                    <w:t>颗粒物</w:t>
                  </w:r>
                </w:p>
              </w:tc>
              <w:tc>
                <w:tcPr>
                  <w:tcW w:w="480" w:type="dxa"/>
                  <w:vMerge w:val="continue"/>
                  <w:noWrap w:val="0"/>
                  <w:vAlign w:val="center"/>
                </w:tcPr>
                <w:p>
                  <w:pPr>
                    <w:keepNext w:val="0"/>
                    <w:keepLines w:val="0"/>
                    <w:widowControl/>
                    <w:suppressLineNumbers w:val="0"/>
                    <w:jc w:val="center"/>
                    <w:textAlignment w:val="center"/>
                    <w:rPr>
                      <w:rFonts w:hint="default" w:ascii="Times New Roman" w:hAnsi="Times New Roman" w:eastAsia="宋体"/>
                      <w:color w:val="auto"/>
                      <w:sz w:val="18"/>
                      <w:szCs w:val="18"/>
                      <w:lang w:val="en-US" w:eastAsia="zh-CN"/>
                    </w:rPr>
                  </w:pPr>
                </w:p>
              </w:tc>
              <w:tc>
                <w:tcPr>
                  <w:tcW w:w="805" w:type="dxa"/>
                  <w:shd w:val="clear" w:color="auto" w:fill="auto"/>
                  <w:noWrap w:val="0"/>
                  <w:vAlign w:val="center"/>
                </w:tcPr>
                <w:p>
                  <w:pPr>
                    <w:adjustRightInd w:val="0"/>
                    <w:snapToGrid w:val="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1.1120</w:t>
                  </w:r>
                </w:p>
              </w:tc>
              <w:tc>
                <w:tcPr>
                  <w:tcW w:w="823" w:type="dxa"/>
                  <w:shd w:val="clear" w:color="auto" w:fill="auto"/>
                  <w:noWrap w:val="0"/>
                  <w:vAlign w:val="center"/>
                </w:tcPr>
                <w:p>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 xml:space="preserve">0.1544 </w:t>
                  </w:r>
                </w:p>
              </w:tc>
              <w:tc>
                <w:tcPr>
                  <w:tcW w:w="730" w:type="dxa"/>
                  <w:shd w:val="clear" w:color="auto" w:fill="auto"/>
                  <w:noWrap w:val="0"/>
                  <w:vAlign w:val="center"/>
                </w:tcPr>
                <w:p>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 xml:space="preserve">5.52 </w:t>
                  </w:r>
                </w:p>
              </w:tc>
              <w:tc>
                <w:tcPr>
                  <w:tcW w:w="783" w:type="dxa"/>
                  <w:shd w:val="clear" w:color="auto" w:fill="auto"/>
                  <w:noWrap w:val="0"/>
                  <w:vAlign w:val="center"/>
                </w:tcPr>
                <w:p>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1.1120</w:t>
                  </w:r>
                </w:p>
              </w:tc>
              <w:tc>
                <w:tcPr>
                  <w:tcW w:w="717" w:type="dxa"/>
                  <w:noWrap w:val="0"/>
                  <w:vAlign w:val="center"/>
                </w:tcPr>
                <w:p>
                  <w:pPr>
                    <w:adjustRightInd w:val="0"/>
                    <w:snapToGrid w:val="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 xml:space="preserve">0.1544 </w:t>
                  </w:r>
                </w:p>
              </w:tc>
              <w:tc>
                <w:tcPr>
                  <w:tcW w:w="637" w:type="dxa"/>
                  <w:noWrap w:val="0"/>
                  <w:vAlign w:val="center"/>
                </w:tcPr>
                <w:p>
                  <w:pPr>
                    <w:adjustRightInd w:val="0"/>
                    <w:snapToGrid w:val="0"/>
                    <w:jc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 xml:space="preserve">5.52 </w:t>
                  </w:r>
                </w:p>
              </w:tc>
              <w:tc>
                <w:tcPr>
                  <w:tcW w:w="611" w:type="dxa"/>
                  <w:noWrap w:val="0"/>
                  <w:vAlign w:val="center"/>
                </w:tcPr>
                <w:p>
                  <w:pPr>
                    <w:pStyle w:val="30"/>
                    <w:keepNext w:val="0"/>
                    <w:keepLines w:val="0"/>
                    <w:pageBreakBefore w:val="0"/>
                    <w:widowControl/>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bCs/>
                      <w:color w:val="auto"/>
                      <w:kern w:val="2"/>
                      <w:sz w:val="18"/>
                      <w:szCs w:val="18"/>
                      <w:lang w:val="en-US" w:eastAsia="zh-CN"/>
                    </w:rPr>
                    <w:t>20</w:t>
                  </w:r>
                </w:p>
              </w:tc>
              <w:tc>
                <w:tcPr>
                  <w:tcW w:w="371" w:type="dxa"/>
                  <w:vMerge w:val="continue"/>
                  <w:noWrap w:val="0"/>
                  <w:vAlign w:val="center"/>
                </w:tcPr>
                <w:p>
                  <w:pPr>
                    <w:keepNext w:val="0"/>
                    <w:keepLines w:val="0"/>
                    <w:pageBreakBefore w:val="0"/>
                    <w:widowControl/>
                    <w:kinsoku/>
                    <w:wordWrap/>
                    <w:overflowPunct/>
                    <w:topLinePunct w:val="0"/>
                    <w:autoSpaceDE/>
                    <w:autoSpaceDN/>
                    <w:bidi w:val="0"/>
                    <w:spacing w:line="240" w:lineRule="auto"/>
                    <w:ind w:firstLine="0" w:firstLineChars="0"/>
                    <w:textAlignment w:val="auto"/>
                    <w:rPr>
                      <w:rFonts w:hint="eastAsia" w:ascii="Times New Roman" w:hAnsi="Times New Roman" w:eastAsia="宋体" w:cs="Times New Roman"/>
                      <w:bCs/>
                      <w:color w:val="auto"/>
                      <w:kern w:val="2"/>
                      <w:sz w:val="18"/>
                      <w:szCs w:val="18"/>
                      <w:lang w:val="en-US" w:eastAsia="zh-CN"/>
                    </w:rPr>
                  </w:pPr>
                </w:p>
              </w:tc>
              <w:tc>
                <w:tcPr>
                  <w:tcW w:w="440" w:type="dxa"/>
                  <w:vMerge w:val="continue"/>
                  <w:noWrap w:val="0"/>
                  <w:vAlign w:val="center"/>
                </w:tcPr>
                <w:p>
                  <w:pPr>
                    <w:adjustRightInd w:val="0"/>
                    <w:snapToGrid w:val="0"/>
                    <w:jc w:val="center"/>
                    <w:rPr>
                      <w:rFonts w:ascii="Times New Roman" w:hAnsi="Times New Roman"/>
                      <w:color w:val="auto"/>
                      <w:sz w:val="18"/>
                      <w:szCs w:val="18"/>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429" w:hRule="atLeast"/>
                <w:jc w:val="center"/>
              </w:trPr>
              <w:tc>
                <w:tcPr>
                  <w:tcW w:w="412" w:type="dxa"/>
                  <w:vMerge w:val="continue"/>
                  <w:noWrap w:val="0"/>
                  <w:vAlign w:val="center"/>
                </w:tcPr>
                <w:p>
                  <w:pPr>
                    <w:adjustRightInd w:val="0"/>
                    <w:snapToGrid w:val="0"/>
                    <w:jc w:val="center"/>
                    <w:rPr>
                      <w:rFonts w:ascii="Times New Roman" w:hAnsi="Times New Roman"/>
                      <w:color w:val="auto"/>
                      <w:sz w:val="18"/>
                      <w:szCs w:val="18"/>
                    </w:rPr>
                  </w:pPr>
                </w:p>
              </w:tc>
              <w:tc>
                <w:tcPr>
                  <w:tcW w:w="531" w:type="dxa"/>
                  <w:vMerge w:val="restart"/>
                  <w:noWrap w:val="0"/>
                  <w:vAlign w:val="center"/>
                </w:tcPr>
                <w:p>
                  <w:pPr>
                    <w:adjustRightInd w:val="0"/>
                    <w:snapToGrid w:val="0"/>
                    <w:jc w:val="center"/>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711.6</w:t>
                  </w:r>
                </w:p>
              </w:tc>
              <w:tc>
                <w:tcPr>
                  <w:tcW w:w="770" w:type="dxa"/>
                  <w:shd w:val="clear" w:color="auto" w:fill="auto"/>
                  <w:noWrap w:val="0"/>
                  <w:vAlign w:val="center"/>
                </w:tcPr>
                <w:p>
                  <w:pPr>
                    <w:adjustRightInd w:val="0"/>
                    <w:snapToGrid w:val="0"/>
                    <w:jc w:val="center"/>
                    <w:rPr>
                      <w:rFonts w:ascii="Times New Roman" w:hAnsi="Times New Roman" w:eastAsia="宋体" w:cs="Times New Roman"/>
                      <w:color w:val="auto"/>
                      <w:kern w:val="2"/>
                      <w:sz w:val="18"/>
                      <w:szCs w:val="18"/>
                      <w:lang w:val="en-US" w:eastAsia="zh-CN" w:bidi="ar-SA"/>
                    </w:rPr>
                  </w:pPr>
                  <w:r>
                    <w:rPr>
                      <w:rFonts w:ascii="Times New Roman" w:hAnsi="Times New Roman"/>
                      <w:color w:val="auto"/>
                      <w:sz w:val="18"/>
                      <w:szCs w:val="18"/>
                    </w:rPr>
                    <w:t>SO</w:t>
                  </w:r>
                  <w:r>
                    <w:rPr>
                      <w:rFonts w:ascii="Times New Roman" w:hAnsi="Times New Roman"/>
                      <w:color w:val="auto"/>
                      <w:sz w:val="18"/>
                      <w:szCs w:val="18"/>
                      <w:vertAlign w:val="subscript"/>
                    </w:rPr>
                    <w:t>2</w:t>
                  </w:r>
                </w:p>
              </w:tc>
              <w:tc>
                <w:tcPr>
                  <w:tcW w:w="480" w:type="dxa"/>
                  <w:vMerge w:val="restart"/>
                  <w:noWrap w:val="0"/>
                  <w:vAlign w:val="center"/>
                </w:tcPr>
                <w:p>
                  <w:pPr>
                    <w:adjustRightInd w:val="0"/>
                    <w:snapToGrid w:val="0"/>
                    <w:jc w:val="center"/>
                    <w:rPr>
                      <w:rFonts w:hint="eastAsia"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15000</w:t>
                  </w:r>
                </w:p>
              </w:tc>
              <w:tc>
                <w:tcPr>
                  <w:tcW w:w="805" w:type="dxa"/>
                  <w:noWrap w:val="0"/>
                  <w:vAlign w:val="center"/>
                </w:tcPr>
                <w:p>
                  <w:pPr>
                    <w:adjustRightInd w:val="0"/>
                    <w:snapToGrid w:val="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1.4232 </w:t>
                  </w:r>
                </w:p>
              </w:tc>
              <w:tc>
                <w:tcPr>
                  <w:tcW w:w="823" w:type="dxa"/>
                  <w:shd w:val="clear" w:color="auto" w:fill="auto"/>
                  <w:noWrap w:val="0"/>
                  <w:vAlign w:val="center"/>
                </w:tcPr>
                <w:p>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 xml:space="preserve">0.1977 </w:t>
                  </w:r>
                </w:p>
              </w:tc>
              <w:tc>
                <w:tcPr>
                  <w:tcW w:w="730" w:type="dxa"/>
                  <w:shd w:val="clear" w:color="auto" w:fill="auto"/>
                  <w:noWrap w:val="0"/>
                  <w:vAlign w:val="center"/>
                </w:tcPr>
                <w:p>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 xml:space="preserve">13.18 </w:t>
                  </w:r>
                </w:p>
              </w:tc>
              <w:tc>
                <w:tcPr>
                  <w:tcW w:w="783" w:type="dxa"/>
                  <w:shd w:val="clear" w:color="auto" w:fill="auto"/>
                  <w:noWrap w:val="0"/>
                  <w:vAlign w:val="center"/>
                </w:tcPr>
                <w:p>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 xml:space="preserve">1.4232 </w:t>
                  </w:r>
                </w:p>
              </w:tc>
              <w:tc>
                <w:tcPr>
                  <w:tcW w:w="717" w:type="dxa"/>
                  <w:noWrap w:val="0"/>
                  <w:vAlign w:val="center"/>
                </w:tcPr>
                <w:p>
                  <w:pPr>
                    <w:adjustRightInd w:val="0"/>
                    <w:snapToGrid w:val="0"/>
                    <w:jc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 xml:space="preserve">0.1977 </w:t>
                  </w:r>
                </w:p>
              </w:tc>
              <w:tc>
                <w:tcPr>
                  <w:tcW w:w="637" w:type="dxa"/>
                  <w:noWrap w:val="0"/>
                  <w:vAlign w:val="center"/>
                </w:tcPr>
                <w:p>
                  <w:pPr>
                    <w:adjustRightInd w:val="0"/>
                    <w:snapToGrid w:val="0"/>
                    <w:jc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 xml:space="preserve">13.18 </w:t>
                  </w:r>
                </w:p>
              </w:tc>
              <w:tc>
                <w:tcPr>
                  <w:tcW w:w="611" w:type="dxa"/>
                  <w:noWrap w:val="0"/>
                  <w:vAlign w:val="center"/>
                </w:tcPr>
                <w:p>
                  <w:pPr>
                    <w:pStyle w:val="30"/>
                    <w:keepNext w:val="0"/>
                    <w:keepLines w:val="0"/>
                    <w:pageBreakBefore w:val="0"/>
                    <w:widowControl/>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kern w:val="2"/>
                      <w:sz w:val="18"/>
                      <w:szCs w:val="18"/>
                      <w:lang w:val="en-US" w:eastAsia="zh-CN"/>
                    </w:rPr>
                    <w:t>80</w:t>
                  </w:r>
                </w:p>
              </w:tc>
              <w:tc>
                <w:tcPr>
                  <w:tcW w:w="371" w:type="dxa"/>
                  <w:vMerge w:val="restart"/>
                  <w:noWrap w:val="0"/>
                  <w:vAlign w:val="center"/>
                </w:tcPr>
                <w:p>
                  <w:pPr>
                    <w:keepNext w:val="0"/>
                    <w:keepLines w:val="0"/>
                    <w:pageBreakBefore w:val="0"/>
                    <w:widowControl/>
                    <w:kinsoku/>
                    <w:wordWrap/>
                    <w:overflowPunct/>
                    <w:topLinePunct w:val="0"/>
                    <w:autoSpaceDE/>
                    <w:autoSpaceDN/>
                    <w:bidi w:val="0"/>
                    <w:spacing w:line="240" w:lineRule="auto"/>
                    <w:ind w:firstLine="0" w:firstLineChars="0"/>
                    <w:textAlignment w:val="auto"/>
                    <w:rPr>
                      <w:rFonts w:hint="eastAsia"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7200</w:t>
                  </w:r>
                </w:p>
              </w:tc>
              <w:tc>
                <w:tcPr>
                  <w:tcW w:w="440" w:type="dxa"/>
                  <w:vMerge w:val="restart"/>
                  <w:noWrap w:val="0"/>
                  <w:vAlign w:val="center"/>
                </w:tcPr>
                <w:p>
                  <w:pPr>
                    <w:adjustRightInd w:val="0"/>
                    <w:snapToGrid w:val="0"/>
                    <w:jc w:val="center"/>
                    <w:rPr>
                      <w:rFonts w:ascii="Times New Roman" w:hAnsi="Times New Roman"/>
                      <w:color w:val="auto"/>
                      <w:sz w:val="18"/>
                      <w:szCs w:val="18"/>
                    </w:rPr>
                  </w:pPr>
                  <w:r>
                    <w:rPr>
                      <w:rFonts w:hint="eastAsia" w:ascii="Times New Roman" w:hAnsi="Times New Roman" w:eastAsia="宋体" w:cs="Times New Roman"/>
                      <w:color w:val="auto"/>
                      <w:spacing w:val="-10"/>
                      <w:kern w:val="2"/>
                      <w:sz w:val="18"/>
                      <w:szCs w:val="18"/>
                      <w:lang w:val="en-US" w:eastAsia="zh-CN" w:bidi="ar-SA"/>
                    </w:rPr>
                    <w:t>DA00</w:t>
                  </w:r>
                  <w:r>
                    <w:rPr>
                      <w:rFonts w:hint="eastAsia" w:cs="Times New Roman"/>
                      <w:color w:val="auto"/>
                      <w:spacing w:val="-10"/>
                      <w:kern w:val="2"/>
                      <w:sz w:val="18"/>
                      <w:szCs w:val="18"/>
                      <w:lang w:val="en-US" w:eastAsia="zh-CN" w:bidi="ar-SA"/>
                    </w:rPr>
                    <w:t>7</w:t>
                  </w:r>
                  <w:r>
                    <w:rPr>
                      <w:rFonts w:hint="eastAsia" w:ascii="Times New Roman" w:hAnsi="Times New Roman"/>
                      <w:color w:val="auto"/>
                      <w:sz w:val="18"/>
                      <w:szCs w:val="18"/>
                    </w:rPr>
                    <w:t>排气筒排放</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429" w:hRule="atLeast"/>
                <w:jc w:val="center"/>
              </w:trPr>
              <w:tc>
                <w:tcPr>
                  <w:tcW w:w="412" w:type="dxa"/>
                  <w:vMerge w:val="continue"/>
                  <w:noWrap w:val="0"/>
                  <w:vAlign w:val="center"/>
                </w:tcPr>
                <w:p>
                  <w:pPr>
                    <w:adjustRightInd w:val="0"/>
                    <w:snapToGrid w:val="0"/>
                    <w:jc w:val="center"/>
                    <w:rPr>
                      <w:rFonts w:ascii="Times New Roman" w:hAnsi="Times New Roman"/>
                      <w:color w:val="auto"/>
                      <w:sz w:val="18"/>
                      <w:szCs w:val="18"/>
                    </w:rPr>
                  </w:pPr>
                </w:p>
              </w:tc>
              <w:tc>
                <w:tcPr>
                  <w:tcW w:w="531" w:type="dxa"/>
                  <w:vMerge w:val="continue"/>
                  <w:noWrap w:val="0"/>
                  <w:vAlign w:val="center"/>
                </w:tcPr>
                <w:p>
                  <w:pPr>
                    <w:adjustRightInd w:val="0"/>
                    <w:snapToGrid w:val="0"/>
                    <w:jc w:val="center"/>
                    <w:rPr>
                      <w:rFonts w:ascii="Times New Roman" w:hAnsi="Times New Roman"/>
                      <w:color w:val="auto"/>
                      <w:sz w:val="18"/>
                      <w:szCs w:val="18"/>
                    </w:rPr>
                  </w:pPr>
                </w:p>
              </w:tc>
              <w:tc>
                <w:tcPr>
                  <w:tcW w:w="770" w:type="dxa"/>
                  <w:shd w:val="clear" w:color="auto" w:fill="auto"/>
                  <w:noWrap w:val="0"/>
                  <w:vAlign w:val="center"/>
                </w:tcPr>
                <w:p>
                  <w:pPr>
                    <w:adjustRightInd w:val="0"/>
                    <w:snapToGrid w:val="0"/>
                    <w:jc w:val="center"/>
                    <w:rPr>
                      <w:rFonts w:ascii="Times New Roman" w:hAnsi="Times New Roman" w:eastAsia="宋体" w:cs="Times New Roman"/>
                      <w:color w:val="auto"/>
                      <w:kern w:val="2"/>
                      <w:sz w:val="18"/>
                      <w:szCs w:val="18"/>
                      <w:lang w:val="en-US" w:eastAsia="zh-CN" w:bidi="ar-SA"/>
                    </w:rPr>
                  </w:pPr>
                  <w:r>
                    <w:rPr>
                      <w:rFonts w:ascii="Times New Roman" w:hAnsi="Times New Roman"/>
                      <w:color w:val="auto"/>
                      <w:sz w:val="18"/>
                      <w:szCs w:val="18"/>
                    </w:rPr>
                    <w:t>NO</w:t>
                  </w:r>
                  <w:r>
                    <w:rPr>
                      <w:rFonts w:ascii="Times New Roman" w:hAnsi="Times New Roman"/>
                      <w:color w:val="auto"/>
                      <w:sz w:val="18"/>
                      <w:szCs w:val="18"/>
                      <w:vertAlign w:val="subscript"/>
                    </w:rPr>
                    <w:t>X</w:t>
                  </w:r>
                </w:p>
              </w:tc>
              <w:tc>
                <w:tcPr>
                  <w:tcW w:w="480" w:type="dxa"/>
                  <w:vMerge w:val="continue"/>
                  <w:noWrap w:val="0"/>
                  <w:vAlign w:val="center"/>
                </w:tcPr>
                <w:p>
                  <w:pPr>
                    <w:adjustRightInd w:val="0"/>
                    <w:snapToGrid w:val="0"/>
                    <w:jc w:val="center"/>
                    <w:rPr>
                      <w:rFonts w:hint="eastAsia" w:ascii="Times New Roman" w:hAnsi="Times New Roman" w:eastAsia="宋体"/>
                      <w:color w:val="auto"/>
                      <w:sz w:val="18"/>
                      <w:szCs w:val="18"/>
                      <w:lang w:val="en-US" w:eastAsia="zh-CN"/>
                    </w:rPr>
                  </w:pPr>
                </w:p>
              </w:tc>
              <w:tc>
                <w:tcPr>
                  <w:tcW w:w="805" w:type="dxa"/>
                  <w:noWrap w:val="0"/>
                  <w:vAlign w:val="center"/>
                </w:tcPr>
                <w:p>
                  <w:pPr>
                    <w:adjustRightInd w:val="0"/>
                    <w:snapToGrid w:val="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13.3069 </w:t>
                  </w:r>
                </w:p>
              </w:tc>
              <w:tc>
                <w:tcPr>
                  <w:tcW w:w="823" w:type="dxa"/>
                  <w:shd w:val="clear" w:color="auto" w:fill="auto"/>
                  <w:noWrap w:val="0"/>
                  <w:vAlign w:val="center"/>
                </w:tcPr>
                <w:p>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 xml:space="preserve">1.8482 </w:t>
                  </w:r>
                </w:p>
              </w:tc>
              <w:tc>
                <w:tcPr>
                  <w:tcW w:w="730" w:type="dxa"/>
                  <w:shd w:val="clear" w:color="auto" w:fill="auto"/>
                  <w:noWrap w:val="0"/>
                  <w:vAlign w:val="center"/>
                </w:tcPr>
                <w:p>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 xml:space="preserve">123.21 </w:t>
                  </w:r>
                </w:p>
              </w:tc>
              <w:tc>
                <w:tcPr>
                  <w:tcW w:w="783" w:type="dxa"/>
                  <w:shd w:val="clear" w:color="auto" w:fill="auto"/>
                  <w:noWrap w:val="0"/>
                  <w:vAlign w:val="center"/>
                </w:tcPr>
                <w:p>
                  <w:pPr>
                    <w:adjustRightInd w:val="0"/>
                    <w:snapToGrid w:val="0"/>
                    <w:jc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 xml:space="preserve">6.6535 </w:t>
                  </w:r>
                </w:p>
              </w:tc>
              <w:tc>
                <w:tcPr>
                  <w:tcW w:w="717" w:type="dxa"/>
                  <w:noWrap w:val="0"/>
                  <w:vAlign w:val="center"/>
                </w:tcPr>
                <w:p>
                  <w:pPr>
                    <w:adjustRightInd w:val="0"/>
                    <w:snapToGrid w:val="0"/>
                    <w:jc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 xml:space="preserve">0.9241 </w:t>
                  </w:r>
                </w:p>
              </w:tc>
              <w:tc>
                <w:tcPr>
                  <w:tcW w:w="637" w:type="dxa"/>
                  <w:noWrap w:val="0"/>
                  <w:vAlign w:val="center"/>
                </w:tcPr>
                <w:p>
                  <w:pPr>
                    <w:adjustRightInd w:val="0"/>
                    <w:snapToGrid w:val="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61.61</w:t>
                  </w:r>
                  <w:r>
                    <w:rPr>
                      <w:rFonts w:hint="default" w:ascii="Times New Roman" w:hAnsi="Times New Roman" w:eastAsia="宋体" w:cs="Times New Roman"/>
                      <w:color w:val="auto"/>
                      <w:sz w:val="18"/>
                      <w:szCs w:val="18"/>
                      <w:lang w:val="en-US" w:eastAsia="zh-CN"/>
                    </w:rPr>
                    <w:t xml:space="preserve"> </w:t>
                  </w:r>
                </w:p>
              </w:tc>
              <w:tc>
                <w:tcPr>
                  <w:tcW w:w="611" w:type="dxa"/>
                  <w:noWrap w:val="0"/>
                  <w:vAlign w:val="center"/>
                </w:tcPr>
                <w:p>
                  <w:pPr>
                    <w:pStyle w:val="30"/>
                    <w:keepNext w:val="0"/>
                    <w:keepLines w:val="0"/>
                    <w:pageBreakBefore w:val="0"/>
                    <w:widowControl/>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kern w:val="2"/>
                      <w:sz w:val="18"/>
                      <w:szCs w:val="18"/>
                      <w:lang w:val="en-US" w:eastAsia="zh-CN"/>
                    </w:rPr>
                    <w:t>180</w:t>
                  </w:r>
                </w:p>
              </w:tc>
              <w:tc>
                <w:tcPr>
                  <w:tcW w:w="371" w:type="dxa"/>
                  <w:vMerge w:val="continue"/>
                  <w:noWrap w:val="0"/>
                  <w:vAlign w:val="center"/>
                </w:tcPr>
                <w:p>
                  <w:pPr>
                    <w:keepNext w:val="0"/>
                    <w:keepLines w:val="0"/>
                    <w:pageBreakBefore w:val="0"/>
                    <w:widowControl/>
                    <w:kinsoku/>
                    <w:wordWrap/>
                    <w:overflowPunct/>
                    <w:topLinePunct w:val="0"/>
                    <w:autoSpaceDE/>
                    <w:autoSpaceDN/>
                    <w:bidi w:val="0"/>
                    <w:spacing w:line="240" w:lineRule="auto"/>
                    <w:ind w:firstLine="0" w:firstLineChars="0"/>
                    <w:textAlignment w:val="auto"/>
                    <w:rPr>
                      <w:rFonts w:hint="eastAsia" w:ascii="Times New Roman" w:hAnsi="Times New Roman" w:eastAsia="宋体" w:cs="Times New Roman"/>
                      <w:color w:val="auto"/>
                      <w:kern w:val="2"/>
                      <w:sz w:val="18"/>
                      <w:szCs w:val="18"/>
                      <w:lang w:val="en-US" w:eastAsia="zh-CN"/>
                    </w:rPr>
                  </w:pPr>
                </w:p>
              </w:tc>
              <w:tc>
                <w:tcPr>
                  <w:tcW w:w="440" w:type="dxa"/>
                  <w:vMerge w:val="continue"/>
                  <w:noWrap w:val="0"/>
                  <w:vAlign w:val="center"/>
                </w:tcPr>
                <w:p>
                  <w:pPr>
                    <w:adjustRightInd w:val="0"/>
                    <w:snapToGrid w:val="0"/>
                    <w:jc w:val="center"/>
                    <w:rPr>
                      <w:rFonts w:ascii="Times New Roman" w:hAnsi="Times New Roman"/>
                      <w:color w:val="auto"/>
                      <w:sz w:val="18"/>
                      <w:szCs w:val="18"/>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429" w:hRule="atLeast"/>
                <w:jc w:val="center"/>
              </w:trPr>
              <w:tc>
                <w:tcPr>
                  <w:tcW w:w="412" w:type="dxa"/>
                  <w:vMerge w:val="continue"/>
                  <w:noWrap w:val="0"/>
                  <w:vAlign w:val="center"/>
                </w:tcPr>
                <w:p>
                  <w:pPr>
                    <w:adjustRightInd w:val="0"/>
                    <w:snapToGrid w:val="0"/>
                    <w:jc w:val="center"/>
                    <w:rPr>
                      <w:rFonts w:ascii="Times New Roman" w:hAnsi="Times New Roman"/>
                      <w:color w:val="auto"/>
                      <w:sz w:val="18"/>
                      <w:szCs w:val="18"/>
                    </w:rPr>
                  </w:pPr>
                </w:p>
              </w:tc>
              <w:tc>
                <w:tcPr>
                  <w:tcW w:w="531" w:type="dxa"/>
                  <w:vMerge w:val="continue"/>
                  <w:noWrap w:val="0"/>
                  <w:vAlign w:val="center"/>
                </w:tcPr>
                <w:p>
                  <w:pPr>
                    <w:adjustRightInd w:val="0"/>
                    <w:snapToGrid w:val="0"/>
                    <w:jc w:val="center"/>
                    <w:rPr>
                      <w:rFonts w:ascii="Times New Roman" w:hAnsi="Times New Roman"/>
                      <w:color w:val="auto"/>
                      <w:sz w:val="18"/>
                      <w:szCs w:val="18"/>
                    </w:rPr>
                  </w:pPr>
                </w:p>
              </w:tc>
              <w:tc>
                <w:tcPr>
                  <w:tcW w:w="770" w:type="dxa"/>
                  <w:shd w:val="clear" w:color="auto" w:fill="auto"/>
                  <w:noWrap w:val="0"/>
                  <w:vAlign w:val="center"/>
                </w:tcPr>
                <w:p>
                  <w:pPr>
                    <w:adjustRightInd w:val="0"/>
                    <w:snapToGrid w:val="0"/>
                    <w:jc w:val="center"/>
                    <w:rPr>
                      <w:rFonts w:ascii="Times New Roman" w:hAnsi="Times New Roman" w:eastAsia="宋体" w:cs="Times New Roman"/>
                      <w:color w:val="auto"/>
                      <w:kern w:val="2"/>
                      <w:sz w:val="18"/>
                      <w:szCs w:val="18"/>
                      <w:lang w:val="en-US" w:eastAsia="zh-CN" w:bidi="ar-SA"/>
                    </w:rPr>
                  </w:pPr>
                  <w:r>
                    <w:rPr>
                      <w:rFonts w:ascii="Times New Roman" w:hAnsi="Times New Roman"/>
                      <w:color w:val="auto"/>
                      <w:sz w:val="18"/>
                      <w:szCs w:val="18"/>
                    </w:rPr>
                    <w:t>颗粒物</w:t>
                  </w:r>
                </w:p>
              </w:tc>
              <w:tc>
                <w:tcPr>
                  <w:tcW w:w="480" w:type="dxa"/>
                  <w:vMerge w:val="continue"/>
                  <w:noWrap w:val="0"/>
                  <w:vAlign w:val="center"/>
                </w:tcPr>
                <w:p>
                  <w:pPr>
                    <w:adjustRightInd w:val="0"/>
                    <w:snapToGrid w:val="0"/>
                    <w:jc w:val="center"/>
                    <w:rPr>
                      <w:rFonts w:hint="eastAsia" w:ascii="Times New Roman" w:hAnsi="Times New Roman" w:eastAsia="宋体"/>
                      <w:color w:val="auto"/>
                      <w:sz w:val="18"/>
                      <w:szCs w:val="18"/>
                      <w:lang w:val="en-US" w:eastAsia="zh-CN"/>
                    </w:rPr>
                  </w:pPr>
                </w:p>
              </w:tc>
              <w:tc>
                <w:tcPr>
                  <w:tcW w:w="805" w:type="dxa"/>
                  <w:noWrap w:val="0"/>
                  <w:vAlign w:val="center"/>
                </w:tcPr>
                <w:p>
                  <w:pPr>
                    <w:adjustRightInd w:val="0"/>
                    <w:snapToGrid w:val="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2.0352 </w:t>
                  </w:r>
                </w:p>
              </w:tc>
              <w:tc>
                <w:tcPr>
                  <w:tcW w:w="823" w:type="dxa"/>
                  <w:shd w:val="clear" w:color="auto" w:fill="auto"/>
                  <w:noWrap w:val="0"/>
                  <w:vAlign w:val="center"/>
                </w:tcPr>
                <w:p>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 xml:space="preserve">0.2827 </w:t>
                  </w:r>
                </w:p>
              </w:tc>
              <w:tc>
                <w:tcPr>
                  <w:tcW w:w="730" w:type="dxa"/>
                  <w:shd w:val="clear" w:color="auto" w:fill="auto"/>
                  <w:noWrap w:val="0"/>
                  <w:vAlign w:val="center"/>
                </w:tcPr>
                <w:p>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 xml:space="preserve">18.84 </w:t>
                  </w:r>
                </w:p>
              </w:tc>
              <w:tc>
                <w:tcPr>
                  <w:tcW w:w="783" w:type="dxa"/>
                  <w:shd w:val="clear" w:color="auto" w:fill="auto"/>
                  <w:noWrap w:val="0"/>
                  <w:vAlign w:val="center"/>
                </w:tcPr>
                <w:p>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 xml:space="preserve">2.0352 </w:t>
                  </w:r>
                </w:p>
              </w:tc>
              <w:tc>
                <w:tcPr>
                  <w:tcW w:w="717" w:type="dxa"/>
                  <w:noWrap w:val="0"/>
                  <w:vAlign w:val="center"/>
                </w:tcPr>
                <w:p>
                  <w:pPr>
                    <w:adjustRightInd w:val="0"/>
                    <w:snapToGrid w:val="0"/>
                    <w:jc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 xml:space="preserve">0.2827 </w:t>
                  </w:r>
                </w:p>
              </w:tc>
              <w:tc>
                <w:tcPr>
                  <w:tcW w:w="637" w:type="dxa"/>
                  <w:noWrap w:val="0"/>
                  <w:vAlign w:val="center"/>
                </w:tcPr>
                <w:p>
                  <w:pPr>
                    <w:adjustRightInd w:val="0"/>
                    <w:snapToGrid w:val="0"/>
                    <w:jc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 xml:space="preserve">18.84 </w:t>
                  </w:r>
                </w:p>
              </w:tc>
              <w:tc>
                <w:tcPr>
                  <w:tcW w:w="611" w:type="dxa"/>
                  <w:noWrap w:val="0"/>
                  <w:vAlign w:val="center"/>
                </w:tcPr>
                <w:p>
                  <w:pPr>
                    <w:pStyle w:val="30"/>
                    <w:keepNext w:val="0"/>
                    <w:keepLines w:val="0"/>
                    <w:pageBreakBefore w:val="0"/>
                    <w:widowControl/>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bCs/>
                      <w:color w:val="auto"/>
                      <w:kern w:val="2"/>
                      <w:sz w:val="18"/>
                      <w:szCs w:val="18"/>
                      <w:lang w:val="en-US" w:eastAsia="zh-CN"/>
                    </w:rPr>
                    <w:t>20</w:t>
                  </w:r>
                </w:p>
              </w:tc>
              <w:tc>
                <w:tcPr>
                  <w:tcW w:w="371" w:type="dxa"/>
                  <w:vMerge w:val="continue"/>
                  <w:noWrap w:val="0"/>
                  <w:vAlign w:val="center"/>
                </w:tcPr>
                <w:p>
                  <w:pPr>
                    <w:keepNext w:val="0"/>
                    <w:keepLines w:val="0"/>
                    <w:pageBreakBefore w:val="0"/>
                    <w:widowControl/>
                    <w:kinsoku/>
                    <w:wordWrap/>
                    <w:overflowPunct/>
                    <w:topLinePunct w:val="0"/>
                    <w:autoSpaceDE/>
                    <w:autoSpaceDN/>
                    <w:bidi w:val="0"/>
                    <w:spacing w:line="240" w:lineRule="auto"/>
                    <w:ind w:firstLine="0" w:firstLineChars="0"/>
                    <w:textAlignment w:val="auto"/>
                    <w:rPr>
                      <w:rFonts w:hint="eastAsia" w:ascii="Times New Roman" w:hAnsi="Times New Roman" w:eastAsia="宋体" w:cs="Times New Roman"/>
                      <w:bCs/>
                      <w:color w:val="auto"/>
                      <w:kern w:val="2"/>
                      <w:sz w:val="18"/>
                      <w:szCs w:val="18"/>
                      <w:lang w:val="en-US" w:eastAsia="zh-CN"/>
                    </w:rPr>
                  </w:pPr>
                </w:p>
              </w:tc>
              <w:tc>
                <w:tcPr>
                  <w:tcW w:w="440" w:type="dxa"/>
                  <w:vMerge w:val="continue"/>
                  <w:noWrap w:val="0"/>
                  <w:vAlign w:val="center"/>
                </w:tcPr>
                <w:p>
                  <w:pPr>
                    <w:adjustRightInd w:val="0"/>
                    <w:snapToGrid w:val="0"/>
                    <w:jc w:val="center"/>
                    <w:rPr>
                      <w:rFonts w:ascii="Times New Roman" w:hAnsi="Times New Roman"/>
                      <w:color w:val="auto"/>
                      <w:sz w:val="18"/>
                      <w:szCs w:val="18"/>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429" w:hRule="atLeast"/>
                <w:jc w:val="center"/>
              </w:trPr>
              <w:tc>
                <w:tcPr>
                  <w:tcW w:w="412" w:type="dxa"/>
                  <w:vMerge w:val="continue"/>
                  <w:noWrap w:val="0"/>
                  <w:vAlign w:val="center"/>
                </w:tcPr>
                <w:p>
                  <w:pPr>
                    <w:adjustRightInd w:val="0"/>
                    <w:snapToGrid w:val="0"/>
                    <w:jc w:val="center"/>
                    <w:rPr>
                      <w:rFonts w:ascii="Times New Roman" w:hAnsi="Times New Roman"/>
                      <w:color w:val="auto"/>
                      <w:sz w:val="18"/>
                      <w:szCs w:val="18"/>
                    </w:rPr>
                  </w:pPr>
                </w:p>
              </w:tc>
              <w:tc>
                <w:tcPr>
                  <w:tcW w:w="531" w:type="dxa"/>
                  <w:vMerge w:val="restart"/>
                  <w:noWrap w:val="0"/>
                  <w:vAlign w:val="center"/>
                </w:tcPr>
                <w:p>
                  <w:pPr>
                    <w:adjustRightInd w:val="0"/>
                    <w:snapToGrid w:val="0"/>
                    <w:jc w:val="center"/>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1339.2</w:t>
                  </w:r>
                </w:p>
              </w:tc>
              <w:tc>
                <w:tcPr>
                  <w:tcW w:w="770" w:type="dxa"/>
                  <w:noWrap w:val="0"/>
                  <w:vAlign w:val="center"/>
                </w:tcPr>
                <w:p>
                  <w:pPr>
                    <w:adjustRightInd w:val="0"/>
                    <w:snapToGrid w:val="0"/>
                    <w:jc w:val="center"/>
                    <w:rPr>
                      <w:rFonts w:ascii="Times New Roman" w:hAnsi="Times New Roman"/>
                      <w:color w:val="auto"/>
                      <w:sz w:val="18"/>
                      <w:szCs w:val="18"/>
                    </w:rPr>
                  </w:pPr>
                  <w:r>
                    <w:rPr>
                      <w:rFonts w:ascii="Times New Roman" w:hAnsi="Times New Roman"/>
                      <w:color w:val="auto"/>
                      <w:sz w:val="18"/>
                      <w:szCs w:val="18"/>
                    </w:rPr>
                    <w:t>SO</w:t>
                  </w:r>
                  <w:r>
                    <w:rPr>
                      <w:rFonts w:ascii="Times New Roman" w:hAnsi="Times New Roman"/>
                      <w:color w:val="auto"/>
                      <w:sz w:val="18"/>
                      <w:szCs w:val="18"/>
                      <w:vertAlign w:val="subscript"/>
                    </w:rPr>
                    <w:t>2</w:t>
                  </w:r>
                </w:p>
              </w:tc>
              <w:tc>
                <w:tcPr>
                  <w:tcW w:w="480" w:type="dxa"/>
                  <w:vMerge w:val="restart"/>
                  <w:noWrap w:val="0"/>
                  <w:vAlign w:val="center"/>
                </w:tcPr>
                <w:p>
                  <w:pPr>
                    <w:adjustRightInd w:val="0"/>
                    <w:snapToGrid w:val="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28000</w:t>
                  </w:r>
                </w:p>
              </w:tc>
              <w:tc>
                <w:tcPr>
                  <w:tcW w:w="805" w:type="dxa"/>
                  <w:noWrap w:val="0"/>
                  <w:vAlign w:val="center"/>
                </w:tcPr>
                <w:p>
                  <w:pPr>
                    <w:adjustRightInd w:val="0"/>
                    <w:snapToGrid w:val="0"/>
                    <w:jc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 xml:space="preserve">2.6784 </w:t>
                  </w:r>
                </w:p>
              </w:tc>
              <w:tc>
                <w:tcPr>
                  <w:tcW w:w="823" w:type="dxa"/>
                  <w:shd w:val="clear" w:color="auto" w:fill="auto"/>
                  <w:noWrap w:val="0"/>
                  <w:vAlign w:val="center"/>
                </w:tcPr>
                <w:p>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 xml:space="preserve">0.3720 </w:t>
                  </w:r>
                </w:p>
              </w:tc>
              <w:tc>
                <w:tcPr>
                  <w:tcW w:w="730" w:type="dxa"/>
                  <w:shd w:val="clear" w:color="auto" w:fill="auto"/>
                  <w:noWrap w:val="0"/>
                  <w:vAlign w:val="center"/>
                </w:tcPr>
                <w:p>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 xml:space="preserve">13.29 </w:t>
                  </w:r>
                </w:p>
              </w:tc>
              <w:tc>
                <w:tcPr>
                  <w:tcW w:w="783" w:type="dxa"/>
                  <w:shd w:val="clear" w:color="auto" w:fill="auto"/>
                  <w:noWrap w:val="0"/>
                  <w:vAlign w:val="center"/>
                </w:tcPr>
                <w:p>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 xml:space="preserve">2.6784 </w:t>
                  </w:r>
                </w:p>
              </w:tc>
              <w:tc>
                <w:tcPr>
                  <w:tcW w:w="717" w:type="dxa"/>
                  <w:noWrap w:val="0"/>
                  <w:vAlign w:val="center"/>
                </w:tcPr>
                <w:p>
                  <w:pPr>
                    <w:adjustRightInd w:val="0"/>
                    <w:snapToGrid w:val="0"/>
                    <w:jc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 xml:space="preserve">0.3720 </w:t>
                  </w:r>
                </w:p>
              </w:tc>
              <w:tc>
                <w:tcPr>
                  <w:tcW w:w="637" w:type="dxa"/>
                  <w:noWrap w:val="0"/>
                  <w:vAlign w:val="center"/>
                </w:tcPr>
                <w:p>
                  <w:pPr>
                    <w:adjustRightInd w:val="0"/>
                    <w:snapToGrid w:val="0"/>
                    <w:jc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 xml:space="preserve">13.29 </w:t>
                  </w:r>
                </w:p>
              </w:tc>
              <w:tc>
                <w:tcPr>
                  <w:tcW w:w="611" w:type="dxa"/>
                  <w:noWrap w:val="0"/>
                  <w:vAlign w:val="center"/>
                </w:tcPr>
                <w:p>
                  <w:pPr>
                    <w:pStyle w:val="30"/>
                    <w:keepNext w:val="0"/>
                    <w:keepLines w:val="0"/>
                    <w:pageBreakBefore w:val="0"/>
                    <w:widowControl/>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kern w:val="2"/>
                      <w:sz w:val="18"/>
                      <w:szCs w:val="18"/>
                      <w:lang w:val="en-US" w:eastAsia="zh-CN"/>
                    </w:rPr>
                    <w:t>80</w:t>
                  </w:r>
                </w:p>
              </w:tc>
              <w:tc>
                <w:tcPr>
                  <w:tcW w:w="371" w:type="dxa"/>
                  <w:vMerge w:val="restart"/>
                  <w:noWrap w:val="0"/>
                  <w:vAlign w:val="center"/>
                </w:tcPr>
                <w:p>
                  <w:pPr>
                    <w:keepNext w:val="0"/>
                    <w:keepLines w:val="0"/>
                    <w:pageBreakBefore w:val="0"/>
                    <w:widowControl/>
                    <w:kinsoku/>
                    <w:wordWrap/>
                    <w:overflowPunct/>
                    <w:topLinePunct w:val="0"/>
                    <w:autoSpaceDE/>
                    <w:autoSpaceDN/>
                    <w:bidi w:val="0"/>
                    <w:spacing w:line="240" w:lineRule="auto"/>
                    <w:ind w:firstLine="0" w:firstLineChars="0"/>
                    <w:textAlignment w:val="auto"/>
                    <w:rPr>
                      <w:rFonts w:hint="eastAsia"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7200</w:t>
                  </w:r>
                </w:p>
              </w:tc>
              <w:tc>
                <w:tcPr>
                  <w:tcW w:w="440" w:type="dxa"/>
                  <w:vMerge w:val="restart"/>
                  <w:noWrap w:val="0"/>
                  <w:vAlign w:val="center"/>
                </w:tcPr>
                <w:p>
                  <w:pPr>
                    <w:adjustRightInd w:val="0"/>
                    <w:snapToGrid w:val="0"/>
                    <w:jc w:val="center"/>
                    <w:rPr>
                      <w:rFonts w:ascii="Times New Roman" w:hAnsi="Times New Roman"/>
                      <w:color w:val="auto"/>
                      <w:sz w:val="18"/>
                      <w:szCs w:val="18"/>
                    </w:rPr>
                  </w:pPr>
                  <w:r>
                    <w:rPr>
                      <w:rFonts w:hint="eastAsia" w:ascii="Times New Roman" w:hAnsi="Times New Roman" w:eastAsia="宋体" w:cs="Times New Roman"/>
                      <w:color w:val="auto"/>
                      <w:spacing w:val="-10"/>
                      <w:kern w:val="2"/>
                      <w:sz w:val="18"/>
                      <w:szCs w:val="18"/>
                      <w:lang w:val="en-US" w:eastAsia="zh-CN" w:bidi="ar-SA"/>
                    </w:rPr>
                    <w:t>DA00</w:t>
                  </w:r>
                  <w:r>
                    <w:rPr>
                      <w:rFonts w:hint="eastAsia" w:cs="Times New Roman"/>
                      <w:color w:val="auto"/>
                      <w:spacing w:val="-10"/>
                      <w:kern w:val="2"/>
                      <w:sz w:val="18"/>
                      <w:szCs w:val="18"/>
                      <w:lang w:val="en-US" w:eastAsia="zh-CN" w:bidi="ar-SA"/>
                    </w:rPr>
                    <w:t>3</w:t>
                  </w:r>
                  <w:r>
                    <w:rPr>
                      <w:rFonts w:hint="eastAsia" w:ascii="Times New Roman" w:hAnsi="Times New Roman"/>
                      <w:color w:val="auto"/>
                      <w:sz w:val="18"/>
                      <w:szCs w:val="18"/>
                    </w:rPr>
                    <w:t>排气筒排放</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429" w:hRule="atLeast"/>
                <w:jc w:val="center"/>
              </w:trPr>
              <w:tc>
                <w:tcPr>
                  <w:tcW w:w="412" w:type="dxa"/>
                  <w:vMerge w:val="continue"/>
                  <w:noWrap w:val="0"/>
                  <w:vAlign w:val="center"/>
                </w:tcPr>
                <w:p>
                  <w:pPr>
                    <w:adjustRightInd w:val="0"/>
                    <w:snapToGrid w:val="0"/>
                    <w:jc w:val="center"/>
                    <w:rPr>
                      <w:rFonts w:ascii="Times New Roman" w:hAnsi="Times New Roman"/>
                      <w:color w:val="auto"/>
                      <w:sz w:val="18"/>
                      <w:szCs w:val="18"/>
                    </w:rPr>
                  </w:pPr>
                </w:p>
              </w:tc>
              <w:tc>
                <w:tcPr>
                  <w:tcW w:w="531" w:type="dxa"/>
                  <w:vMerge w:val="continue"/>
                  <w:noWrap w:val="0"/>
                  <w:vAlign w:val="center"/>
                </w:tcPr>
                <w:p>
                  <w:pPr>
                    <w:adjustRightInd w:val="0"/>
                    <w:snapToGrid w:val="0"/>
                    <w:jc w:val="center"/>
                    <w:rPr>
                      <w:rFonts w:ascii="Times New Roman" w:hAnsi="Times New Roman"/>
                      <w:color w:val="auto"/>
                      <w:sz w:val="18"/>
                      <w:szCs w:val="18"/>
                    </w:rPr>
                  </w:pPr>
                </w:p>
              </w:tc>
              <w:tc>
                <w:tcPr>
                  <w:tcW w:w="770" w:type="dxa"/>
                  <w:noWrap w:val="0"/>
                  <w:vAlign w:val="center"/>
                </w:tcPr>
                <w:p>
                  <w:pPr>
                    <w:adjustRightInd w:val="0"/>
                    <w:snapToGrid w:val="0"/>
                    <w:jc w:val="center"/>
                    <w:rPr>
                      <w:rFonts w:ascii="Times New Roman" w:hAnsi="Times New Roman"/>
                      <w:color w:val="auto"/>
                      <w:sz w:val="18"/>
                      <w:szCs w:val="18"/>
                    </w:rPr>
                  </w:pPr>
                  <w:r>
                    <w:rPr>
                      <w:rFonts w:ascii="Times New Roman" w:hAnsi="Times New Roman"/>
                      <w:color w:val="auto"/>
                      <w:sz w:val="18"/>
                      <w:szCs w:val="18"/>
                    </w:rPr>
                    <w:t>NO</w:t>
                  </w:r>
                  <w:r>
                    <w:rPr>
                      <w:rFonts w:ascii="Times New Roman" w:hAnsi="Times New Roman"/>
                      <w:color w:val="auto"/>
                      <w:sz w:val="18"/>
                      <w:szCs w:val="18"/>
                      <w:vertAlign w:val="subscript"/>
                    </w:rPr>
                    <w:t>X</w:t>
                  </w:r>
                </w:p>
              </w:tc>
              <w:tc>
                <w:tcPr>
                  <w:tcW w:w="480" w:type="dxa"/>
                  <w:vMerge w:val="continue"/>
                  <w:noWrap w:val="0"/>
                  <w:vAlign w:val="center"/>
                </w:tcPr>
                <w:p>
                  <w:pPr>
                    <w:adjustRightInd w:val="0"/>
                    <w:snapToGrid w:val="0"/>
                    <w:jc w:val="center"/>
                    <w:rPr>
                      <w:rFonts w:hint="eastAsia" w:ascii="Times New Roman" w:hAnsi="Times New Roman" w:eastAsia="宋体"/>
                      <w:color w:val="auto"/>
                      <w:sz w:val="18"/>
                      <w:szCs w:val="18"/>
                      <w:lang w:val="en-US" w:eastAsia="zh-CN"/>
                    </w:rPr>
                  </w:pPr>
                </w:p>
              </w:tc>
              <w:tc>
                <w:tcPr>
                  <w:tcW w:w="805" w:type="dxa"/>
                  <w:noWrap w:val="0"/>
                  <w:vAlign w:val="center"/>
                </w:tcPr>
                <w:p>
                  <w:pPr>
                    <w:adjustRightInd w:val="0"/>
                    <w:snapToGrid w:val="0"/>
                    <w:jc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 xml:space="preserve">25.0430 </w:t>
                  </w:r>
                </w:p>
              </w:tc>
              <w:tc>
                <w:tcPr>
                  <w:tcW w:w="823" w:type="dxa"/>
                  <w:shd w:val="clear" w:color="auto" w:fill="auto"/>
                  <w:noWrap w:val="0"/>
                  <w:vAlign w:val="center"/>
                </w:tcPr>
                <w:p>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 xml:space="preserve">3.4782 </w:t>
                  </w:r>
                </w:p>
              </w:tc>
              <w:tc>
                <w:tcPr>
                  <w:tcW w:w="730" w:type="dxa"/>
                  <w:shd w:val="clear" w:color="auto" w:fill="auto"/>
                  <w:noWrap w:val="0"/>
                  <w:vAlign w:val="center"/>
                </w:tcPr>
                <w:p>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 xml:space="preserve">124.22 </w:t>
                  </w:r>
                </w:p>
              </w:tc>
              <w:tc>
                <w:tcPr>
                  <w:tcW w:w="783" w:type="dxa"/>
                  <w:shd w:val="clear" w:color="auto" w:fill="auto"/>
                  <w:noWrap w:val="0"/>
                  <w:vAlign w:val="center"/>
                </w:tcPr>
                <w:p>
                  <w:pPr>
                    <w:adjustRightInd w:val="0"/>
                    <w:snapToGrid w:val="0"/>
                    <w:jc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 xml:space="preserve">12.5215 </w:t>
                  </w:r>
                </w:p>
              </w:tc>
              <w:tc>
                <w:tcPr>
                  <w:tcW w:w="717" w:type="dxa"/>
                  <w:noWrap w:val="0"/>
                  <w:vAlign w:val="center"/>
                </w:tcPr>
                <w:p>
                  <w:pPr>
                    <w:adjustRightInd w:val="0"/>
                    <w:snapToGrid w:val="0"/>
                    <w:jc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 xml:space="preserve">1.7391 </w:t>
                  </w:r>
                </w:p>
              </w:tc>
              <w:tc>
                <w:tcPr>
                  <w:tcW w:w="637" w:type="dxa"/>
                  <w:noWrap w:val="0"/>
                  <w:vAlign w:val="center"/>
                </w:tcPr>
                <w:p>
                  <w:pPr>
                    <w:adjustRightInd w:val="0"/>
                    <w:snapToGrid w:val="0"/>
                    <w:jc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 xml:space="preserve">62.11 </w:t>
                  </w:r>
                </w:p>
              </w:tc>
              <w:tc>
                <w:tcPr>
                  <w:tcW w:w="611" w:type="dxa"/>
                  <w:noWrap w:val="0"/>
                  <w:vAlign w:val="center"/>
                </w:tcPr>
                <w:p>
                  <w:pPr>
                    <w:pStyle w:val="30"/>
                    <w:keepNext w:val="0"/>
                    <w:keepLines w:val="0"/>
                    <w:pageBreakBefore w:val="0"/>
                    <w:widowControl/>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kern w:val="2"/>
                      <w:sz w:val="18"/>
                      <w:szCs w:val="18"/>
                      <w:lang w:val="en-US" w:eastAsia="zh-CN"/>
                    </w:rPr>
                    <w:t>180</w:t>
                  </w:r>
                </w:p>
              </w:tc>
              <w:tc>
                <w:tcPr>
                  <w:tcW w:w="371" w:type="dxa"/>
                  <w:vMerge w:val="continue"/>
                  <w:noWrap w:val="0"/>
                  <w:vAlign w:val="center"/>
                </w:tcPr>
                <w:p>
                  <w:pPr>
                    <w:keepNext w:val="0"/>
                    <w:keepLines w:val="0"/>
                    <w:pageBreakBefore w:val="0"/>
                    <w:widowControl/>
                    <w:kinsoku/>
                    <w:wordWrap/>
                    <w:overflowPunct/>
                    <w:topLinePunct w:val="0"/>
                    <w:autoSpaceDE/>
                    <w:autoSpaceDN/>
                    <w:bidi w:val="0"/>
                    <w:spacing w:line="240" w:lineRule="auto"/>
                    <w:ind w:firstLine="0" w:firstLineChars="0"/>
                    <w:textAlignment w:val="auto"/>
                    <w:rPr>
                      <w:rFonts w:hint="eastAsia" w:ascii="Times New Roman" w:hAnsi="Times New Roman" w:eastAsia="宋体" w:cs="Times New Roman"/>
                      <w:color w:val="auto"/>
                      <w:kern w:val="2"/>
                      <w:sz w:val="18"/>
                      <w:szCs w:val="18"/>
                      <w:lang w:val="en-US" w:eastAsia="zh-CN"/>
                    </w:rPr>
                  </w:pPr>
                </w:p>
              </w:tc>
              <w:tc>
                <w:tcPr>
                  <w:tcW w:w="440" w:type="dxa"/>
                  <w:vMerge w:val="continue"/>
                  <w:noWrap w:val="0"/>
                  <w:vAlign w:val="center"/>
                </w:tcPr>
                <w:p>
                  <w:pPr>
                    <w:adjustRightInd w:val="0"/>
                    <w:snapToGrid w:val="0"/>
                    <w:jc w:val="center"/>
                    <w:rPr>
                      <w:rFonts w:ascii="Times New Roman" w:hAnsi="Times New Roman"/>
                      <w:color w:val="auto"/>
                      <w:sz w:val="18"/>
                      <w:szCs w:val="18"/>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429" w:hRule="atLeast"/>
                <w:jc w:val="center"/>
              </w:trPr>
              <w:tc>
                <w:tcPr>
                  <w:tcW w:w="412" w:type="dxa"/>
                  <w:vMerge w:val="continue"/>
                  <w:noWrap w:val="0"/>
                  <w:vAlign w:val="center"/>
                </w:tcPr>
                <w:p>
                  <w:pPr>
                    <w:adjustRightInd w:val="0"/>
                    <w:snapToGrid w:val="0"/>
                    <w:jc w:val="center"/>
                    <w:rPr>
                      <w:rFonts w:ascii="Times New Roman" w:hAnsi="Times New Roman"/>
                      <w:color w:val="auto"/>
                      <w:sz w:val="18"/>
                      <w:szCs w:val="18"/>
                    </w:rPr>
                  </w:pPr>
                </w:p>
              </w:tc>
              <w:tc>
                <w:tcPr>
                  <w:tcW w:w="531" w:type="dxa"/>
                  <w:vMerge w:val="continue"/>
                  <w:noWrap w:val="0"/>
                  <w:vAlign w:val="center"/>
                </w:tcPr>
                <w:p>
                  <w:pPr>
                    <w:adjustRightInd w:val="0"/>
                    <w:snapToGrid w:val="0"/>
                    <w:jc w:val="center"/>
                    <w:rPr>
                      <w:rFonts w:ascii="Times New Roman" w:hAnsi="Times New Roman"/>
                      <w:color w:val="auto"/>
                      <w:sz w:val="18"/>
                      <w:szCs w:val="18"/>
                    </w:rPr>
                  </w:pPr>
                </w:p>
              </w:tc>
              <w:tc>
                <w:tcPr>
                  <w:tcW w:w="770" w:type="dxa"/>
                  <w:noWrap w:val="0"/>
                  <w:vAlign w:val="center"/>
                </w:tcPr>
                <w:p>
                  <w:pPr>
                    <w:adjustRightInd w:val="0"/>
                    <w:snapToGrid w:val="0"/>
                    <w:jc w:val="center"/>
                    <w:rPr>
                      <w:rFonts w:ascii="Times New Roman" w:hAnsi="Times New Roman"/>
                      <w:color w:val="auto"/>
                      <w:sz w:val="18"/>
                      <w:szCs w:val="18"/>
                    </w:rPr>
                  </w:pPr>
                  <w:r>
                    <w:rPr>
                      <w:rFonts w:ascii="Times New Roman" w:hAnsi="Times New Roman"/>
                      <w:color w:val="auto"/>
                      <w:sz w:val="18"/>
                      <w:szCs w:val="18"/>
                    </w:rPr>
                    <w:t>颗粒物</w:t>
                  </w:r>
                </w:p>
              </w:tc>
              <w:tc>
                <w:tcPr>
                  <w:tcW w:w="480" w:type="dxa"/>
                  <w:vMerge w:val="continue"/>
                  <w:noWrap w:val="0"/>
                  <w:vAlign w:val="center"/>
                </w:tcPr>
                <w:p>
                  <w:pPr>
                    <w:adjustRightInd w:val="0"/>
                    <w:snapToGrid w:val="0"/>
                    <w:jc w:val="center"/>
                    <w:rPr>
                      <w:rFonts w:hint="eastAsia" w:ascii="Times New Roman" w:hAnsi="Times New Roman" w:eastAsia="宋体"/>
                      <w:color w:val="auto"/>
                      <w:sz w:val="18"/>
                      <w:szCs w:val="18"/>
                      <w:lang w:val="en-US" w:eastAsia="zh-CN"/>
                    </w:rPr>
                  </w:pPr>
                </w:p>
              </w:tc>
              <w:tc>
                <w:tcPr>
                  <w:tcW w:w="805" w:type="dxa"/>
                  <w:noWrap w:val="0"/>
                  <w:vAlign w:val="center"/>
                </w:tcPr>
                <w:p>
                  <w:pPr>
                    <w:adjustRightInd w:val="0"/>
                    <w:snapToGrid w:val="0"/>
                    <w:jc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 xml:space="preserve">3.8301 </w:t>
                  </w:r>
                </w:p>
              </w:tc>
              <w:tc>
                <w:tcPr>
                  <w:tcW w:w="823" w:type="dxa"/>
                  <w:shd w:val="clear" w:color="auto" w:fill="auto"/>
                  <w:noWrap w:val="0"/>
                  <w:vAlign w:val="center"/>
                </w:tcPr>
                <w:p>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 xml:space="preserve">0.5320 </w:t>
                  </w:r>
                </w:p>
              </w:tc>
              <w:tc>
                <w:tcPr>
                  <w:tcW w:w="730" w:type="dxa"/>
                  <w:shd w:val="clear" w:color="auto" w:fill="auto"/>
                  <w:noWrap w:val="0"/>
                  <w:vAlign w:val="center"/>
                </w:tcPr>
                <w:p>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 xml:space="preserve">19.00 </w:t>
                  </w:r>
                </w:p>
              </w:tc>
              <w:tc>
                <w:tcPr>
                  <w:tcW w:w="783" w:type="dxa"/>
                  <w:shd w:val="clear" w:color="auto" w:fill="auto"/>
                  <w:noWrap w:val="0"/>
                  <w:vAlign w:val="center"/>
                </w:tcPr>
                <w:p>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 xml:space="preserve">3.8301 </w:t>
                  </w:r>
                </w:p>
              </w:tc>
              <w:tc>
                <w:tcPr>
                  <w:tcW w:w="717" w:type="dxa"/>
                  <w:noWrap w:val="0"/>
                  <w:vAlign w:val="center"/>
                </w:tcPr>
                <w:p>
                  <w:pPr>
                    <w:adjustRightInd w:val="0"/>
                    <w:snapToGrid w:val="0"/>
                    <w:jc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 xml:space="preserve">0.5320 </w:t>
                  </w:r>
                </w:p>
              </w:tc>
              <w:tc>
                <w:tcPr>
                  <w:tcW w:w="637" w:type="dxa"/>
                  <w:noWrap w:val="0"/>
                  <w:vAlign w:val="center"/>
                </w:tcPr>
                <w:p>
                  <w:pPr>
                    <w:adjustRightInd w:val="0"/>
                    <w:snapToGrid w:val="0"/>
                    <w:jc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 xml:space="preserve">19.00 </w:t>
                  </w:r>
                </w:p>
              </w:tc>
              <w:tc>
                <w:tcPr>
                  <w:tcW w:w="611" w:type="dxa"/>
                  <w:noWrap w:val="0"/>
                  <w:vAlign w:val="center"/>
                </w:tcPr>
                <w:p>
                  <w:pPr>
                    <w:pStyle w:val="30"/>
                    <w:keepNext w:val="0"/>
                    <w:keepLines w:val="0"/>
                    <w:pageBreakBefore w:val="0"/>
                    <w:widowControl/>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bCs/>
                      <w:color w:val="auto"/>
                      <w:kern w:val="2"/>
                      <w:sz w:val="18"/>
                      <w:szCs w:val="18"/>
                      <w:lang w:val="en-US" w:eastAsia="zh-CN"/>
                    </w:rPr>
                    <w:t>20</w:t>
                  </w:r>
                </w:p>
              </w:tc>
              <w:tc>
                <w:tcPr>
                  <w:tcW w:w="371" w:type="dxa"/>
                  <w:vMerge w:val="continue"/>
                  <w:noWrap w:val="0"/>
                  <w:vAlign w:val="center"/>
                </w:tcPr>
                <w:p>
                  <w:pPr>
                    <w:keepNext w:val="0"/>
                    <w:keepLines w:val="0"/>
                    <w:pageBreakBefore w:val="0"/>
                    <w:widowControl/>
                    <w:kinsoku/>
                    <w:wordWrap/>
                    <w:overflowPunct/>
                    <w:topLinePunct w:val="0"/>
                    <w:autoSpaceDE/>
                    <w:autoSpaceDN/>
                    <w:bidi w:val="0"/>
                    <w:spacing w:line="240" w:lineRule="auto"/>
                    <w:ind w:firstLine="0" w:firstLineChars="0"/>
                    <w:textAlignment w:val="auto"/>
                    <w:rPr>
                      <w:rFonts w:hint="eastAsia" w:ascii="Times New Roman" w:hAnsi="Times New Roman" w:eastAsia="宋体" w:cs="Times New Roman"/>
                      <w:bCs/>
                      <w:color w:val="auto"/>
                      <w:kern w:val="2"/>
                      <w:sz w:val="18"/>
                      <w:szCs w:val="18"/>
                      <w:lang w:val="en-US" w:eastAsia="zh-CN"/>
                    </w:rPr>
                  </w:pPr>
                </w:p>
              </w:tc>
              <w:tc>
                <w:tcPr>
                  <w:tcW w:w="440" w:type="dxa"/>
                  <w:vMerge w:val="continue"/>
                  <w:noWrap w:val="0"/>
                  <w:vAlign w:val="center"/>
                </w:tcPr>
                <w:p>
                  <w:pPr>
                    <w:adjustRightInd w:val="0"/>
                    <w:snapToGrid w:val="0"/>
                    <w:jc w:val="center"/>
                    <w:rPr>
                      <w:rFonts w:ascii="Times New Roman" w:hAnsi="Times New Roman"/>
                      <w:color w:val="auto"/>
                      <w:sz w:val="18"/>
                      <w:szCs w:val="18"/>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429" w:hRule="atLeast"/>
                <w:jc w:val="center"/>
              </w:trPr>
              <w:tc>
                <w:tcPr>
                  <w:tcW w:w="412" w:type="dxa"/>
                  <w:vMerge w:val="continue"/>
                  <w:noWrap w:val="0"/>
                  <w:vAlign w:val="center"/>
                </w:tcPr>
                <w:p>
                  <w:pPr>
                    <w:adjustRightInd w:val="0"/>
                    <w:snapToGrid w:val="0"/>
                    <w:jc w:val="center"/>
                    <w:rPr>
                      <w:rFonts w:ascii="Times New Roman" w:hAnsi="Times New Roman"/>
                      <w:color w:val="auto"/>
                      <w:sz w:val="18"/>
                      <w:szCs w:val="18"/>
                    </w:rPr>
                  </w:pPr>
                </w:p>
              </w:tc>
              <w:tc>
                <w:tcPr>
                  <w:tcW w:w="531" w:type="dxa"/>
                  <w:vMerge w:val="restart"/>
                  <w:noWrap w:val="0"/>
                  <w:vAlign w:val="center"/>
                </w:tcPr>
                <w:p>
                  <w:pPr>
                    <w:adjustRightInd w:val="0"/>
                    <w:snapToGrid w:val="0"/>
                    <w:jc w:val="center"/>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23</w:t>
                  </w:r>
                  <w:r>
                    <w:rPr>
                      <w:rFonts w:hint="eastAsia"/>
                      <w:color w:val="auto"/>
                      <w:sz w:val="18"/>
                      <w:szCs w:val="18"/>
                      <w:lang w:val="en-US" w:eastAsia="zh-CN"/>
                    </w:rPr>
                    <w:t>0</w:t>
                  </w:r>
                  <w:r>
                    <w:rPr>
                      <w:rFonts w:hint="eastAsia" w:ascii="Times New Roman" w:hAnsi="Times New Roman"/>
                      <w:color w:val="auto"/>
                      <w:sz w:val="18"/>
                      <w:szCs w:val="18"/>
                      <w:lang w:val="en-US" w:eastAsia="zh-CN"/>
                    </w:rPr>
                    <w:t>.4</w:t>
                  </w:r>
                </w:p>
              </w:tc>
              <w:tc>
                <w:tcPr>
                  <w:tcW w:w="770" w:type="dxa"/>
                  <w:noWrap w:val="0"/>
                  <w:vAlign w:val="center"/>
                </w:tcPr>
                <w:p>
                  <w:pPr>
                    <w:adjustRightInd w:val="0"/>
                    <w:snapToGrid w:val="0"/>
                    <w:jc w:val="center"/>
                    <w:rPr>
                      <w:rFonts w:ascii="Times New Roman" w:hAnsi="Times New Roman"/>
                      <w:color w:val="auto"/>
                      <w:sz w:val="18"/>
                      <w:szCs w:val="18"/>
                    </w:rPr>
                  </w:pPr>
                  <w:r>
                    <w:rPr>
                      <w:rFonts w:ascii="Times New Roman" w:hAnsi="Times New Roman"/>
                      <w:color w:val="auto"/>
                      <w:sz w:val="18"/>
                      <w:szCs w:val="18"/>
                    </w:rPr>
                    <w:t>SO</w:t>
                  </w:r>
                  <w:r>
                    <w:rPr>
                      <w:rFonts w:ascii="Times New Roman" w:hAnsi="Times New Roman"/>
                      <w:color w:val="auto"/>
                      <w:sz w:val="18"/>
                      <w:szCs w:val="18"/>
                      <w:vertAlign w:val="subscript"/>
                    </w:rPr>
                    <w:t>2</w:t>
                  </w:r>
                </w:p>
              </w:tc>
              <w:tc>
                <w:tcPr>
                  <w:tcW w:w="480" w:type="dxa"/>
                  <w:vMerge w:val="restart"/>
                  <w:noWrap w:val="0"/>
                  <w:vAlign w:val="center"/>
                </w:tcPr>
                <w:p>
                  <w:pPr>
                    <w:adjustRightInd w:val="0"/>
                    <w:snapToGrid w:val="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12000</w:t>
                  </w:r>
                </w:p>
              </w:tc>
              <w:tc>
                <w:tcPr>
                  <w:tcW w:w="805"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0.4608 </w:t>
                  </w:r>
                </w:p>
              </w:tc>
              <w:tc>
                <w:tcPr>
                  <w:tcW w:w="823"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0.0640 </w:t>
                  </w:r>
                </w:p>
              </w:tc>
              <w:tc>
                <w:tcPr>
                  <w:tcW w:w="730"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5.33 </w:t>
                  </w:r>
                </w:p>
              </w:tc>
              <w:tc>
                <w:tcPr>
                  <w:tcW w:w="783"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0.4608 </w:t>
                  </w:r>
                </w:p>
              </w:tc>
              <w:tc>
                <w:tcPr>
                  <w:tcW w:w="71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0.0640 </w:t>
                  </w:r>
                </w:p>
              </w:tc>
              <w:tc>
                <w:tcPr>
                  <w:tcW w:w="63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5.33 </w:t>
                  </w:r>
                </w:p>
              </w:tc>
              <w:tc>
                <w:tcPr>
                  <w:tcW w:w="611" w:type="dxa"/>
                  <w:noWrap w:val="0"/>
                  <w:vAlign w:val="center"/>
                </w:tcPr>
                <w:p>
                  <w:pPr>
                    <w:pStyle w:val="30"/>
                    <w:keepNext w:val="0"/>
                    <w:keepLines w:val="0"/>
                    <w:pageBreakBefore w:val="0"/>
                    <w:widowControl/>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kern w:val="2"/>
                      <w:sz w:val="18"/>
                      <w:szCs w:val="18"/>
                      <w:lang w:val="en-US" w:eastAsia="zh-CN"/>
                    </w:rPr>
                    <w:t>80</w:t>
                  </w:r>
                </w:p>
              </w:tc>
              <w:tc>
                <w:tcPr>
                  <w:tcW w:w="371" w:type="dxa"/>
                  <w:vMerge w:val="restart"/>
                  <w:noWrap w:val="0"/>
                  <w:vAlign w:val="center"/>
                </w:tcPr>
                <w:p>
                  <w:pPr>
                    <w:keepNext w:val="0"/>
                    <w:keepLines w:val="0"/>
                    <w:pageBreakBefore w:val="0"/>
                    <w:widowControl/>
                    <w:kinsoku/>
                    <w:wordWrap/>
                    <w:overflowPunct/>
                    <w:topLinePunct w:val="0"/>
                    <w:autoSpaceDE/>
                    <w:autoSpaceDN/>
                    <w:bidi w:val="0"/>
                    <w:spacing w:line="240" w:lineRule="auto"/>
                    <w:ind w:firstLine="0" w:firstLineChars="0"/>
                    <w:textAlignment w:val="auto"/>
                    <w:rPr>
                      <w:rFonts w:hint="eastAsia"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7200</w:t>
                  </w:r>
                </w:p>
              </w:tc>
              <w:tc>
                <w:tcPr>
                  <w:tcW w:w="440" w:type="dxa"/>
                  <w:vMerge w:val="restart"/>
                  <w:noWrap w:val="0"/>
                  <w:vAlign w:val="center"/>
                </w:tcPr>
                <w:p>
                  <w:pPr>
                    <w:adjustRightInd w:val="0"/>
                    <w:snapToGrid w:val="0"/>
                    <w:jc w:val="center"/>
                    <w:rPr>
                      <w:rFonts w:ascii="Times New Roman" w:hAnsi="Times New Roman"/>
                      <w:color w:val="auto"/>
                      <w:sz w:val="18"/>
                      <w:szCs w:val="18"/>
                    </w:rPr>
                  </w:pPr>
                  <w:r>
                    <w:rPr>
                      <w:rFonts w:hint="eastAsia" w:ascii="Times New Roman" w:hAnsi="Times New Roman" w:eastAsia="宋体" w:cs="Times New Roman"/>
                      <w:color w:val="auto"/>
                      <w:spacing w:val="-10"/>
                      <w:kern w:val="2"/>
                      <w:sz w:val="18"/>
                      <w:szCs w:val="18"/>
                      <w:lang w:val="en-US" w:eastAsia="zh-CN" w:bidi="ar-SA"/>
                    </w:rPr>
                    <w:t>DA00</w:t>
                  </w:r>
                  <w:r>
                    <w:rPr>
                      <w:rFonts w:hint="eastAsia" w:cs="Times New Roman"/>
                      <w:color w:val="auto"/>
                      <w:spacing w:val="-10"/>
                      <w:kern w:val="2"/>
                      <w:sz w:val="18"/>
                      <w:szCs w:val="18"/>
                      <w:lang w:val="en-US" w:eastAsia="zh-CN" w:bidi="ar-SA"/>
                    </w:rPr>
                    <w:t>8</w:t>
                  </w:r>
                  <w:r>
                    <w:rPr>
                      <w:rFonts w:hint="eastAsia" w:ascii="Times New Roman" w:hAnsi="Times New Roman"/>
                      <w:color w:val="auto"/>
                      <w:sz w:val="18"/>
                      <w:szCs w:val="18"/>
                    </w:rPr>
                    <w:t>排气筒排放</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429" w:hRule="atLeast"/>
                <w:jc w:val="center"/>
              </w:trPr>
              <w:tc>
                <w:tcPr>
                  <w:tcW w:w="412" w:type="dxa"/>
                  <w:vMerge w:val="continue"/>
                  <w:noWrap w:val="0"/>
                  <w:vAlign w:val="center"/>
                </w:tcPr>
                <w:p>
                  <w:pPr>
                    <w:adjustRightInd w:val="0"/>
                    <w:snapToGrid w:val="0"/>
                    <w:jc w:val="center"/>
                    <w:rPr>
                      <w:rFonts w:ascii="Times New Roman" w:hAnsi="Times New Roman"/>
                      <w:color w:val="auto"/>
                      <w:sz w:val="18"/>
                      <w:szCs w:val="18"/>
                    </w:rPr>
                  </w:pPr>
                </w:p>
              </w:tc>
              <w:tc>
                <w:tcPr>
                  <w:tcW w:w="531" w:type="dxa"/>
                  <w:vMerge w:val="continue"/>
                  <w:noWrap w:val="0"/>
                  <w:vAlign w:val="center"/>
                </w:tcPr>
                <w:p>
                  <w:pPr>
                    <w:adjustRightInd w:val="0"/>
                    <w:snapToGrid w:val="0"/>
                    <w:jc w:val="center"/>
                    <w:rPr>
                      <w:rFonts w:ascii="Times New Roman" w:hAnsi="Times New Roman"/>
                      <w:color w:val="auto"/>
                      <w:sz w:val="18"/>
                      <w:szCs w:val="18"/>
                    </w:rPr>
                  </w:pPr>
                </w:p>
              </w:tc>
              <w:tc>
                <w:tcPr>
                  <w:tcW w:w="770" w:type="dxa"/>
                  <w:noWrap w:val="0"/>
                  <w:vAlign w:val="center"/>
                </w:tcPr>
                <w:p>
                  <w:pPr>
                    <w:adjustRightInd w:val="0"/>
                    <w:snapToGrid w:val="0"/>
                    <w:jc w:val="center"/>
                    <w:rPr>
                      <w:rFonts w:ascii="Times New Roman" w:hAnsi="Times New Roman"/>
                      <w:color w:val="auto"/>
                      <w:sz w:val="18"/>
                      <w:szCs w:val="18"/>
                    </w:rPr>
                  </w:pPr>
                  <w:r>
                    <w:rPr>
                      <w:rFonts w:ascii="Times New Roman" w:hAnsi="Times New Roman"/>
                      <w:color w:val="auto"/>
                      <w:sz w:val="18"/>
                      <w:szCs w:val="18"/>
                    </w:rPr>
                    <w:t>NO</w:t>
                  </w:r>
                  <w:r>
                    <w:rPr>
                      <w:rFonts w:ascii="Times New Roman" w:hAnsi="Times New Roman"/>
                      <w:color w:val="auto"/>
                      <w:sz w:val="18"/>
                      <w:szCs w:val="18"/>
                      <w:vertAlign w:val="subscript"/>
                    </w:rPr>
                    <w:t>X</w:t>
                  </w:r>
                </w:p>
              </w:tc>
              <w:tc>
                <w:tcPr>
                  <w:tcW w:w="480" w:type="dxa"/>
                  <w:vMerge w:val="continue"/>
                  <w:noWrap w:val="0"/>
                  <w:vAlign w:val="center"/>
                </w:tcPr>
                <w:p>
                  <w:pPr>
                    <w:adjustRightInd w:val="0"/>
                    <w:snapToGrid w:val="0"/>
                    <w:jc w:val="center"/>
                    <w:rPr>
                      <w:rFonts w:hint="eastAsia" w:ascii="Times New Roman" w:hAnsi="Times New Roman" w:eastAsia="宋体"/>
                      <w:color w:val="auto"/>
                      <w:sz w:val="18"/>
                      <w:szCs w:val="18"/>
                      <w:lang w:val="en-US" w:eastAsia="zh-CN"/>
                    </w:rPr>
                  </w:pPr>
                </w:p>
              </w:tc>
              <w:tc>
                <w:tcPr>
                  <w:tcW w:w="805"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4.3085 </w:t>
                  </w:r>
                </w:p>
              </w:tc>
              <w:tc>
                <w:tcPr>
                  <w:tcW w:w="823"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0.5984 </w:t>
                  </w:r>
                </w:p>
              </w:tc>
              <w:tc>
                <w:tcPr>
                  <w:tcW w:w="730"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49.87 </w:t>
                  </w:r>
                </w:p>
              </w:tc>
              <w:tc>
                <w:tcPr>
                  <w:tcW w:w="783"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2.1543</w:t>
                  </w:r>
                </w:p>
              </w:tc>
              <w:tc>
                <w:tcPr>
                  <w:tcW w:w="71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0.2992 </w:t>
                  </w:r>
                </w:p>
              </w:tc>
              <w:tc>
                <w:tcPr>
                  <w:tcW w:w="63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24.93 </w:t>
                  </w:r>
                </w:p>
              </w:tc>
              <w:tc>
                <w:tcPr>
                  <w:tcW w:w="611" w:type="dxa"/>
                  <w:noWrap w:val="0"/>
                  <w:vAlign w:val="center"/>
                </w:tcPr>
                <w:p>
                  <w:pPr>
                    <w:pStyle w:val="30"/>
                    <w:keepNext w:val="0"/>
                    <w:keepLines w:val="0"/>
                    <w:pageBreakBefore w:val="0"/>
                    <w:widowControl/>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kern w:val="2"/>
                      <w:sz w:val="18"/>
                      <w:szCs w:val="18"/>
                      <w:lang w:val="en-US" w:eastAsia="zh-CN"/>
                    </w:rPr>
                    <w:t>180</w:t>
                  </w:r>
                </w:p>
              </w:tc>
              <w:tc>
                <w:tcPr>
                  <w:tcW w:w="371" w:type="dxa"/>
                  <w:vMerge w:val="continue"/>
                  <w:noWrap w:val="0"/>
                  <w:vAlign w:val="center"/>
                </w:tcPr>
                <w:p>
                  <w:pPr>
                    <w:keepNext w:val="0"/>
                    <w:keepLines w:val="0"/>
                    <w:pageBreakBefore w:val="0"/>
                    <w:widowControl/>
                    <w:kinsoku/>
                    <w:wordWrap/>
                    <w:overflowPunct/>
                    <w:topLinePunct w:val="0"/>
                    <w:autoSpaceDE/>
                    <w:autoSpaceDN/>
                    <w:bidi w:val="0"/>
                    <w:spacing w:line="240" w:lineRule="auto"/>
                    <w:ind w:firstLine="0" w:firstLineChars="0"/>
                    <w:textAlignment w:val="auto"/>
                    <w:rPr>
                      <w:rFonts w:hint="eastAsia" w:ascii="Times New Roman" w:hAnsi="Times New Roman" w:eastAsia="宋体" w:cs="Times New Roman"/>
                      <w:color w:val="auto"/>
                      <w:kern w:val="2"/>
                      <w:sz w:val="18"/>
                      <w:szCs w:val="18"/>
                      <w:lang w:val="en-US" w:eastAsia="zh-CN"/>
                    </w:rPr>
                  </w:pPr>
                </w:p>
              </w:tc>
              <w:tc>
                <w:tcPr>
                  <w:tcW w:w="440" w:type="dxa"/>
                  <w:vMerge w:val="continue"/>
                  <w:noWrap w:val="0"/>
                  <w:vAlign w:val="center"/>
                </w:tcPr>
                <w:p>
                  <w:pPr>
                    <w:adjustRightInd w:val="0"/>
                    <w:snapToGrid w:val="0"/>
                    <w:jc w:val="center"/>
                    <w:rPr>
                      <w:rFonts w:ascii="Times New Roman" w:hAnsi="Times New Roman"/>
                      <w:color w:val="auto"/>
                      <w:sz w:val="18"/>
                      <w:szCs w:val="18"/>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429" w:hRule="atLeast"/>
                <w:jc w:val="center"/>
              </w:trPr>
              <w:tc>
                <w:tcPr>
                  <w:tcW w:w="412" w:type="dxa"/>
                  <w:vMerge w:val="continue"/>
                  <w:noWrap w:val="0"/>
                  <w:vAlign w:val="center"/>
                </w:tcPr>
                <w:p>
                  <w:pPr>
                    <w:adjustRightInd w:val="0"/>
                    <w:snapToGrid w:val="0"/>
                    <w:jc w:val="center"/>
                    <w:rPr>
                      <w:rFonts w:ascii="Times New Roman" w:hAnsi="Times New Roman"/>
                      <w:color w:val="auto"/>
                      <w:sz w:val="18"/>
                      <w:szCs w:val="18"/>
                    </w:rPr>
                  </w:pPr>
                </w:p>
              </w:tc>
              <w:tc>
                <w:tcPr>
                  <w:tcW w:w="531" w:type="dxa"/>
                  <w:vMerge w:val="continue"/>
                  <w:noWrap w:val="0"/>
                  <w:vAlign w:val="center"/>
                </w:tcPr>
                <w:p>
                  <w:pPr>
                    <w:adjustRightInd w:val="0"/>
                    <w:snapToGrid w:val="0"/>
                    <w:jc w:val="center"/>
                    <w:rPr>
                      <w:rFonts w:ascii="Times New Roman" w:hAnsi="Times New Roman"/>
                      <w:color w:val="auto"/>
                      <w:sz w:val="18"/>
                      <w:szCs w:val="18"/>
                    </w:rPr>
                  </w:pPr>
                </w:p>
              </w:tc>
              <w:tc>
                <w:tcPr>
                  <w:tcW w:w="770" w:type="dxa"/>
                  <w:noWrap w:val="0"/>
                  <w:vAlign w:val="center"/>
                </w:tcPr>
                <w:p>
                  <w:pPr>
                    <w:adjustRightInd w:val="0"/>
                    <w:snapToGrid w:val="0"/>
                    <w:jc w:val="center"/>
                    <w:rPr>
                      <w:rFonts w:ascii="Times New Roman" w:hAnsi="Times New Roman"/>
                      <w:color w:val="auto"/>
                      <w:sz w:val="18"/>
                      <w:szCs w:val="18"/>
                    </w:rPr>
                  </w:pPr>
                  <w:r>
                    <w:rPr>
                      <w:rFonts w:ascii="Times New Roman" w:hAnsi="Times New Roman"/>
                      <w:color w:val="auto"/>
                      <w:sz w:val="18"/>
                      <w:szCs w:val="18"/>
                    </w:rPr>
                    <w:t>颗粒物</w:t>
                  </w:r>
                </w:p>
              </w:tc>
              <w:tc>
                <w:tcPr>
                  <w:tcW w:w="480" w:type="dxa"/>
                  <w:vMerge w:val="continue"/>
                  <w:noWrap w:val="0"/>
                  <w:vAlign w:val="center"/>
                </w:tcPr>
                <w:p>
                  <w:pPr>
                    <w:adjustRightInd w:val="0"/>
                    <w:snapToGrid w:val="0"/>
                    <w:jc w:val="center"/>
                    <w:rPr>
                      <w:rFonts w:hint="eastAsia" w:ascii="Times New Roman" w:hAnsi="Times New Roman" w:eastAsia="宋体"/>
                      <w:color w:val="auto"/>
                      <w:sz w:val="18"/>
                      <w:szCs w:val="18"/>
                      <w:lang w:val="en-US" w:eastAsia="zh-CN"/>
                    </w:rPr>
                  </w:pPr>
                </w:p>
              </w:tc>
              <w:tc>
                <w:tcPr>
                  <w:tcW w:w="805"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0.6589 </w:t>
                  </w:r>
                </w:p>
              </w:tc>
              <w:tc>
                <w:tcPr>
                  <w:tcW w:w="823"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0.0915 </w:t>
                  </w:r>
                </w:p>
              </w:tc>
              <w:tc>
                <w:tcPr>
                  <w:tcW w:w="730"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7.63 </w:t>
                  </w:r>
                </w:p>
              </w:tc>
              <w:tc>
                <w:tcPr>
                  <w:tcW w:w="783"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0.6589 </w:t>
                  </w:r>
                </w:p>
              </w:tc>
              <w:tc>
                <w:tcPr>
                  <w:tcW w:w="71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0.0915 </w:t>
                  </w:r>
                </w:p>
              </w:tc>
              <w:tc>
                <w:tcPr>
                  <w:tcW w:w="63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7.63 </w:t>
                  </w:r>
                </w:p>
              </w:tc>
              <w:tc>
                <w:tcPr>
                  <w:tcW w:w="611" w:type="dxa"/>
                  <w:noWrap w:val="0"/>
                  <w:vAlign w:val="center"/>
                </w:tcPr>
                <w:p>
                  <w:pPr>
                    <w:pStyle w:val="30"/>
                    <w:keepNext w:val="0"/>
                    <w:keepLines w:val="0"/>
                    <w:pageBreakBefore w:val="0"/>
                    <w:widowControl/>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bCs/>
                      <w:color w:val="auto"/>
                      <w:kern w:val="2"/>
                      <w:sz w:val="18"/>
                      <w:szCs w:val="18"/>
                      <w:lang w:val="en-US" w:eastAsia="zh-CN"/>
                    </w:rPr>
                    <w:t>20</w:t>
                  </w:r>
                </w:p>
              </w:tc>
              <w:tc>
                <w:tcPr>
                  <w:tcW w:w="371" w:type="dxa"/>
                  <w:vMerge w:val="continue"/>
                  <w:noWrap w:val="0"/>
                  <w:vAlign w:val="center"/>
                </w:tcPr>
                <w:p>
                  <w:pPr>
                    <w:keepNext w:val="0"/>
                    <w:keepLines w:val="0"/>
                    <w:pageBreakBefore w:val="0"/>
                    <w:widowControl/>
                    <w:kinsoku/>
                    <w:wordWrap/>
                    <w:overflowPunct/>
                    <w:topLinePunct w:val="0"/>
                    <w:autoSpaceDE/>
                    <w:autoSpaceDN/>
                    <w:bidi w:val="0"/>
                    <w:spacing w:line="240" w:lineRule="auto"/>
                    <w:ind w:firstLine="0" w:firstLineChars="0"/>
                    <w:textAlignment w:val="auto"/>
                    <w:rPr>
                      <w:rFonts w:hint="eastAsia" w:ascii="Times New Roman" w:hAnsi="Times New Roman" w:eastAsia="宋体" w:cs="Times New Roman"/>
                      <w:bCs/>
                      <w:color w:val="auto"/>
                      <w:kern w:val="2"/>
                      <w:sz w:val="18"/>
                      <w:szCs w:val="18"/>
                      <w:lang w:val="en-US" w:eastAsia="zh-CN"/>
                    </w:rPr>
                  </w:pPr>
                </w:p>
              </w:tc>
              <w:tc>
                <w:tcPr>
                  <w:tcW w:w="440" w:type="dxa"/>
                  <w:vMerge w:val="continue"/>
                  <w:noWrap w:val="0"/>
                  <w:vAlign w:val="center"/>
                </w:tcPr>
                <w:p>
                  <w:pPr>
                    <w:adjustRightInd w:val="0"/>
                    <w:snapToGrid w:val="0"/>
                    <w:jc w:val="center"/>
                    <w:rPr>
                      <w:rFonts w:ascii="Times New Roman" w:hAnsi="Times New Roman"/>
                      <w:color w:val="auto"/>
                      <w:sz w:val="18"/>
                      <w:szCs w:val="18"/>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429" w:hRule="atLeast"/>
                <w:jc w:val="center"/>
              </w:trPr>
              <w:tc>
                <w:tcPr>
                  <w:tcW w:w="412" w:type="dxa"/>
                  <w:vMerge w:val="continue"/>
                  <w:noWrap w:val="0"/>
                  <w:vAlign w:val="center"/>
                </w:tcPr>
                <w:p>
                  <w:pPr>
                    <w:adjustRightInd w:val="0"/>
                    <w:snapToGrid w:val="0"/>
                    <w:jc w:val="center"/>
                    <w:rPr>
                      <w:rFonts w:ascii="Times New Roman" w:hAnsi="Times New Roman"/>
                      <w:color w:val="auto"/>
                      <w:sz w:val="18"/>
                      <w:szCs w:val="18"/>
                    </w:rPr>
                  </w:pPr>
                </w:p>
              </w:tc>
              <w:tc>
                <w:tcPr>
                  <w:tcW w:w="531" w:type="dxa"/>
                  <w:vMerge w:val="restart"/>
                  <w:noWrap w:val="0"/>
                  <w:vAlign w:val="center"/>
                </w:tcPr>
                <w:p>
                  <w:pPr>
                    <w:adjustRightInd w:val="0"/>
                    <w:snapToGrid w:val="0"/>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792</w:t>
                  </w:r>
                </w:p>
              </w:tc>
              <w:tc>
                <w:tcPr>
                  <w:tcW w:w="770" w:type="dxa"/>
                  <w:noWrap w:val="0"/>
                  <w:vAlign w:val="center"/>
                </w:tcPr>
                <w:p>
                  <w:pPr>
                    <w:adjustRightInd w:val="0"/>
                    <w:snapToGrid w:val="0"/>
                    <w:jc w:val="center"/>
                    <w:rPr>
                      <w:rFonts w:ascii="Times New Roman" w:hAnsi="Times New Roman"/>
                      <w:color w:val="auto"/>
                      <w:sz w:val="18"/>
                      <w:szCs w:val="18"/>
                    </w:rPr>
                  </w:pPr>
                  <w:r>
                    <w:rPr>
                      <w:rFonts w:ascii="Times New Roman" w:hAnsi="Times New Roman"/>
                      <w:color w:val="auto"/>
                      <w:sz w:val="18"/>
                      <w:szCs w:val="18"/>
                    </w:rPr>
                    <w:t>SO</w:t>
                  </w:r>
                  <w:r>
                    <w:rPr>
                      <w:rFonts w:ascii="Times New Roman" w:hAnsi="Times New Roman"/>
                      <w:color w:val="auto"/>
                      <w:sz w:val="18"/>
                      <w:szCs w:val="18"/>
                      <w:vertAlign w:val="subscript"/>
                    </w:rPr>
                    <w:t>2</w:t>
                  </w:r>
                </w:p>
              </w:tc>
              <w:tc>
                <w:tcPr>
                  <w:tcW w:w="480" w:type="dxa"/>
                  <w:vMerge w:val="restart"/>
                  <w:noWrap w:val="0"/>
                  <w:vAlign w:val="center"/>
                </w:tcPr>
                <w:p>
                  <w:pPr>
                    <w:adjustRightInd w:val="0"/>
                    <w:snapToGrid w:val="0"/>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18000</w:t>
                  </w:r>
                </w:p>
              </w:tc>
              <w:tc>
                <w:tcPr>
                  <w:tcW w:w="805"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1.584</w:t>
                  </w:r>
                </w:p>
              </w:tc>
              <w:tc>
                <w:tcPr>
                  <w:tcW w:w="823"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0.2200 </w:t>
                  </w:r>
                </w:p>
              </w:tc>
              <w:tc>
                <w:tcPr>
                  <w:tcW w:w="730"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14.67 </w:t>
                  </w:r>
                </w:p>
              </w:tc>
              <w:tc>
                <w:tcPr>
                  <w:tcW w:w="783"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1.584</w:t>
                  </w:r>
                </w:p>
              </w:tc>
              <w:tc>
                <w:tcPr>
                  <w:tcW w:w="71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0.2200 </w:t>
                  </w:r>
                </w:p>
              </w:tc>
              <w:tc>
                <w:tcPr>
                  <w:tcW w:w="63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14.67 </w:t>
                  </w:r>
                </w:p>
              </w:tc>
              <w:tc>
                <w:tcPr>
                  <w:tcW w:w="611" w:type="dxa"/>
                  <w:noWrap w:val="0"/>
                  <w:vAlign w:val="center"/>
                </w:tcPr>
                <w:p>
                  <w:pPr>
                    <w:pStyle w:val="30"/>
                    <w:keepNext w:val="0"/>
                    <w:keepLines w:val="0"/>
                    <w:pageBreakBefore w:val="0"/>
                    <w:widowControl/>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kern w:val="2"/>
                      <w:sz w:val="18"/>
                      <w:szCs w:val="18"/>
                      <w:lang w:val="en-US" w:eastAsia="zh-CN"/>
                    </w:rPr>
                    <w:t>80</w:t>
                  </w:r>
                </w:p>
              </w:tc>
              <w:tc>
                <w:tcPr>
                  <w:tcW w:w="371" w:type="dxa"/>
                  <w:vMerge w:val="restart"/>
                  <w:noWrap w:val="0"/>
                  <w:vAlign w:val="center"/>
                </w:tcPr>
                <w:p>
                  <w:pPr>
                    <w:keepNext w:val="0"/>
                    <w:keepLines w:val="0"/>
                    <w:pageBreakBefore w:val="0"/>
                    <w:widowControl/>
                    <w:kinsoku/>
                    <w:wordWrap/>
                    <w:overflowPunct/>
                    <w:topLinePunct w:val="0"/>
                    <w:autoSpaceDE/>
                    <w:autoSpaceDN/>
                    <w:bidi w:val="0"/>
                    <w:spacing w:line="240" w:lineRule="auto"/>
                    <w:ind w:firstLine="0" w:firstLineChars="0"/>
                    <w:textAlignment w:val="auto"/>
                    <w:rPr>
                      <w:rFonts w:hint="eastAsia"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7200</w:t>
                  </w:r>
                </w:p>
              </w:tc>
              <w:tc>
                <w:tcPr>
                  <w:tcW w:w="440" w:type="dxa"/>
                  <w:vMerge w:val="restart"/>
                  <w:noWrap w:val="0"/>
                  <w:vAlign w:val="center"/>
                </w:tcPr>
                <w:p>
                  <w:pPr>
                    <w:adjustRightInd w:val="0"/>
                    <w:snapToGrid w:val="0"/>
                    <w:jc w:val="center"/>
                    <w:rPr>
                      <w:rFonts w:ascii="Times New Roman" w:hAnsi="Times New Roman"/>
                      <w:color w:val="auto"/>
                      <w:sz w:val="18"/>
                      <w:szCs w:val="18"/>
                    </w:rPr>
                  </w:pPr>
                  <w:r>
                    <w:rPr>
                      <w:rFonts w:hint="eastAsia" w:ascii="Times New Roman" w:hAnsi="Times New Roman" w:eastAsia="宋体" w:cs="Times New Roman"/>
                      <w:color w:val="auto"/>
                      <w:spacing w:val="-10"/>
                      <w:kern w:val="2"/>
                      <w:sz w:val="18"/>
                      <w:szCs w:val="18"/>
                      <w:lang w:val="en-US" w:eastAsia="zh-CN" w:bidi="ar-SA"/>
                    </w:rPr>
                    <w:t>DA00</w:t>
                  </w:r>
                  <w:r>
                    <w:rPr>
                      <w:rFonts w:hint="eastAsia" w:cs="Times New Roman"/>
                      <w:color w:val="auto"/>
                      <w:spacing w:val="-10"/>
                      <w:kern w:val="2"/>
                      <w:sz w:val="18"/>
                      <w:szCs w:val="18"/>
                      <w:lang w:val="en-US" w:eastAsia="zh-CN" w:bidi="ar-SA"/>
                    </w:rPr>
                    <w:t>4</w:t>
                  </w:r>
                  <w:r>
                    <w:rPr>
                      <w:rFonts w:hint="eastAsia" w:ascii="Times New Roman" w:hAnsi="Times New Roman"/>
                      <w:color w:val="auto"/>
                      <w:sz w:val="18"/>
                      <w:szCs w:val="18"/>
                    </w:rPr>
                    <w:t>排气筒排放</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429" w:hRule="atLeast"/>
                <w:jc w:val="center"/>
              </w:trPr>
              <w:tc>
                <w:tcPr>
                  <w:tcW w:w="412" w:type="dxa"/>
                  <w:vMerge w:val="continue"/>
                  <w:noWrap w:val="0"/>
                  <w:vAlign w:val="center"/>
                </w:tcPr>
                <w:p>
                  <w:pPr>
                    <w:adjustRightInd w:val="0"/>
                    <w:snapToGrid w:val="0"/>
                    <w:jc w:val="center"/>
                    <w:rPr>
                      <w:rFonts w:ascii="Times New Roman" w:hAnsi="Times New Roman"/>
                      <w:color w:val="auto"/>
                      <w:sz w:val="18"/>
                      <w:szCs w:val="18"/>
                    </w:rPr>
                  </w:pPr>
                </w:p>
              </w:tc>
              <w:tc>
                <w:tcPr>
                  <w:tcW w:w="531" w:type="dxa"/>
                  <w:vMerge w:val="continue"/>
                  <w:noWrap w:val="0"/>
                  <w:vAlign w:val="center"/>
                </w:tcPr>
                <w:p>
                  <w:pPr>
                    <w:adjustRightInd w:val="0"/>
                    <w:snapToGrid w:val="0"/>
                    <w:jc w:val="center"/>
                    <w:rPr>
                      <w:rFonts w:ascii="Times New Roman" w:hAnsi="Times New Roman"/>
                      <w:color w:val="auto"/>
                      <w:sz w:val="18"/>
                      <w:szCs w:val="18"/>
                    </w:rPr>
                  </w:pPr>
                </w:p>
              </w:tc>
              <w:tc>
                <w:tcPr>
                  <w:tcW w:w="770" w:type="dxa"/>
                  <w:noWrap w:val="0"/>
                  <w:vAlign w:val="center"/>
                </w:tcPr>
                <w:p>
                  <w:pPr>
                    <w:adjustRightInd w:val="0"/>
                    <w:snapToGrid w:val="0"/>
                    <w:jc w:val="center"/>
                    <w:rPr>
                      <w:rFonts w:ascii="Times New Roman" w:hAnsi="Times New Roman"/>
                      <w:color w:val="auto"/>
                      <w:sz w:val="18"/>
                      <w:szCs w:val="18"/>
                    </w:rPr>
                  </w:pPr>
                  <w:r>
                    <w:rPr>
                      <w:rFonts w:ascii="Times New Roman" w:hAnsi="Times New Roman"/>
                      <w:color w:val="auto"/>
                      <w:sz w:val="18"/>
                      <w:szCs w:val="18"/>
                    </w:rPr>
                    <w:t>NO</w:t>
                  </w:r>
                  <w:r>
                    <w:rPr>
                      <w:rFonts w:ascii="Times New Roman" w:hAnsi="Times New Roman"/>
                      <w:color w:val="auto"/>
                      <w:sz w:val="18"/>
                      <w:szCs w:val="18"/>
                      <w:vertAlign w:val="subscript"/>
                    </w:rPr>
                    <w:t>X</w:t>
                  </w:r>
                </w:p>
              </w:tc>
              <w:tc>
                <w:tcPr>
                  <w:tcW w:w="480" w:type="dxa"/>
                  <w:vMerge w:val="continue"/>
                  <w:noWrap w:val="0"/>
                  <w:vAlign w:val="center"/>
                </w:tcPr>
                <w:p>
                  <w:pPr>
                    <w:adjustRightInd w:val="0"/>
                    <w:snapToGrid w:val="0"/>
                    <w:jc w:val="center"/>
                    <w:rPr>
                      <w:rFonts w:hint="eastAsia" w:ascii="Times New Roman" w:hAnsi="Times New Roman" w:eastAsia="宋体"/>
                      <w:color w:val="auto"/>
                      <w:sz w:val="18"/>
                      <w:szCs w:val="18"/>
                      <w:lang w:val="en-US" w:eastAsia="zh-CN"/>
                    </w:rPr>
                  </w:pPr>
                </w:p>
              </w:tc>
              <w:tc>
                <w:tcPr>
                  <w:tcW w:w="805"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14.8104</w:t>
                  </w:r>
                </w:p>
              </w:tc>
              <w:tc>
                <w:tcPr>
                  <w:tcW w:w="823"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2.0570 </w:t>
                  </w:r>
                </w:p>
              </w:tc>
              <w:tc>
                <w:tcPr>
                  <w:tcW w:w="730"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137.13 </w:t>
                  </w:r>
                </w:p>
              </w:tc>
              <w:tc>
                <w:tcPr>
                  <w:tcW w:w="783"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7.4052</w:t>
                  </w:r>
                </w:p>
              </w:tc>
              <w:tc>
                <w:tcPr>
                  <w:tcW w:w="71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1.0285 </w:t>
                  </w:r>
                </w:p>
              </w:tc>
              <w:tc>
                <w:tcPr>
                  <w:tcW w:w="63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68.57 </w:t>
                  </w:r>
                </w:p>
              </w:tc>
              <w:tc>
                <w:tcPr>
                  <w:tcW w:w="611" w:type="dxa"/>
                  <w:noWrap w:val="0"/>
                  <w:vAlign w:val="center"/>
                </w:tcPr>
                <w:p>
                  <w:pPr>
                    <w:pStyle w:val="30"/>
                    <w:keepNext w:val="0"/>
                    <w:keepLines w:val="0"/>
                    <w:pageBreakBefore w:val="0"/>
                    <w:widowControl/>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kern w:val="2"/>
                      <w:sz w:val="18"/>
                      <w:szCs w:val="18"/>
                      <w:lang w:val="en-US" w:eastAsia="zh-CN"/>
                    </w:rPr>
                    <w:t>180</w:t>
                  </w:r>
                </w:p>
              </w:tc>
              <w:tc>
                <w:tcPr>
                  <w:tcW w:w="371" w:type="dxa"/>
                  <w:vMerge w:val="continue"/>
                  <w:noWrap w:val="0"/>
                  <w:vAlign w:val="center"/>
                </w:tcPr>
                <w:p>
                  <w:pPr>
                    <w:keepNext w:val="0"/>
                    <w:keepLines w:val="0"/>
                    <w:pageBreakBefore w:val="0"/>
                    <w:widowControl/>
                    <w:kinsoku/>
                    <w:wordWrap/>
                    <w:overflowPunct/>
                    <w:topLinePunct w:val="0"/>
                    <w:autoSpaceDE/>
                    <w:autoSpaceDN/>
                    <w:bidi w:val="0"/>
                    <w:spacing w:line="240" w:lineRule="auto"/>
                    <w:ind w:firstLine="0" w:firstLineChars="0"/>
                    <w:textAlignment w:val="auto"/>
                    <w:rPr>
                      <w:rFonts w:hint="eastAsia" w:ascii="Times New Roman" w:hAnsi="Times New Roman" w:eastAsia="宋体" w:cs="Times New Roman"/>
                      <w:color w:val="auto"/>
                      <w:kern w:val="2"/>
                      <w:sz w:val="18"/>
                      <w:szCs w:val="18"/>
                      <w:lang w:val="en-US" w:eastAsia="zh-CN"/>
                    </w:rPr>
                  </w:pPr>
                </w:p>
              </w:tc>
              <w:tc>
                <w:tcPr>
                  <w:tcW w:w="440" w:type="dxa"/>
                  <w:vMerge w:val="continue"/>
                  <w:noWrap w:val="0"/>
                  <w:vAlign w:val="center"/>
                </w:tcPr>
                <w:p>
                  <w:pPr>
                    <w:adjustRightInd w:val="0"/>
                    <w:snapToGrid w:val="0"/>
                    <w:jc w:val="center"/>
                    <w:rPr>
                      <w:rFonts w:ascii="Times New Roman" w:hAnsi="Times New Roman"/>
                      <w:color w:val="auto"/>
                      <w:sz w:val="18"/>
                      <w:szCs w:val="18"/>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429" w:hRule="atLeast"/>
                <w:jc w:val="center"/>
              </w:trPr>
              <w:tc>
                <w:tcPr>
                  <w:tcW w:w="412" w:type="dxa"/>
                  <w:vMerge w:val="continue"/>
                  <w:noWrap w:val="0"/>
                  <w:vAlign w:val="center"/>
                </w:tcPr>
                <w:p>
                  <w:pPr>
                    <w:adjustRightInd w:val="0"/>
                    <w:snapToGrid w:val="0"/>
                    <w:jc w:val="center"/>
                    <w:rPr>
                      <w:rFonts w:ascii="Times New Roman" w:hAnsi="Times New Roman"/>
                      <w:color w:val="auto"/>
                      <w:sz w:val="18"/>
                      <w:szCs w:val="18"/>
                    </w:rPr>
                  </w:pPr>
                </w:p>
              </w:tc>
              <w:tc>
                <w:tcPr>
                  <w:tcW w:w="531" w:type="dxa"/>
                  <w:vMerge w:val="continue"/>
                  <w:noWrap w:val="0"/>
                  <w:vAlign w:val="center"/>
                </w:tcPr>
                <w:p>
                  <w:pPr>
                    <w:adjustRightInd w:val="0"/>
                    <w:snapToGrid w:val="0"/>
                    <w:jc w:val="center"/>
                    <w:rPr>
                      <w:rFonts w:ascii="Times New Roman" w:hAnsi="Times New Roman"/>
                      <w:color w:val="auto"/>
                      <w:sz w:val="18"/>
                      <w:szCs w:val="18"/>
                    </w:rPr>
                  </w:pPr>
                </w:p>
              </w:tc>
              <w:tc>
                <w:tcPr>
                  <w:tcW w:w="770" w:type="dxa"/>
                  <w:noWrap w:val="0"/>
                  <w:vAlign w:val="center"/>
                </w:tcPr>
                <w:p>
                  <w:pPr>
                    <w:adjustRightInd w:val="0"/>
                    <w:snapToGrid w:val="0"/>
                    <w:jc w:val="center"/>
                    <w:rPr>
                      <w:rFonts w:ascii="Times New Roman" w:hAnsi="Times New Roman"/>
                      <w:color w:val="auto"/>
                      <w:sz w:val="18"/>
                      <w:szCs w:val="18"/>
                    </w:rPr>
                  </w:pPr>
                  <w:r>
                    <w:rPr>
                      <w:rFonts w:ascii="Times New Roman" w:hAnsi="Times New Roman"/>
                      <w:color w:val="auto"/>
                      <w:sz w:val="18"/>
                      <w:szCs w:val="18"/>
                    </w:rPr>
                    <w:t>颗粒物</w:t>
                  </w:r>
                </w:p>
              </w:tc>
              <w:tc>
                <w:tcPr>
                  <w:tcW w:w="480" w:type="dxa"/>
                  <w:vMerge w:val="continue"/>
                  <w:noWrap w:val="0"/>
                  <w:vAlign w:val="center"/>
                </w:tcPr>
                <w:p>
                  <w:pPr>
                    <w:adjustRightInd w:val="0"/>
                    <w:snapToGrid w:val="0"/>
                    <w:jc w:val="center"/>
                    <w:rPr>
                      <w:rFonts w:hint="eastAsia" w:ascii="Times New Roman" w:hAnsi="Times New Roman" w:eastAsia="宋体"/>
                      <w:color w:val="auto"/>
                      <w:sz w:val="18"/>
                      <w:szCs w:val="18"/>
                      <w:lang w:val="en-US" w:eastAsia="zh-CN"/>
                    </w:rPr>
                  </w:pPr>
                </w:p>
              </w:tc>
              <w:tc>
                <w:tcPr>
                  <w:tcW w:w="805"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2.2651</w:t>
                  </w:r>
                </w:p>
              </w:tc>
              <w:tc>
                <w:tcPr>
                  <w:tcW w:w="823"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0.3146 </w:t>
                  </w:r>
                </w:p>
              </w:tc>
              <w:tc>
                <w:tcPr>
                  <w:tcW w:w="730"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eastAsia" w:cs="Times New Roman"/>
                      <w:i w:val="0"/>
                      <w:iCs w:val="0"/>
                      <w:color w:val="auto"/>
                      <w:kern w:val="0"/>
                      <w:sz w:val="18"/>
                      <w:szCs w:val="18"/>
                      <w:u w:val="none"/>
                      <w:lang w:val="en-US" w:eastAsia="zh-CN" w:bidi="ar"/>
                    </w:rPr>
                    <w:t>17.48</w:t>
                  </w:r>
                </w:p>
              </w:tc>
              <w:tc>
                <w:tcPr>
                  <w:tcW w:w="783"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2.2651</w:t>
                  </w:r>
                </w:p>
              </w:tc>
              <w:tc>
                <w:tcPr>
                  <w:tcW w:w="71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0.3146 </w:t>
                  </w:r>
                </w:p>
              </w:tc>
              <w:tc>
                <w:tcPr>
                  <w:tcW w:w="63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18"/>
                      <w:szCs w:val="18"/>
                      <w:lang w:val="en-US" w:eastAsia="zh-CN"/>
                    </w:rPr>
                  </w:pPr>
                  <w:r>
                    <w:rPr>
                      <w:rFonts w:hint="eastAsia" w:cs="Times New Roman"/>
                      <w:i w:val="0"/>
                      <w:iCs w:val="0"/>
                      <w:color w:val="auto"/>
                      <w:kern w:val="0"/>
                      <w:sz w:val="18"/>
                      <w:szCs w:val="18"/>
                      <w:u w:val="none"/>
                      <w:lang w:val="en-US" w:eastAsia="zh-CN" w:bidi="ar"/>
                    </w:rPr>
                    <w:t>17.48</w:t>
                  </w:r>
                  <w:r>
                    <w:rPr>
                      <w:rFonts w:hint="default" w:ascii="Times New Roman" w:hAnsi="Times New Roman" w:eastAsia="宋体" w:cs="Times New Roman"/>
                      <w:i w:val="0"/>
                      <w:iCs w:val="0"/>
                      <w:color w:val="auto"/>
                      <w:kern w:val="0"/>
                      <w:sz w:val="18"/>
                      <w:szCs w:val="18"/>
                      <w:u w:val="none"/>
                      <w:lang w:val="en-US" w:eastAsia="zh-CN" w:bidi="ar"/>
                    </w:rPr>
                    <w:t xml:space="preserve"> </w:t>
                  </w:r>
                </w:p>
              </w:tc>
              <w:tc>
                <w:tcPr>
                  <w:tcW w:w="611" w:type="dxa"/>
                  <w:noWrap w:val="0"/>
                  <w:vAlign w:val="center"/>
                </w:tcPr>
                <w:p>
                  <w:pPr>
                    <w:pStyle w:val="30"/>
                    <w:keepNext w:val="0"/>
                    <w:keepLines w:val="0"/>
                    <w:pageBreakBefore w:val="0"/>
                    <w:widowControl/>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bCs/>
                      <w:color w:val="auto"/>
                      <w:kern w:val="2"/>
                      <w:sz w:val="18"/>
                      <w:szCs w:val="18"/>
                      <w:lang w:val="en-US" w:eastAsia="zh-CN"/>
                    </w:rPr>
                    <w:t>20</w:t>
                  </w:r>
                </w:p>
              </w:tc>
              <w:tc>
                <w:tcPr>
                  <w:tcW w:w="371" w:type="dxa"/>
                  <w:vMerge w:val="continue"/>
                  <w:noWrap w:val="0"/>
                  <w:vAlign w:val="center"/>
                </w:tcPr>
                <w:p>
                  <w:pPr>
                    <w:keepNext w:val="0"/>
                    <w:keepLines w:val="0"/>
                    <w:pageBreakBefore w:val="0"/>
                    <w:widowControl/>
                    <w:kinsoku/>
                    <w:wordWrap/>
                    <w:overflowPunct/>
                    <w:topLinePunct w:val="0"/>
                    <w:autoSpaceDE/>
                    <w:autoSpaceDN/>
                    <w:bidi w:val="0"/>
                    <w:spacing w:line="240" w:lineRule="auto"/>
                    <w:ind w:firstLine="0" w:firstLineChars="0"/>
                    <w:textAlignment w:val="auto"/>
                    <w:rPr>
                      <w:rFonts w:hint="eastAsia" w:ascii="Times New Roman" w:hAnsi="Times New Roman" w:eastAsia="宋体" w:cs="Times New Roman"/>
                      <w:bCs/>
                      <w:color w:val="auto"/>
                      <w:kern w:val="2"/>
                      <w:sz w:val="18"/>
                      <w:szCs w:val="18"/>
                      <w:lang w:val="en-US" w:eastAsia="zh-CN"/>
                    </w:rPr>
                  </w:pPr>
                </w:p>
              </w:tc>
              <w:tc>
                <w:tcPr>
                  <w:tcW w:w="440" w:type="dxa"/>
                  <w:vMerge w:val="continue"/>
                  <w:noWrap w:val="0"/>
                  <w:vAlign w:val="center"/>
                </w:tcPr>
                <w:p>
                  <w:pPr>
                    <w:adjustRightInd w:val="0"/>
                    <w:snapToGrid w:val="0"/>
                    <w:jc w:val="center"/>
                    <w:rPr>
                      <w:rFonts w:ascii="Times New Roman" w:hAnsi="Times New Roman"/>
                      <w:color w:val="auto"/>
                      <w:sz w:val="18"/>
                      <w:szCs w:val="18"/>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429" w:hRule="atLeast"/>
                <w:jc w:val="center"/>
              </w:trPr>
              <w:tc>
                <w:tcPr>
                  <w:tcW w:w="412" w:type="dxa"/>
                  <w:vMerge w:val="continue"/>
                  <w:noWrap w:val="0"/>
                  <w:vAlign w:val="center"/>
                </w:tcPr>
                <w:p>
                  <w:pPr>
                    <w:adjustRightInd w:val="0"/>
                    <w:snapToGrid w:val="0"/>
                    <w:jc w:val="center"/>
                    <w:rPr>
                      <w:rFonts w:ascii="Times New Roman" w:hAnsi="Times New Roman"/>
                      <w:color w:val="auto"/>
                      <w:sz w:val="18"/>
                      <w:szCs w:val="18"/>
                    </w:rPr>
                  </w:pPr>
                </w:p>
              </w:tc>
              <w:tc>
                <w:tcPr>
                  <w:tcW w:w="531" w:type="dxa"/>
                  <w:vMerge w:val="restart"/>
                  <w:noWrap w:val="0"/>
                  <w:vAlign w:val="center"/>
                </w:tcPr>
                <w:p>
                  <w:pPr>
                    <w:adjustRightInd w:val="0"/>
                    <w:snapToGrid w:val="0"/>
                    <w:jc w:val="center"/>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648</w:t>
                  </w:r>
                </w:p>
              </w:tc>
              <w:tc>
                <w:tcPr>
                  <w:tcW w:w="770" w:type="dxa"/>
                  <w:noWrap w:val="0"/>
                  <w:vAlign w:val="center"/>
                </w:tcPr>
                <w:p>
                  <w:pPr>
                    <w:adjustRightInd w:val="0"/>
                    <w:snapToGrid w:val="0"/>
                    <w:jc w:val="center"/>
                    <w:rPr>
                      <w:rFonts w:ascii="Times New Roman" w:hAnsi="Times New Roman"/>
                      <w:color w:val="auto"/>
                      <w:sz w:val="18"/>
                      <w:szCs w:val="18"/>
                    </w:rPr>
                  </w:pPr>
                  <w:r>
                    <w:rPr>
                      <w:rFonts w:ascii="Times New Roman" w:hAnsi="Times New Roman"/>
                      <w:color w:val="auto"/>
                      <w:sz w:val="18"/>
                      <w:szCs w:val="18"/>
                    </w:rPr>
                    <w:t>SO</w:t>
                  </w:r>
                  <w:r>
                    <w:rPr>
                      <w:rFonts w:ascii="Times New Roman" w:hAnsi="Times New Roman"/>
                      <w:color w:val="auto"/>
                      <w:sz w:val="18"/>
                      <w:szCs w:val="18"/>
                      <w:vertAlign w:val="subscript"/>
                    </w:rPr>
                    <w:t>2</w:t>
                  </w:r>
                </w:p>
              </w:tc>
              <w:tc>
                <w:tcPr>
                  <w:tcW w:w="480" w:type="dxa"/>
                  <w:vMerge w:val="restart"/>
                  <w:noWrap w:val="0"/>
                  <w:vAlign w:val="center"/>
                </w:tcPr>
                <w:p>
                  <w:pPr>
                    <w:adjustRightInd w:val="0"/>
                    <w:snapToGrid w:val="0"/>
                    <w:jc w:val="center"/>
                    <w:rPr>
                      <w:rFonts w:hint="eastAsia"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15000</w:t>
                  </w:r>
                </w:p>
              </w:tc>
              <w:tc>
                <w:tcPr>
                  <w:tcW w:w="805" w:type="dxa"/>
                  <w:noWrap w:val="0"/>
                  <w:vAlign w:val="center"/>
                </w:tcPr>
                <w:p>
                  <w:pPr>
                    <w:adjustRightInd w:val="0"/>
                    <w:snapToGrid w:val="0"/>
                    <w:jc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 xml:space="preserve">1.2960 </w:t>
                  </w:r>
                </w:p>
              </w:tc>
              <w:tc>
                <w:tcPr>
                  <w:tcW w:w="823" w:type="dxa"/>
                  <w:shd w:val="clear" w:color="auto" w:fill="auto"/>
                  <w:noWrap w:val="0"/>
                  <w:vAlign w:val="center"/>
                </w:tcPr>
                <w:p>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 xml:space="preserve">0.1800 </w:t>
                  </w:r>
                </w:p>
              </w:tc>
              <w:tc>
                <w:tcPr>
                  <w:tcW w:w="730" w:type="dxa"/>
                  <w:shd w:val="clear" w:color="auto" w:fill="auto"/>
                  <w:noWrap w:val="0"/>
                  <w:vAlign w:val="center"/>
                </w:tcPr>
                <w:p>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12</w:t>
                  </w:r>
                  <w:r>
                    <w:rPr>
                      <w:rFonts w:hint="default" w:ascii="Times New Roman" w:hAnsi="Times New Roman" w:eastAsia="宋体" w:cs="Times New Roman"/>
                      <w:color w:val="auto"/>
                      <w:sz w:val="18"/>
                      <w:szCs w:val="18"/>
                      <w:lang w:val="en-US" w:eastAsia="zh-CN"/>
                    </w:rPr>
                    <w:t xml:space="preserve"> </w:t>
                  </w:r>
                </w:p>
              </w:tc>
              <w:tc>
                <w:tcPr>
                  <w:tcW w:w="783" w:type="dxa"/>
                  <w:shd w:val="clear" w:color="auto" w:fill="auto"/>
                  <w:noWrap w:val="0"/>
                  <w:vAlign w:val="center"/>
                </w:tcPr>
                <w:p>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 xml:space="preserve">1.2960 </w:t>
                  </w:r>
                </w:p>
              </w:tc>
              <w:tc>
                <w:tcPr>
                  <w:tcW w:w="717" w:type="dxa"/>
                  <w:noWrap w:val="0"/>
                  <w:vAlign w:val="center"/>
                </w:tcPr>
                <w:p>
                  <w:pPr>
                    <w:adjustRightInd w:val="0"/>
                    <w:snapToGrid w:val="0"/>
                    <w:jc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 xml:space="preserve">0.1800 </w:t>
                  </w:r>
                </w:p>
              </w:tc>
              <w:tc>
                <w:tcPr>
                  <w:tcW w:w="637" w:type="dxa"/>
                  <w:noWrap w:val="0"/>
                  <w:vAlign w:val="center"/>
                </w:tcPr>
                <w:p>
                  <w:pPr>
                    <w:adjustRightInd w:val="0"/>
                    <w:snapToGrid w:val="0"/>
                    <w:jc w:val="center"/>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12</w:t>
                  </w:r>
                  <w:r>
                    <w:rPr>
                      <w:rFonts w:hint="default" w:ascii="Times New Roman" w:hAnsi="Times New Roman" w:eastAsia="宋体" w:cs="Times New Roman"/>
                      <w:color w:val="auto"/>
                      <w:sz w:val="18"/>
                      <w:szCs w:val="18"/>
                      <w:lang w:val="en-US" w:eastAsia="zh-CN"/>
                    </w:rPr>
                    <w:t xml:space="preserve"> </w:t>
                  </w:r>
                </w:p>
              </w:tc>
              <w:tc>
                <w:tcPr>
                  <w:tcW w:w="611" w:type="dxa"/>
                  <w:noWrap w:val="0"/>
                  <w:vAlign w:val="center"/>
                </w:tcPr>
                <w:p>
                  <w:pPr>
                    <w:pStyle w:val="30"/>
                    <w:keepNext w:val="0"/>
                    <w:keepLines w:val="0"/>
                    <w:pageBreakBefore w:val="0"/>
                    <w:widowControl/>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kern w:val="2"/>
                      <w:sz w:val="18"/>
                      <w:szCs w:val="18"/>
                      <w:lang w:val="en-US" w:eastAsia="zh-CN"/>
                    </w:rPr>
                    <w:t>80</w:t>
                  </w:r>
                </w:p>
              </w:tc>
              <w:tc>
                <w:tcPr>
                  <w:tcW w:w="371" w:type="dxa"/>
                  <w:vMerge w:val="restart"/>
                  <w:noWrap w:val="0"/>
                  <w:vAlign w:val="center"/>
                </w:tcPr>
                <w:p>
                  <w:pPr>
                    <w:keepNext w:val="0"/>
                    <w:keepLines w:val="0"/>
                    <w:pageBreakBefore w:val="0"/>
                    <w:widowControl/>
                    <w:kinsoku/>
                    <w:wordWrap/>
                    <w:overflowPunct/>
                    <w:topLinePunct w:val="0"/>
                    <w:autoSpaceDE/>
                    <w:autoSpaceDN/>
                    <w:bidi w:val="0"/>
                    <w:spacing w:line="240" w:lineRule="auto"/>
                    <w:ind w:firstLine="0" w:firstLineChars="0"/>
                    <w:textAlignment w:val="auto"/>
                    <w:rPr>
                      <w:rFonts w:hint="eastAsia"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7200</w:t>
                  </w:r>
                </w:p>
              </w:tc>
              <w:tc>
                <w:tcPr>
                  <w:tcW w:w="440" w:type="dxa"/>
                  <w:vMerge w:val="restart"/>
                  <w:noWrap w:val="0"/>
                  <w:vAlign w:val="center"/>
                </w:tcPr>
                <w:p>
                  <w:pPr>
                    <w:adjustRightInd w:val="0"/>
                    <w:snapToGrid w:val="0"/>
                    <w:jc w:val="center"/>
                    <w:rPr>
                      <w:rFonts w:ascii="Times New Roman" w:hAnsi="Times New Roman"/>
                      <w:color w:val="auto"/>
                      <w:sz w:val="18"/>
                      <w:szCs w:val="18"/>
                    </w:rPr>
                  </w:pPr>
                  <w:r>
                    <w:rPr>
                      <w:rFonts w:hint="eastAsia" w:ascii="Times New Roman" w:hAnsi="Times New Roman" w:eastAsia="宋体" w:cs="Times New Roman"/>
                      <w:color w:val="auto"/>
                      <w:spacing w:val="-10"/>
                      <w:kern w:val="2"/>
                      <w:sz w:val="18"/>
                      <w:szCs w:val="18"/>
                      <w:lang w:val="en-US" w:eastAsia="zh-CN" w:bidi="ar-SA"/>
                    </w:rPr>
                    <w:t>DA00</w:t>
                  </w:r>
                  <w:r>
                    <w:rPr>
                      <w:rFonts w:hint="eastAsia" w:cs="Times New Roman"/>
                      <w:color w:val="auto"/>
                      <w:spacing w:val="-10"/>
                      <w:kern w:val="2"/>
                      <w:sz w:val="18"/>
                      <w:szCs w:val="18"/>
                      <w:lang w:val="en-US" w:eastAsia="zh-CN" w:bidi="ar-SA"/>
                    </w:rPr>
                    <w:t>5</w:t>
                  </w:r>
                  <w:r>
                    <w:rPr>
                      <w:rFonts w:hint="eastAsia" w:ascii="Times New Roman" w:hAnsi="Times New Roman"/>
                      <w:color w:val="auto"/>
                      <w:sz w:val="18"/>
                      <w:szCs w:val="18"/>
                    </w:rPr>
                    <w:t>排气筒排放</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429" w:hRule="atLeast"/>
                <w:jc w:val="center"/>
              </w:trPr>
              <w:tc>
                <w:tcPr>
                  <w:tcW w:w="412" w:type="dxa"/>
                  <w:vMerge w:val="continue"/>
                  <w:noWrap w:val="0"/>
                  <w:vAlign w:val="center"/>
                </w:tcPr>
                <w:p>
                  <w:pPr>
                    <w:adjustRightInd w:val="0"/>
                    <w:snapToGrid w:val="0"/>
                    <w:jc w:val="center"/>
                    <w:rPr>
                      <w:rFonts w:ascii="Times New Roman" w:hAnsi="Times New Roman"/>
                      <w:color w:val="auto"/>
                      <w:sz w:val="18"/>
                      <w:szCs w:val="18"/>
                    </w:rPr>
                  </w:pPr>
                </w:p>
              </w:tc>
              <w:tc>
                <w:tcPr>
                  <w:tcW w:w="531" w:type="dxa"/>
                  <w:vMerge w:val="continue"/>
                  <w:noWrap w:val="0"/>
                  <w:vAlign w:val="center"/>
                </w:tcPr>
                <w:p>
                  <w:pPr>
                    <w:adjustRightInd w:val="0"/>
                    <w:snapToGrid w:val="0"/>
                    <w:jc w:val="center"/>
                    <w:rPr>
                      <w:rFonts w:ascii="Times New Roman" w:hAnsi="Times New Roman"/>
                      <w:color w:val="auto"/>
                      <w:sz w:val="18"/>
                      <w:szCs w:val="18"/>
                    </w:rPr>
                  </w:pPr>
                </w:p>
              </w:tc>
              <w:tc>
                <w:tcPr>
                  <w:tcW w:w="770" w:type="dxa"/>
                  <w:noWrap w:val="0"/>
                  <w:vAlign w:val="center"/>
                </w:tcPr>
                <w:p>
                  <w:pPr>
                    <w:adjustRightInd w:val="0"/>
                    <w:snapToGrid w:val="0"/>
                    <w:jc w:val="center"/>
                    <w:rPr>
                      <w:rFonts w:ascii="Times New Roman" w:hAnsi="Times New Roman"/>
                      <w:color w:val="auto"/>
                      <w:sz w:val="18"/>
                      <w:szCs w:val="18"/>
                    </w:rPr>
                  </w:pPr>
                  <w:r>
                    <w:rPr>
                      <w:rFonts w:ascii="Times New Roman" w:hAnsi="Times New Roman"/>
                      <w:color w:val="auto"/>
                      <w:sz w:val="18"/>
                      <w:szCs w:val="18"/>
                    </w:rPr>
                    <w:t>NO</w:t>
                  </w:r>
                  <w:r>
                    <w:rPr>
                      <w:rFonts w:ascii="Times New Roman" w:hAnsi="Times New Roman"/>
                      <w:color w:val="auto"/>
                      <w:sz w:val="18"/>
                      <w:szCs w:val="18"/>
                      <w:vertAlign w:val="subscript"/>
                    </w:rPr>
                    <w:t>X</w:t>
                  </w:r>
                </w:p>
              </w:tc>
              <w:tc>
                <w:tcPr>
                  <w:tcW w:w="480" w:type="dxa"/>
                  <w:vMerge w:val="continue"/>
                  <w:noWrap w:val="0"/>
                  <w:vAlign w:val="center"/>
                </w:tcPr>
                <w:p>
                  <w:pPr>
                    <w:adjustRightInd w:val="0"/>
                    <w:snapToGrid w:val="0"/>
                    <w:jc w:val="center"/>
                    <w:rPr>
                      <w:rFonts w:hint="eastAsia" w:ascii="Times New Roman" w:hAnsi="Times New Roman" w:eastAsia="宋体"/>
                      <w:color w:val="auto"/>
                      <w:sz w:val="18"/>
                      <w:szCs w:val="18"/>
                      <w:lang w:val="en-US" w:eastAsia="zh-CN"/>
                    </w:rPr>
                  </w:pPr>
                </w:p>
              </w:tc>
              <w:tc>
                <w:tcPr>
                  <w:tcW w:w="805" w:type="dxa"/>
                  <w:noWrap w:val="0"/>
                  <w:vAlign w:val="center"/>
                </w:tcPr>
                <w:p>
                  <w:pPr>
                    <w:adjustRightInd w:val="0"/>
                    <w:snapToGrid w:val="0"/>
                    <w:jc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 xml:space="preserve">12.1176 </w:t>
                  </w:r>
                </w:p>
              </w:tc>
              <w:tc>
                <w:tcPr>
                  <w:tcW w:w="823" w:type="dxa"/>
                  <w:shd w:val="clear" w:color="auto" w:fill="auto"/>
                  <w:noWrap w:val="0"/>
                  <w:vAlign w:val="center"/>
                </w:tcPr>
                <w:p>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 xml:space="preserve">1.6830 </w:t>
                  </w:r>
                </w:p>
              </w:tc>
              <w:tc>
                <w:tcPr>
                  <w:tcW w:w="730" w:type="dxa"/>
                  <w:shd w:val="clear" w:color="auto" w:fill="auto"/>
                  <w:noWrap w:val="0"/>
                  <w:vAlign w:val="center"/>
                </w:tcPr>
                <w:p>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 xml:space="preserve">60.11 </w:t>
                  </w:r>
                </w:p>
              </w:tc>
              <w:tc>
                <w:tcPr>
                  <w:tcW w:w="783" w:type="dxa"/>
                  <w:shd w:val="clear" w:color="auto" w:fill="auto"/>
                  <w:noWrap w:val="0"/>
                  <w:vAlign w:val="center"/>
                </w:tcPr>
                <w:p>
                  <w:pPr>
                    <w:adjustRightInd w:val="0"/>
                    <w:snapToGrid w:val="0"/>
                    <w:jc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 xml:space="preserve">6.0588 </w:t>
                  </w:r>
                </w:p>
              </w:tc>
              <w:tc>
                <w:tcPr>
                  <w:tcW w:w="717" w:type="dxa"/>
                  <w:noWrap w:val="0"/>
                  <w:vAlign w:val="center"/>
                </w:tcPr>
                <w:p>
                  <w:pPr>
                    <w:adjustRightInd w:val="0"/>
                    <w:snapToGrid w:val="0"/>
                    <w:jc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 xml:space="preserve">0.8415 </w:t>
                  </w:r>
                </w:p>
              </w:tc>
              <w:tc>
                <w:tcPr>
                  <w:tcW w:w="637" w:type="dxa"/>
                  <w:noWrap w:val="0"/>
                  <w:vAlign w:val="center"/>
                </w:tcPr>
                <w:p>
                  <w:pPr>
                    <w:adjustRightInd w:val="0"/>
                    <w:snapToGrid w:val="0"/>
                    <w:jc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 xml:space="preserve">56.10 </w:t>
                  </w:r>
                </w:p>
              </w:tc>
              <w:tc>
                <w:tcPr>
                  <w:tcW w:w="611" w:type="dxa"/>
                  <w:noWrap w:val="0"/>
                  <w:vAlign w:val="center"/>
                </w:tcPr>
                <w:p>
                  <w:pPr>
                    <w:pStyle w:val="30"/>
                    <w:keepNext w:val="0"/>
                    <w:keepLines w:val="0"/>
                    <w:pageBreakBefore w:val="0"/>
                    <w:widowControl/>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kern w:val="2"/>
                      <w:sz w:val="18"/>
                      <w:szCs w:val="18"/>
                      <w:lang w:val="en-US" w:eastAsia="zh-CN"/>
                    </w:rPr>
                    <w:t>180</w:t>
                  </w:r>
                </w:p>
              </w:tc>
              <w:tc>
                <w:tcPr>
                  <w:tcW w:w="371" w:type="dxa"/>
                  <w:vMerge w:val="continue"/>
                  <w:noWrap w:val="0"/>
                  <w:vAlign w:val="center"/>
                </w:tcPr>
                <w:p>
                  <w:pPr>
                    <w:keepNext w:val="0"/>
                    <w:keepLines w:val="0"/>
                    <w:pageBreakBefore w:val="0"/>
                    <w:widowControl/>
                    <w:kinsoku/>
                    <w:wordWrap/>
                    <w:overflowPunct/>
                    <w:topLinePunct w:val="0"/>
                    <w:autoSpaceDE/>
                    <w:autoSpaceDN/>
                    <w:bidi w:val="0"/>
                    <w:spacing w:line="240" w:lineRule="auto"/>
                    <w:ind w:firstLine="0" w:firstLineChars="0"/>
                    <w:textAlignment w:val="auto"/>
                    <w:rPr>
                      <w:rFonts w:hint="eastAsia" w:ascii="Times New Roman" w:hAnsi="Times New Roman" w:eastAsia="宋体" w:cs="Times New Roman"/>
                      <w:color w:val="auto"/>
                      <w:kern w:val="2"/>
                      <w:sz w:val="18"/>
                      <w:szCs w:val="18"/>
                      <w:lang w:val="en-US" w:eastAsia="zh-CN"/>
                    </w:rPr>
                  </w:pPr>
                </w:p>
              </w:tc>
              <w:tc>
                <w:tcPr>
                  <w:tcW w:w="440" w:type="dxa"/>
                  <w:vMerge w:val="continue"/>
                  <w:noWrap w:val="0"/>
                  <w:vAlign w:val="center"/>
                </w:tcPr>
                <w:p>
                  <w:pPr>
                    <w:adjustRightInd w:val="0"/>
                    <w:snapToGrid w:val="0"/>
                    <w:jc w:val="center"/>
                    <w:rPr>
                      <w:rFonts w:ascii="Times New Roman" w:hAnsi="Times New Roman"/>
                      <w:color w:val="auto"/>
                      <w:sz w:val="18"/>
                      <w:szCs w:val="18"/>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429" w:hRule="atLeast"/>
                <w:jc w:val="center"/>
              </w:trPr>
              <w:tc>
                <w:tcPr>
                  <w:tcW w:w="412" w:type="dxa"/>
                  <w:vMerge w:val="continue"/>
                  <w:noWrap w:val="0"/>
                  <w:vAlign w:val="center"/>
                </w:tcPr>
                <w:p>
                  <w:pPr>
                    <w:adjustRightInd w:val="0"/>
                    <w:snapToGrid w:val="0"/>
                    <w:jc w:val="center"/>
                    <w:rPr>
                      <w:rFonts w:ascii="Times New Roman" w:hAnsi="Times New Roman"/>
                      <w:color w:val="auto"/>
                      <w:sz w:val="18"/>
                      <w:szCs w:val="18"/>
                    </w:rPr>
                  </w:pPr>
                </w:p>
              </w:tc>
              <w:tc>
                <w:tcPr>
                  <w:tcW w:w="531" w:type="dxa"/>
                  <w:vMerge w:val="continue"/>
                  <w:noWrap w:val="0"/>
                  <w:vAlign w:val="center"/>
                </w:tcPr>
                <w:p>
                  <w:pPr>
                    <w:adjustRightInd w:val="0"/>
                    <w:snapToGrid w:val="0"/>
                    <w:jc w:val="center"/>
                    <w:rPr>
                      <w:rFonts w:ascii="Times New Roman" w:hAnsi="Times New Roman"/>
                      <w:color w:val="auto"/>
                      <w:sz w:val="18"/>
                      <w:szCs w:val="18"/>
                    </w:rPr>
                  </w:pPr>
                </w:p>
              </w:tc>
              <w:tc>
                <w:tcPr>
                  <w:tcW w:w="770" w:type="dxa"/>
                  <w:noWrap w:val="0"/>
                  <w:vAlign w:val="center"/>
                </w:tcPr>
                <w:p>
                  <w:pPr>
                    <w:adjustRightInd w:val="0"/>
                    <w:snapToGrid w:val="0"/>
                    <w:jc w:val="center"/>
                    <w:rPr>
                      <w:rFonts w:ascii="Times New Roman" w:hAnsi="Times New Roman"/>
                      <w:color w:val="auto"/>
                      <w:sz w:val="18"/>
                      <w:szCs w:val="18"/>
                    </w:rPr>
                  </w:pPr>
                  <w:r>
                    <w:rPr>
                      <w:rFonts w:ascii="Times New Roman" w:hAnsi="Times New Roman"/>
                      <w:color w:val="auto"/>
                      <w:sz w:val="18"/>
                      <w:szCs w:val="18"/>
                    </w:rPr>
                    <w:t>颗粒物</w:t>
                  </w:r>
                </w:p>
              </w:tc>
              <w:tc>
                <w:tcPr>
                  <w:tcW w:w="480" w:type="dxa"/>
                  <w:vMerge w:val="continue"/>
                  <w:noWrap w:val="0"/>
                  <w:vAlign w:val="center"/>
                </w:tcPr>
                <w:p>
                  <w:pPr>
                    <w:adjustRightInd w:val="0"/>
                    <w:snapToGrid w:val="0"/>
                    <w:jc w:val="center"/>
                    <w:rPr>
                      <w:rFonts w:hint="eastAsia" w:ascii="Times New Roman" w:hAnsi="Times New Roman" w:eastAsia="宋体"/>
                      <w:color w:val="auto"/>
                      <w:sz w:val="18"/>
                      <w:szCs w:val="18"/>
                      <w:lang w:val="en-US" w:eastAsia="zh-CN"/>
                    </w:rPr>
                  </w:pPr>
                </w:p>
              </w:tc>
              <w:tc>
                <w:tcPr>
                  <w:tcW w:w="805" w:type="dxa"/>
                  <w:noWrap w:val="0"/>
                  <w:vAlign w:val="center"/>
                </w:tcPr>
                <w:p>
                  <w:pPr>
                    <w:adjustRightInd w:val="0"/>
                    <w:snapToGrid w:val="0"/>
                    <w:jc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 xml:space="preserve">1.8533 </w:t>
                  </w:r>
                </w:p>
              </w:tc>
              <w:tc>
                <w:tcPr>
                  <w:tcW w:w="823" w:type="dxa"/>
                  <w:shd w:val="clear" w:color="auto" w:fill="auto"/>
                  <w:noWrap w:val="0"/>
                  <w:vAlign w:val="center"/>
                </w:tcPr>
                <w:p>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 xml:space="preserve">0.2574 </w:t>
                  </w:r>
                </w:p>
              </w:tc>
              <w:tc>
                <w:tcPr>
                  <w:tcW w:w="730" w:type="dxa"/>
                  <w:shd w:val="clear" w:color="auto" w:fill="auto"/>
                  <w:noWrap w:val="0"/>
                  <w:vAlign w:val="center"/>
                </w:tcPr>
                <w:p>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17.16</w:t>
                  </w:r>
                  <w:r>
                    <w:rPr>
                      <w:rFonts w:hint="default" w:ascii="Times New Roman" w:hAnsi="Times New Roman" w:eastAsia="宋体" w:cs="Times New Roman"/>
                      <w:color w:val="auto"/>
                      <w:sz w:val="18"/>
                      <w:szCs w:val="18"/>
                      <w:lang w:val="en-US" w:eastAsia="zh-CN"/>
                    </w:rPr>
                    <w:t xml:space="preserve"> </w:t>
                  </w:r>
                </w:p>
              </w:tc>
              <w:tc>
                <w:tcPr>
                  <w:tcW w:w="783" w:type="dxa"/>
                  <w:shd w:val="clear" w:color="auto" w:fill="auto"/>
                  <w:noWrap w:val="0"/>
                  <w:vAlign w:val="center"/>
                </w:tcPr>
                <w:p>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 xml:space="preserve">1.8533 </w:t>
                  </w:r>
                </w:p>
              </w:tc>
              <w:tc>
                <w:tcPr>
                  <w:tcW w:w="717" w:type="dxa"/>
                  <w:noWrap w:val="0"/>
                  <w:vAlign w:val="center"/>
                </w:tcPr>
                <w:p>
                  <w:pPr>
                    <w:adjustRightInd w:val="0"/>
                    <w:snapToGrid w:val="0"/>
                    <w:jc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 xml:space="preserve">0.2574 </w:t>
                  </w:r>
                </w:p>
              </w:tc>
              <w:tc>
                <w:tcPr>
                  <w:tcW w:w="637" w:type="dxa"/>
                  <w:noWrap w:val="0"/>
                  <w:vAlign w:val="center"/>
                </w:tcPr>
                <w:p>
                  <w:pPr>
                    <w:adjustRightInd w:val="0"/>
                    <w:snapToGrid w:val="0"/>
                    <w:jc w:val="center"/>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17.16</w:t>
                  </w:r>
                  <w:r>
                    <w:rPr>
                      <w:rFonts w:hint="default" w:ascii="Times New Roman" w:hAnsi="Times New Roman" w:eastAsia="宋体" w:cs="Times New Roman"/>
                      <w:color w:val="auto"/>
                      <w:sz w:val="18"/>
                      <w:szCs w:val="18"/>
                      <w:lang w:val="en-US" w:eastAsia="zh-CN"/>
                    </w:rPr>
                    <w:t xml:space="preserve"> </w:t>
                  </w:r>
                </w:p>
              </w:tc>
              <w:tc>
                <w:tcPr>
                  <w:tcW w:w="611" w:type="dxa"/>
                  <w:noWrap w:val="0"/>
                  <w:vAlign w:val="center"/>
                </w:tcPr>
                <w:p>
                  <w:pPr>
                    <w:pStyle w:val="30"/>
                    <w:keepNext w:val="0"/>
                    <w:keepLines w:val="0"/>
                    <w:pageBreakBefore w:val="0"/>
                    <w:widowControl/>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bCs/>
                      <w:color w:val="auto"/>
                      <w:kern w:val="2"/>
                      <w:sz w:val="18"/>
                      <w:szCs w:val="18"/>
                      <w:lang w:val="en-US" w:eastAsia="zh-CN"/>
                    </w:rPr>
                    <w:t>20</w:t>
                  </w:r>
                </w:p>
              </w:tc>
              <w:tc>
                <w:tcPr>
                  <w:tcW w:w="371" w:type="dxa"/>
                  <w:vMerge w:val="continue"/>
                  <w:noWrap w:val="0"/>
                  <w:vAlign w:val="center"/>
                </w:tcPr>
                <w:p>
                  <w:pPr>
                    <w:keepNext w:val="0"/>
                    <w:keepLines w:val="0"/>
                    <w:pageBreakBefore w:val="0"/>
                    <w:widowControl/>
                    <w:kinsoku/>
                    <w:wordWrap/>
                    <w:overflowPunct/>
                    <w:topLinePunct w:val="0"/>
                    <w:autoSpaceDE/>
                    <w:autoSpaceDN/>
                    <w:bidi w:val="0"/>
                    <w:spacing w:line="240" w:lineRule="auto"/>
                    <w:ind w:firstLine="0" w:firstLineChars="0"/>
                    <w:textAlignment w:val="auto"/>
                    <w:rPr>
                      <w:rFonts w:hint="eastAsia" w:ascii="Times New Roman" w:hAnsi="Times New Roman" w:eastAsia="宋体" w:cs="Times New Roman"/>
                      <w:bCs/>
                      <w:color w:val="auto"/>
                      <w:kern w:val="2"/>
                      <w:sz w:val="18"/>
                      <w:szCs w:val="18"/>
                      <w:lang w:val="en-US" w:eastAsia="zh-CN"/>
                    </w:rPr>
                  </w:pPr>
                </w:p>
              </w:tc>
              <w:tc>
                <w:tcPr>
                  <w:tcW w:w="440" w:type="dxa"/>
                  <w:vMerge w:val="continue"/>
                  <w:noWrap w:val="0"/>
                  <w:vAlign w:val="center"/>
                </w:tcPr>
                <w:p>
                  <w:pPr>
                    <w:adjustRightInd w:val="0"/>
                    <w:snapToGrid w:val="0"/>
                    <w:jc w:val="center"/>
                    <w:rPr>
                      <w:rFonts w:ascii="Times New Roman" w:hAnsi="Times New Roman"/>
                      <w:color w:val="auto"/>
                      <w:sz w:val="18"/>
                      <w:szCs w:val="18"/>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429" w:hRule="atLeast"/>
                <w:jc w:val="center"/>
              </w:trPr>
              <w:tc>
                <w:tcPr>
                  <w:tcW w:w="412" w:type="dxa"/>
                  <w:vMerge w:val="restart"/>
                  <w:noWrap w:val="0"/>
                  <w:vAlign w:val="center"/>
                </w:tcPr>
                <w:p>
                  <w:pPr>
                    <w:adjustRightInd w:val="0"/>
                    <w:snapToGrid w:val="0"/>
                    <w:jc w:val="center"/>
                    <w:rPr>
                      <w:rFonts w:hint="eastAsia" w:ascii="Times New Roman" w:hAnsi="Times New Roman" w:eastAsia="宋体"/>
                      <w:color w:val="auto"/>
                      <w:sz w:val="18"/>
                      <w:szCs w:val="18"/>
                      <w:lang w:val="en-US" w:eastAsia="zh-CN"/>
                    </w:rPr>
                  </w:pPr>
                  <w:r>
                    <w:rPr>
                      <w:rFonts w:hint="eastAsia"/>
                      <w:color w:val="auto"/>
                      <w:sz w:val="18"/>
                      <w:szCs w:val="18"/>
                      <w:lang w:val="en-US" w:eastAsia="zh-CN"/>
                    </w:rPr>
                    <w:t>合计</w:t>
                  </w:r>
                </w:p>
              </w:tc>
              <w:tc>
                <w:tcPr>
                  <w:tcW w:w="531" w:type="dxa"/>
                  <w:vMerge w:val="restart"/>
                  <w:noWrap w:val="0"/>
                  <w:vAlign w:val="center"/>
                </w:tcPr>
                <w:p>
                  <w:pPr>
                    <w:adjustRightInd w:val="0"/>
                    <w:snapToGrid w:val="0"/>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4110</w:t>
                  </w:r>
                </w:p>
              </w:tc>
              <w:tc>
                <w:tcPr>
                  <w:tcW w:w="770" w:type="dxa"/>
                  <w:noWrap w:val="0"/>
                  <w:vAlign w:val="center"/>
                </w:tcPr>
                <w:p>
                  <w:pPr>
                    <w:adjustRightInd w:val="0"/>
                    <w:snapToGrid w:val="0"/>
                    <w:jc w:val="center"/>
                    <w:rPr>
                      <w:rFonts w:ascii="Times New Roman" w:hAnsi="Times New Roman"/>
                      <w:color w:val="auto"/>
                      <w:sz w:val="18"/>
                      <w:szCs w:val="18"/>
                    </w:rPr>
                  </w:pPr>
                  <w:r>
                    <w:rPr>
                      <w:rFonts w:ascii="Times New Roman" w:hAnsi="Times New Roman"/>
                      <w:color w:val="auto"/>
                      <w:sz w:val="18"/>
                      <w:szCs w:val="18"/>
                    </w:rPr>
                    <w:t>SO</w:t>
                  </w:r>
                  <w:r>
                    <w:rPr>
                      <w:rFonts w:ascii="Times New Roman" w:hAnsi="Times New Roman"/>
                      <w:color w:val="auto"/>
                      <w:sz w:val="18"/>
                      <w:szCs w:val="18"/>
                      <w:vertAlign w:val="subscript"/>
                    </w:rPr>
                    <w:t>2</w:t>
                  </w:r>
                </w:p>
              </w:tc>
              <w:tc>
                <w:tcPr>
                  <w:tcW w:w="480" w:type="dxa"/>
                  <w:vMerge w:val="restart"/>
                  <w:noWrap w:val="0"/>
                  <w:vAlign w:val="center"/>
                </w:tcPr>
                <w:p>
                  <w:pPr>
                    <w:adjustRightInd w:val="0"/>
                    <w:snapToGrid w:val="0"/>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97000</w:t>
                  </w:r>
                </w:p>
              </w:tc>
              <w:tc>
                <w:tcPr>
                  <w:tcW w:w="80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8.2200 </w:t>
                  </w:r>
                </w:p>
              </w:tc>
              <w:tc>
                <w:tcPr>
                  <w:tcW w:w="823"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1.1417 </w:t>
                  </w:r>
                </w:p>
              </w:tc>
              <w:tc>
                <w:tcPr>
                  <w:tcW w:w="730"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11.7</w:t>
                  </w:r>
                  <w:r>
                    <w:rPr>
                      <w:rFonts w:hint="eastAsia" w:cs="Times New Roman"/>
                      <w:i w:val="0"/>
                      <w:iCs w:val="0"/>
                      <w:color w:val="auto"/>
                      <w:kern w:val="0"/>
                      <w:sz w:val="18"/>
                      <w:szCs w:val="18"/>
                      <w:u w:val="none"/>
                      <w:lang w:val="en-US" w:eastAsia="zh-CN" w:bidi="ar"/>
                    </w:rPr>
                    <w:t>7</w:t>
                  </w:r>
                </w:p>
              </w:tc>
              <w:tc>
                <w:tcPr>
                  <w:tcW w:w="783"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8.2200 </w:t>
                  </w:r>
                </w:p>
              </w:tc>
              <w:tc>
                <w:tcPr>
                  <w:tcW w:w="71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1.1417 </w:t>
                  </w:r>
                </w:p>
              </w:tc>
              <w:tc>
                <w:tcPr>
                  <w:tcW w:w="63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11.7</w:t>
                  </w:r>
                  <w:r>
                    <w:rPr>
                      <w:rFonts w:hint="eastAsia" w:cs="Times New Roman"/>
                      <w:i w:val="0"/>
                      <w:iCs w:val="0"/>
                      <w:color w:val="auto"/>
                      <w:kern w:val="0"/>
                      <w:sz w:val="18"/>
                      <w:szCs w:val="18"/>
                      <w:u w:val="none"/>
                      <w:lang w:val="en-US" w:eastAsia="zh-CN" w:bidi="ar"/>
                    </w:rPr>
                    <w:t>7</w:t>
                  </w:r>
                  <w:r>
                    <w:rPr>
                      <w:rFonts w:hint="default" w:ascii="Times New Roman" w:hAnsi="Times New Roman" w:eastAsia="宋体" w:cs="Times New Roman"/>
                      <w:i w:val="0"/>
                      <w:iCs w:val="0"/>
                      <w:color w:val="auto"/>
                      <w:kern w:val="0"/>
                      <w:sz w:val="18"/>
                      <w:szCs w:val="18"/>
                      <w:u w:val="none"/>
                      <w:lang w:val="en-US" w:eastAsia="zh-CN" w:bidi="ar"/>
                    </w:rPr>
                    <w:t xml:space="preserve"> </w:t>
                  </w:r>
                </w:p>
              </w:tc>
              <w:tc>
                <w:tcPr>
                  <w:tcW w:w="6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80</w:t>
                  </w:r>
                </w:p>
              </w:tc>
              <w:tc>
                <w:tcPr>
                  <w:tcW w:w="371" w:type="dxa"/>
                  <w:vMerge w:val="restart"/>
                  <w:noWrap w:val="0"/>
                  <w:vAlign w:val="center"/>
                </w:tcPr>
                <w:p>
                  <w:pPr>
                    <w:pStyle w:val="30"/>
                    <w:keepNext w:val="0"/>
                    <w:keepLines w:val="0"/>
                    <w:pageBreakBefore w:val="0"/>
                    <w:widowControl/>
                    <w:kinsoku/>
                    <w:wordWrap/>
                    <w:overflowPunct/>
                    <w:topLinePunct w:val="0"/>
                    <w:autoSpaceDE/>
                    <w:autoSpaceDN/>
                    <w:bidi w:val="0"/>
                    <w:spacing w:line="240" w:lineRule="auto"/>
                    <w:ind w:firstLine="0" w:firstLineChars="0"/>
                    <w:textAlignment w:val="auto"/>
                    <w:rPr>
                      <w:rFonts w:hint="eastAsia" w:ascii="Times New Roman" w:hAnsi="Times New Roman" w:eastAsia="宋体" w:cs="Times New Roman"/>
                      <w:bCs/>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7200</w:t>
                  </w:r>
                </w:p>
              </w:tc>
              <w:tc>
                <w:tcPr>
                  <w:tcW w:w="440" w:type="dxa"/>
                  <w:vMerge w:val="restart"/>
                  <w:noWrap w:val="0"/>
                  <w:vAlign w:val="center"/>
                </w:tcPr>
                <w:p>
                  <w:pPr>
                    <w:adjustRightInd w:val="0"/>
                    <w:snapToGrid w:val="0"/>
                    <w:jc w:val="center"/>
                    <w:rPr>
                      <w:rFonts w:hint="eastAsia" w:ascii="Times New Roman" w:hAnsi="Times New Roman" w:eastAsia="宋体"/>
                      <w:color w:val="auto"/>
                      <w:sz w:val="18"/>
                      <w:szCs w:val="18"/>
                      <w:lang w:val="en-US" w:eastAsia="zh-CN"/>
                    </w:rPr>
                  </w:pPr>
                  <w:r>
                    <w:rPr>
                      <w:rFonts w:hint="eastAsia"/>
                      <w:color w:val="auto"/>
                      <w:sz w:val="18"/>
                      <w:szCs w:val="18"/>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429" w:hRule="atLeast"/>
                <w:jc w:val="center"/>
              </w:trPr>
              <w:tc>
                <w:tcPr>
                  <w:tcW w:w="412" w:type="dxa"/>
                  <w:vMerge w:val="continue"/>
                  <w:noWrap w:val="0"/>
                  <w:vAlign w:val="center"/>
                </w:tcPr>
                <w:p>
                  <w:pPr>
                    <w:adjustRightInd w:val="0"/>
                    <w:snapToGrid w:val="0"/>
                    <w:jc w:val="center"/>
                    <w:rPr>
                      <w:rFonts w:hint="eastAsia"/>
                      <w:color w:val="auto"/>
                      <w:sz w:val="18"/>
                      <w:szCs w:val="18"/>
                      <w:lang w:val="en-US" w:eastAsia="zh-CN"/>
                    </w:rPr>
                  </w:pPr>
                </w:p>
              </w:tc>
              <w:tc>
                <w:tcPr>
                  <w:tcW w:w="531" w:type="dxa"/>
                  <w:vMerge w:val="continue"/>
                  <w:noWrap w:val="0"/>
                  <w:vAlign w:val="center"/>
                </w:tcPr>
                <w:p>
                  <w:pPr>
                    <w:adjustRightInd w:val="0"/>
                    <w:snapToGrid w:val="0"/>
                    <w:jc w:val="center"/>
                    <w:rPr>
                      <w:color w:val="auto"/>
                    </w:rPr>
                  </w:pPr>
                </w:p>
              </w:tc>
              <w:tc>
                <w:tcPr>
                  <w:tcW w:w="770" w:type="dxa"/>
                  <w:noWrap w:val="0"/>
                  <w:vAlign w:val="center"/>
                </w:tcPr>
                <w:p>
                  <w:pPr>
                    <w:adjustRightInd w:val="0"/>
                    <w:snapToGrid w:val="0"/>
                    <w:jc w:val="center"/>
                    <w:rPr>
                      <w:rFonts w:ascii="Times New Roman" w:hAnsi="Times New Roman"/>
                      <w:color w:val="auto"/>
                      <w:sz w:val="18"/>
                      <w:szCs w:val="18"/>
                    </w:rPr>
                  </w:pPr>
                  <w:r>
                    <w:rPr>
                      <w:rFonts w:ascii="Times New Roman" w:hAnsi="Times New Roman"/>
                      <w:color w:val="auto"/>
                      <w:sz w:val="18"/>
                      <w:szCs w:val="18"/>
                    </w:rPr>
                    <w:t>NO</w:t>
                  </w:r>
                  <w:r>
                    <w:rPr>
                      <w:rFonts w:ascii="Times New Roman" w:hAnsi="Times New Roman"/>
                      <w:color w:val="auto"/>
                      <w:sz w:val="18"/>
                      <w:szCs w:val="18"/>
                      <w:vertAlign w:val="subscript"/>
                    </w:rPr>
                    <w:t>X</w:t>
                  </w:r>
                </w:p>
              </w:tc>
              <w:tc>
                <w:tcPr>
                  <w:tcW w:w="480" w:type="dxa"/>
                  <w:vMerge w:val="continue"/>
                  <w:noWrap w:val="0"/>
                  <w:vAlign w:val="center"/>
                </w:tcPr>
                <w:p>
                  <w:pPr>
                    <w:adjustRightInd w:val="0"/>
                    <w:snapToGrid w:val="0"/>
                    <w:jc w:val="center"/>
                    <w:rPr>
                      <w:rFonts w:hint="eastAsia" w:ascii="Times New Roman" w:hAnsi="Times New Roman" w:eastAsia="宋体"/>
                      <w:color w:val="auto"/>
                      <w:sz w:val="18"/>
                      <w:szCs w:val="18"/>
                      <w:lang w:val="en-US" w:eastAsia="zh-CN"/>
                    </w:rPr>
                  </w:pPr>
                </w:p>
              </w:tc>
              <w:tc>
                <w:tcPr>
                  <w:tcW w:w="80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76.8570 </w:t>
                  </w:r>
                </w:p>
              </w:tc>
              <w:tc>
                <w:tcPr>
                  <w:tcW w:w="823"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10.6746 </w:t>
                  </w:r>
                </w:p>
              </w:tc>
              <w:tc>
                <w:tcPr>
                  <w:tcW w:w="730"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110.0</w:t>
                  </w:r>
                  <w:r>
                    <w:rPr>
                      <w:rFonts w:hint="eastAsia" w:cs="Times New Roman"/>
                      <w:i w:val="0"/>
                      <w:iCs w:val="0"/>
                      <w:color w:val="auto"/>
                      <w:kern w:val="0"/>
                      <w:sz w:val="18"/>
                      <w:szCs w:val="18"/>
                      <w:u w:val="none"/>
                      <w:lang w:val="en-US" w:eastAsia="zh-CN" w:bidi="ar"/>
                    </w:rPr>
                    <w:t>5</w:t>
                  </w:r>
                </w:p>
              </w:tc>
              <w:tc>
                <w:tcPr>
                  <w:tcW w:w="783"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38.4286 </w:t>
                  </w:r>
                </w:p>
              </w:tc>
              <w:tc>
                <w:tcPr>
                  <w:tcW w:w="71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5.3373 </w:t>
                  </w:r>
                </w:p>
              </w:tc>
              <w:tc>
                <w:tcPr>
                  <w:tcW w:w="63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55.02</w:t>
                  </w:r>
                </w:p>
              </w:tc>
              <w:tc>
                <w:tcPr>
                  <w:tcW w:w="6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180</w:t>
                  </w:r>
                </w:p>
              </w:tc>
              <w:tc>
                <w:tcPr>
                  <w:tcW w:w="371" w:type="dxa"/>
                  <w:vMerge w:val="continue"/>
                  <w:noWrap w:val="0"/>
                  <w:vAlign w:val="center"/>
                </w:tcPr>
                <w:p>
                  <w:pPr>
                    <w:pStyle w:val="30"/>
                    <w:keepNext w:val="0"/>
                    <w:keepLines w:val="0"/>
                    <w:pageBreakBefore w:val="0"/>
                    <w:widowControl/>
                    <w:kinsoku/>
                    <w:wordWrap/>
                    <w:overflowPunct/>
                    <w:topLinePunct w:val="0"/>
                    <w:autoSpaceDE/>
                    <w:autoSpaceDN/>
                    <w:bidi w:val="0"/>
                    <w:spacing w:line="240" w:lineRule="auto"/>
                    <w:ind w:firstLine="0" w:firstLineChars="0"/>
                    <w:textAlignment w:val="auto"/>
                    <w:rPr>
                      <w:rFonts w:hint="eastAsia" w:ascii="Times New Roman" w:hAnsi="Times New Roman" w:eastAsia="宋体" w:cs="Times New Roman"/>
                      <w:bCs/>
                      <w:color w:val="auto"/>
                      <w:kern w:val="2"/>
                      <w:sz w:val="18"/>
                      <w:szCs w:val="18"/>
                      <w:lang w:val="en-US" w:eastAsia="zh-CN"/>
                    </w:rPr>
                  </w:pPr>
                </w:p>
              </w:tc>
              <w:tc>
                <w:tcPr>
                  <w:tcW w:w="440" w:type="dxa"/>
                  <w:vMerge w:val="continue"/>
                  <w:noWrap w:val="0"/>
                  <w:vAlign w:val="center"/>
                </w:tcPr>
                <w:p>
                  <w:pPr>
                    <w:adjustRightInd w:val="0"/>
                    <w:snapToGrid w:val="0"/>
                    <w:jc w:val="center"/>
                    <w:rPr>
                      <w:rFonts w:ascii="Times New Roman" w:hAnsi="Times New Roman"/>
                      <w:color w:val="auto"/>
                      <w:sz w:val="18"/>
                      <w:szCs w:val="18"/>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429" w:hRule="atLeast"/>
                <w:jc w:val="center"/>
              </w:trPr>
              <w:tc>
                <w:tcPr>
                  <w:tcW w:w="412" w:type="dxa"/>
                  <w:vMerge w:val="continue"/>
                  <w:noWrap w:val="0"/>
                  <w:vAlign w:val="center"/>
                </w:tcPr>
                <w:p>
                  <w:pPr>
                    <w:adjustRightInd w:val="0"/>
                    <w:snapToGrid w:val="0"/>
                    <w:jc w:val="center"/>
                    <w:rPr>
                      <w:rFonts w:hint="eastAsia"/>
                      <w:color w:val="auto"/>
                      <w:sz w:val="18"/>
                      <w:szCs w:val="18"/>
                      <w:lang w:val="en-US" w:eastAsia="zh-CN"/>
                    </w:rPr>
                  </w:pPr>
                </w:p>
              </w:tc>
              <w:tc>
                <w:tcPr>
                  <w:tcW w:w="531" w:type="dxa"/>
                  <w:vMerge w:val="continue"/>
                  <w:noWrap w:val="0"/>
                  <w:vAlign w:val="center"/>
                </w:tcPr>
                <w:p>
                  <w:pPr>
                    <w:adjustRightInd w:val="0"/>
                    <w:snapToGrid w:val="0"/>
                    <w:jc w:val="center"/>
                    <w:rPr>
                      <w:color w:val="auto"/>
                    </w:rPr>
                  </w:pPr>
                </w:p>
              </w:tc>
              <w:tc>
                <w:tcPr>
                  <w:tcW w:w="770" w:type="dxa"/>
                  <w:noWrap w:val="0"/>
                  <w:vAlign w:val="center"/>
                </w:tcPr>
                <w:p>
                  <w:pPr>
                    <w:adjustRightInd w:val="0"/>
                    <w:snapToGrid w:val="0"/>
                    <w:jc w:val="center"/>
                    <w:rPr>
                      <w:rFonts w:ascii="Times New Roman" w:hAnsi="Times New Roman"/>
                      <w:color w:val="auto"/>
                      <w:sz w:val="18"/>
                      <w:szCs w:val="18"/>
                    </w:rPr>
                  </w:pPr>
                  <w:r>
                    <w:rPr>
                      <w:rFonts w:ascii="Times New Roman" w:hAnsi="Times New Roman"/>
                      <w:color w:val="auto"/>
                      <w:sz w:val="18"/>
                      <w:szCs w:val="18"/>
                    </w:rPr>
                    <w:t>颗粒物</w:t>
                  </w:r>
                </w:p>
              </w:tc>
              <w:tc>
                <w:tcPr>
                  <w:tcW w:w="480" w:type="dxa"/>
                  <w:vMerge w:val="continue"/>
                  <w:noWrap w:val="0"/>
                  <w:vAlign w:val="center"/>
                </w:tcPr>
                <w:p>
                  <w:pPr>
                    <w:adjustRightInd w:val="0"/>
                    <w:snapToGrid w:val="0"/>
                    <w:jc w:val="center"/>
                    <w:rPr>
                      <w:rFonts w:hint="eastAsia" w:ascii="Times New Roman" w:hAnsi="Times New Roman" w:eastAsia="宋体"/>
                      <w:color w:val="auto"/>
                      <w:sz w:val="18"/>
                      <w:szCs w:val="18"/>
                      <w:lang w:val="en-US" w:eastAsia="zh-CN"/>
                    </w:rPr>
                  </w:pPr>
                </w:p>
              </w:tc>
              <w:tc>
                <w:tcPr>
                  <w:tcW w:w="80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11.7546 </w:t>
                  </w:r>
                </w:p>
              </w:tc>
              <w:tc>
                <w:tcPr>
                  <w:tcW w:w="823"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1.6326 </w:t>
                  </w:r>
                </w:p>
              </w:tc>
              <w:tc>
                <w:tcPr>
                  <w:tcW w:w="730"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16.83</w:t>
                  </w:r>
                </w:p>
              </w:tc>
              <w:tc>
                <w:tcPr>
                  <w:tcW w:w="783"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11.7546 </w:t>
                  </w:r>
                </w:p>
              </w:tc>
              <w:tc>
                <w:tcPr>
                  <w:tcW w:w="71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1.6326 </w:t>
                  </w:r>
                </w:p>
              </w:tc>
              <w:tc>
                <w:tcPr>
                  <w:tcW w:w="63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16.83</w:t>
                  </w:r>
                </w:p>
              </w:tc>
              <w:tc>
                <w:tcPr>
                  <w:tcW w:w="6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20</w:t>
                  </w:r>
                </w:p>
              </w:tc>
              <w:tc>
                <w:tcPr>
                  <w:tcW w:w="371" w:type="dxa"/>
                  <w:vMerge w:val="continue"/>
                  <w:noWrap w:val="0"/>
                  <w:vAlign w:val="center"/>
                </w:tcPr>
                <w:p>
                  <w:pPr>
                    <w:pStyle w:val="30"/>
                    <w:keepNext w:val="0"/>
                    <w:keepLines w:val="0"/>
                    <w:pageBreakBefore w:val="0"/>
                    <w:widowControl/>
                    <w:kinsoku/>
                    <w:wordWrap/>
                    <w:overflowPunct/>
                    <w:topLinePunct w:val="0"/>
                    <w:autoSpaceDE/>
                    <w:autoSpaceDN/>
                    <w:bidi w:val="0"/>
                    <w:spacing w:line="240" w:lineRule="auto"/>
                    <w:ind w:firstLine="0" w:firstLineChars="0"/>
                    <w:textAlignment w:val="auto"/>
                    <w:rPr>
                      <w:rFonts w:hint="eastAsia" w:ascii="Times New Roman" w:hAnsi="Times New Roman" w:eastAsia="宋体" w:cs="Times New Roman"/>
                      <w:bCs/>
                      <w:color w:val="auto"/>
                      <w:kern w:val="2"/>
                      <w:sz w:val="18"/>
                      <w:szCs w:val="18"/>
                      <w:lang w:val="en-US" w:eastAsia="zh-CN"/>
                    </w:rPr>
                  </w:pPr>
                </w:p>
              </w:tc>
              <w:tc>
                <w:tcPr>
                  <w:tcW w:w="440" w:type="dxa"/>
                  <w:vMerge w:val="continue"/>
                  <w:noWrap w:val="0"/>
                  <w:vAlign w:val="center"/>
                </w:tcPr>
                <w:p>
                  <w:pPr>
                    <w:adjustRightInd w:val="0"/>
                    <w:snapToGrid w:val="0"/>
                    <w:jc w:val="center"/>
                    <w:rPr>
                      <w:rFonts w:ascii="Times New Roman" w:hAnsi="Times New Roman"/>
                      <w:color w:val="auto"/>
                      <w:sz w:val="18"/>
                      <w:szCs w:val="18"/>
                    </w:rPr>
                  </w:pPr>
                </w:p>
              </w:tc>
            </w:tr>
          </w:tbl>
          <w:p>
            <w:pPr>
              <w:pStyle w:val="39"/>
              <w:spacing w:after="0" w:line="360" w:lineRule="auto"/>
              <w:ind w:firstLine="420" w:firstLineChars="200"/>
              <w:jc w:val="both"/>
              <w:rPr>
                <w:rFonts w:ascii="Times New Roman" w:eastAsia="宋体" w:cs="Times New Roman"/>
                <w:color w:val="auto"/>
                <w:kern w:val="2"/>
                <w:sz w:val="21"/>
                <w:szCs w:val="21"/>
              </w:rPr>
            </w:pPr>
            <w:r>
              <w:rPr>
                <w:rFonts w:hint="eastAsia" w:ascii="Times New Roman" w:hAnsi="Times New Roman" w:eastAsia="宋体" w:cs="Times New Roman"/>
                <w:b w:val="0"/>
                <w:bCs w:val="0"/>
                <w:color w:val="auto"/>
                <w:kern w:val="2"/>
                <w:sz w:val="21"/>
                <w:szCs w:val="24"/>
                <w:lang w:val="en-US" w:eastAsia="zh-CN" w:bidi="ar-SA"/>
              </w:rPr>
              <w:t>（</w:t>
            </w:r>
            <w:r>
              <w:rPr>
                <w:rFonts w:hint="eastAsia" w:eastAsia="宋体" w:cs="Times New Roman"/>
                <w:b w:val="0"/>
                <w:bCs w:val="0"/>
                <w:color w:val="auto"/>
                <w:kern w:val="2"/>
                <w:sz w:val="21"/>
                <w:szCs w:val="24"/>
                <w:lang w:val="en-US" w:eastAsia="zh-CN" w:bidi="ar-SA"/>
              </w:rPr>
              <w:t>2</w:t>
            </w:r>
            <w:r>
              <w:rPr>
                <w:rFonts w:hint="eastAsia" w:ascii="Times New Roman" w:hAnsi="Times New Roman" w:eastAsia="宋体" w:cs="Times New Roman"/>
                <w:b w:val="0"/>
                <w:bCs w:val="0"/>
                <w:color w:val="auto"/>
                <w:kern w:val="2"/>
                <w:sz w:val="21"/>
                <w:szCs w:val="24"/>
                <w:lang w:val="en-US" w:eastAsia="zh-CN" w:bidi="ar-SA"/>
              </w:rPr>
              <w:t>）</w:t>
            </w:r>
            <w:r>
              <w:rPr>
                <w:rFonts w:hint="eastAsia" w:ascii="Times New Roman" w:eastAsia="宋体" w:cs="Times New Roman"/>
                <w:b w:val="0"/>
                <w:bCs/>
                <w:color w:val="auto"/>
                <w:kern w:val="2"/>
                <w:sz w:val="21"/>
                <w:szCs w:val="21"/>
                <w:lang w:eastAsia="zh-CN"/>
              </w:rPr>
              <w:t>下料</w:t>
            </w:r>
            <w:r>
              <w:rPr>
                <w:rFonts w:hint="eastAsia" w:ascii="Times New Roman" w:hAnsi="Times New Roman" w:eastAsia="宋体" w:cs="Times New Roman"/>
                <w:b w:val="0"/>
                <w:bCs w:val="0"/>
                <w:color w:val="auto"/>
                <w:kern w:val="2"/>
                <w:sz w:val="21"/>
                <w:szCs w:val="24"/>
                <w:lang w:val="en-US" w:eastAsia="zh-CN" w:bidi="ar-SA"/>
              </w:rPr>
              <w:t>切割粉尘</w:t>
            </w:r>
          </w:p>
          <w:p>
            <w:pPr>
              <w:adjustRightInd w:val="0"/>
              <w:snapToGrid w:val="0"/>
              <w:spacing w:line="500" w:lineRule="exact"/>
              <w:ind w:firstLine="420" w:firstLineChars="200"/>
              <w:rPr>
                <w:rFonts w:hint="eastAsia" w:ascii="Times New Roman" w:hAnsi="Times New Roman" w:eastAsia="宋体" w:cs="Times New Roman"/>
                <w:b w:val="0"/>
                <w:bCs w:val="0"/>
                <w:color w:val="auto"/>
                <w:kern w:val="2"/>
                <w:sz w:val="21"/>
                <w:szCs w:val="24"/>
                <w:lang w:val="en-US" w:eastAsia="zh-CN" w:bidi="ar-SA"/>
              </w:rPr>
            </w:pPr>
            <w:r>
              <w:rPr>
                <w:rFonts w:hint="eastAsia" w:ascii="Times New Roman" w:hAnsi="Times New Roman" w:eastAsia="宋体" w:cs="Times New Roman"/>
                <w:b w:val="0"/>
                <w:bCs w:val="0"/>
                <w:color w:val="auto"/>
                <w:kern w:val="2"/>
                <w:sz w:val="21"/>
                <w:szCs w:val="24"/>
                <w:lang w:val="en-US" w:eastAsia="zh-CN" w:bidi="ar-SA"/>
              </w:rPr>
              <w:t>全厂机加工下料过程会产生切割粉尘，本项目采用锯床切割，参照</w:t>
            </w:r>
            <w:r>
              <w:rPr>
                <w:rFonts w:hint="default" w:ascii="Times New Roman" w:hAnsi="Times New Roman" w:eastAsia="宋体" w:cs="Times New Roman"/>
                <w:b w:val="0"/>
                <w:bCs w:val="0"/>
                <w:color w:val="auto"/>
                <w:kern w:val="2"/>
                <w:sz w:val="21"/>
                <w:szCs w:val="24"/>
                <w:lang w:val="en-US" w:eastAsia="zh-CN" w:bidi="ar-SA"/>
              </w:rPr>
              <w:t>《</w:t>
            </w:r>
            <w:r>
              <w:rPr>
                <w:rFonts w:hint="eastAsia" w:ascii="Times New Roman" w:hAnsi="Times New Roman" w:eastAsia="宋体" w:cs="Times New Roman"/>
                <w:b w:val="0"/>
                <w:bCs w:val="0"/>
                <w:color w:val="auto"/>
                <w:kern w:val="2"/>
                <w:sz w:val="21"/>
                <w:szCs w:val="24"/>
                <w:lang w:val="en-US" w:eastAsia="zh-CN" w:bidi="ar-SA"/>
              </w:rPr>
              <w:fldChar w:fldCharType="begin"/>
            </w:r>
            <w:r>
              <w:rPr>
                <w:rFonts w:hint="eastAsia" w:ascii="Times New Roman" w:hAnsi="Times New Roman" w:eastAsia="宋体" w:cs="Times New Roman"/>
                <w:b w:val="0"/>
                <w:bCs w:val="0"/>
                <w:color w:val="auto"/>
                <w:kern w:val="2"/>
                <w:sz w:val="21"/>
                <w:szCs w:val="24"/>
                <w:lang w:val="en-US" w:eastAsia="zh-CN" w:bidi="ar-SA"/>
              </w:rPr>
              <w:instrText xml:space="preserve"> HYPERLINK "https://www.mee.gov.cn/xxgk2018/xxgk/xxgk01/202106/W020210624327149500026.pdf" </w:instrText>
            </w:r>
            <w:r>
              <w:rPr>
                <w:rFonts w:hint="eastAsia" w:ascii="Times New Roman" w:hAnsi="Times New Roman" w:eastAsia="宋体" w:cs="Times New Roman"/>
                <w:b w:val="0"/>
                <w:bCs w:val="0"/>
                <w:color w:val="auto"/>
                <w:kern w:val="2"/>
                <w:sz w:val="21"/>
                <w:szCs w:val="24"/>
                <w:lang w:val="en-US" w:eastAsia="zh-CN" w:bidi="ar-SA"/>
              </w:rPr>
              <w:fldChar w:fldCharType="separate"/>
            </w:r>
            <w:r>
              <w:rPr>
                <w:rFonts w:hint="eastAsia" w:ascii="Times New Roman" w:hAnsi="Times New Roman" w:eastAsia="宋体" w:cs="Times New Roman"/>
                <w:b w:val="0"/>
                <w:bCs w:val="0"/>
                <w:color w:val="auto"/>
                <w:kern w:val="2"/>
                <w:sz w:val="21"/>
                <w:szCs w:val="24"/>
                <w:lang w:val="en-US" w:eastAsia="zh-CN" w:bidi="ar-SA"/>
              </w:rPr>
              <w:t>排放源统计调查产排污核算方法和系数手册</w:t>
            </w:r>
            <w:r>
              <w:rPr>
                <w:rFonts w:hint="eastAsia" w:ascii="Times New Roman" w:hAnsi="Times New Roman" w:eastAsia="宋体" w:cs="Times New Roman"/>
                <w:b w:val="0"/>
                <w:bCs w:val="0"/>
                <w:color w:val="auto"/>
                <w:kern w:val="2"/>
                <w:sz w:val="21"/>
                <w:szCs w:val="24"/>
                <w:lang w:val="en-US" w:eastAsia="zh-CN" w:bidi="ar-SA"/>
              </w:rPr>
              <w:fldChar w:fldCharType="end"/>
            </w:r>
            <w:r>
              <w:rPr>
                <w:rFonts w:hint="eastAsia" w:ascii="Times New Roman" w:hAnsi="Times New Roman" w:eastAsia="宋体" w:cs="Times New Roman"/>
                <w:b w:val="0"/>
                <w:bCs w:val="0"/>
                <w:color w:val="auto"/>
                <w:kern w:val="2"/>
                <w:sz w:val="21"/>
                <w:szCs w:val="24"/>
                <w:lang w:val="en-US" w:eastAsia="zh-CN" w:bidi="ar-SA"/>
              </w:rPr>
              <w:t>》</w:t>
            </w:r>
            <w:r>
              <w:rPr>
                <w:rFonts w:hint="default" w:ascii="Times New Roman" w:hAnsi="Times New Roman" w:eastAsia="宋体" w:cs="Times New Roman"/>
                <w:b w:val="0"/>
                <w:bCs w:val="0"/>
                <w:color w:val="auto"/>
                <w:kern w:val="2"/>
                <w:sz w:val="21"/>
                <w:szCs w:val="24"/>
                <w:lang w:val="en-US" w:eastAsia="zh-CN" w:bidi="ar-SA"/>
              </w:rPr>
              <w:t>（机械行业）中</w:t>
            </w:r>
            <w:r>
              <w:rPr>
                <w:rFonts w:hint="eastAsia" w:ascii="Times New Roman" w:hAnsi="Times New Roman" w:eastAsia="宋体" w:cs="Times New Roman"/>
                <w:b w:val="0"/>
                <w:bCs w:val="0"/>
                <w:color w:val="auto"/>
                <w:kern w:val="2"/>
                <w:sz w:val="21"/>
                <w:szCs w:val="24"/>
                <w:lang w:val="en-US" w:eastAsia="zh-CN" w:bidi="ar-SA"/>
              </w:rPr>
              <w:t>锯床、砂轮切割机切割的产污系数，为5.3kg/t-原料，项目需要切割下料加工的金属为5000t/a，</w:t>
            </w:r>
            <w:r>
              <w:rPr>
                <w:rFonts w:hint="eastAsia" w:cs="Times New Roman"/>
                <w:b w:val="0"/>
                <w:bCs w:val="0"/>
                <w:color w:val="auto"/>
                <w:kern w:val="2"/>
                <w:sz w:val="21"/>
                <w:szCs w:val="24"/>
                <w:lang w:val="en-US" w:eastAsia="zh-CN" w:bidi="ar-SA"/>
              </w:rPr>
              <w:t>年工作时间7200h，</w:t>
            </w:r>
            <w:r>
              <w:rPr>
                <w:rFonts w:hint="eastAsia" w:ascii="Times New Roman" w:hAnsi="Times New Roman" w:eastAsia="宋体" w:cs="Times New Roman"/>
                <w:b w:val="0"/>
                <w:bCs w:val="0"/>
                <w:color w:val="auto"/>
                <w:kern w:val="2"/>
                <w:sz w:val="21"/>
                <w:szCs w:val="24"/>
                <w:lang w:val="en-US" w:eastAsia="zh-CN" w:bidi="ar-SA"/>
              </w:rPr>
              <w:t>则切割粉尘产生量为26.5t/a；</w:t>
            </w:r>
            <w:r>
              <w:rPr>
                <w:rFonts w:hint="eastAsia" w:ascii="Times New Roman" w:eastAsia="宋体" w:cs="Times New Roman"/>
                <w:b w:val="0"/>
                <w:bCs/>
                <w:color w:val="auto"/>
                <w:kern w:val="2"/>
                <w:sz w:val="21"/>
                <w:szCs w:val="21"/>
                <w:lang w:eastAsia="zh-CN"/>
              </w:rPr>
              <w:t>下料</w:t>
            </w:r>
            <w:r>
              <w:rPr>
                <w:rFonts w:hint="eastAsia" w:ascii="Times New Roman" w:hAnsi="Times New Roman" w:eastAsia="宋体" w:cs="Times New Roman"/>
                <w:b w:val="0"/>
                <w:bCs w:val="0"/>
                <w:color w:val="auto"/>
                <w:kern w:val="2"/>
                <w:sz w:val="21"/>
                <w:szCs w:val="24"/>
                <w:lang w:val="en-US" w:eastAsia="zh-CN" w:bidi="ar-SA"/>
              </w:rPr>
              <w:t>切割粉尘</w:t>
            </w:r>
            <w:r>
              <w:rPr>
                <w:rFonts w:hint="eastAsia" w:ascii="Times New Roman" w:hAnsi="Times New Roman" w:cs="Times New Roman"/>
                <w:color w:val="auto"/>
                <w:kern w:val="0"/>
                <w:sz w:val="21"/>
                <w:szCs w:val="21"/>
              </w:rPr>
              <w:t>通过集气罩</w:t>
            </w:r>
            <w:r>
              <w:rPr>
                <w:rFonts w:hint="eastAsia" w:ascii="Times New Roman" w:hAnsi="Times New Roman" w:cs="Times New Roman"/>
                <w:color w:val="auto"/>
                <w:kern w:val="0"/>
                <w:sz w:val="21"/>
                <w:szCs w:val="21"/>
                <w:lang w:eastAsia="zh-CN"/>
              </w:rPr>
              <w:t>（</w:t>
            </w:r>
            <w:r>
              <w:rPr>
                <w:rFonts w:hint="eastAsia" w:ascii="Times New Roman" w:hAnsi="Times New Roman" w:cs="Times New Roman"/>
                <w:color w:val="auto"/>
                <w:kern w:val="0"/>
                <w:sz w:val="21"/>
                <w:szCs w:val="21"/>
              </w:rPr>
              <w:t>收集效率可达90%</w:t>
            </w:r>
            <w:r>
              <w:rPr>
                <w:rFonts w:hint="eastAsia" w:ascii="Times New Roman" w:hAnsi="Times New Roman" w:cs="Times New Roman"/>
                <w:color w:val="auto"/>
                <w:kern w:val="0"/>
                <w:sz w:val="21"/>
                <w:szCs w:val="21"/>
                <w:lang w:eastAsia="zh-CN"/>
              </w:rPr>
              <w:t>，</w:t>
            </w:r>
            <w:r>
              <w:rPr>
                <w:rFonts w:hint="eastAsia" w:ascii="Times New Roman" w:hAnsi="Times New Roman" w:cs="Times New Roman"/>
                <w:color w:val="auto"/>
                <w:kern w:val="0"/>
                <w:sz w:val="21"/>
                <w:szCs w:val="21"/>
              </w:rPr>
              <w:t>风机设计风量</w:t>
            </w:r>
            <w:r>
              <w:rPr>
                <w:rFonts w:hint="eastAsia" w:ascii="Times New Roman" w:hAnsi="Times New Roman" w:cs="Times New Roman"/>
                <w:color w:val="auto"/>
                <w:kern w:val="0"/>
                <w:sz w:val="21"/>
                <w:szCs w:val="21"/>
                <w:lang w:val="en-US" w:eastAsia="zh-CN"/>
              </w:rPr>
              <w:t>20</w:t>
            </w:r>
            <w:r>
              <w:rPr>
                <w:rFonts w:hint="eastAsia" w:ascii="Times New Roman" w:hAnsi="Times New Roman" w:cs="Times New Roman"/>
                <w:color w:val="auto"/>
                <w:kern w:val="0"/>
                <w:sz w:val="21"/>
                <w:szCs w:val="21"/>
              </w:rPr>
              <w:t>000m</w:t>
            </w:r>
            <w:r>
              <w:rPr>
                <w:rFonts w:hint="eastAsia" w:ascii="Times New Roman" w:hAnsi="Times New Roman" w:cs="Times New Roman"/>
                <w:color w:val="auto"/>
                <w:kern w:val="0"/>
                <w:sz w:val="21"/>
                <w:szCs w:val="21"/>
                <w:vertAlign w:val="superscript"/>
              </w:rPr>
              <w:t>3</w:t>
            </w:r>
            <w:r>
              <w:rPr>
                <w:rFonts w:hint="eastAsia" w:ascii="Times New Roman" w:hAnsi="Times New Roman" w:cs="Times New Roman"/>
                <w:color w:val="auto"/>
                <w:kern w:val="0"/>
                <w:sz w:val="21"/>
                <w:szCs w:val="21"/>
              </w:rPr>
              <w:t>/h</w:t>
            </w:r>
            <w:r>
              <w:rPr>
                <w:rFonts w:hint="eastAsia" w:ascii="Times New Roman" w:hAnsi="Times New Roman" w:cs="Times New Roman"/>
                <w:color w:val="auto"/>
                <w:kern w:val="0"/>
                <w:sz w:val="21"/>
                <w:szCs w:val="21"/>
                <w:lang w:eastAsia="zh-CN"/>
              </w:rPr>
              <w:t>）</w:t>
            </w:r>
            <w:r>
              <w:rPr>
                <w:rFonts w:hint="eastAsia" w:ascii="Times New Roman" w:hAnsi="Times New Roman" w:cs="Times New Roman"/>
                <w:color w:val="auto"/>
                <w:kern w:val="0"/>
                <w:sz w:val="21"/>
                <w:szCs w:val="21"/>
              </w:rPr>
              <w:t>进行收集后进入布袋除尘器</w:t>
            </w:r>
            <w:r>
              <w:rPr>
                <w:rFonts w:hint="eastAsia" w:ascii="Times New Roman" w:hAnsi="Times New Roman" w:eastAsia="宋体" w:cs="Times New Roman"/>
                <w:b w:val="0"/>
                <w:bCs w:val="0"/>
                <w:color w:val="auto"/>
                <w:kern w:val="2"/>
                <w:sz w:val="21"/>
                <w:szCs w:val="24"/>
                <w:lang w:val="en-US" w:eastAsia="zh-CN" w:bidi="ar-SA"/>
              </w:rPr>
              <w:t>（除尘效率为95%）进行处理，经1</w:t>
            </w:r>
            <w:r>
              <w:rPr>
                <w:rFonts w:hint="eastAsia" w:cs="Times New Roman"/>
                <w:b w:val="0"/>
                <w:bCs w:val="0"/>
                <w:color w:val="auto"/>
                <w:kern w:val="2"/>
                <w:sz w:val="21"/>
                <w:szCs w:val="24"/>
                <w:lang w:val="en-US" w:eastAsia="zh-CN" w:bidi="ar-SA"/>
              </w:rPr>
              <w:t>6</w:t>
            </w:r>
            <w:r>
              <w:rPr>
                <w:rFonts w:hint="eastAsia" w:ascii="Times New Roman" w:hAnsi="Times New Roman" w:eastAsia="宋体" w:cs="Times New Roman"/>
                <w:b w:val="0"/>
                <w:bCs w:val="0"/>
                <w:color w:val="auto"/>
                <w:kern w:val="2"/>
                <w:sz w:val="21"/>
                <w:szCs w:val="24"/>
                <w:lang w:val="en-US" w:eastAsia="zh-CN" w:bidi="ar-SA"/>
              </w:rPr>
              <w:t>m高排气筒排放（DA009）。</w:t>
            </w:r>
          </w:p>
          <w:p>
            <w:pPr>
              <w:adjustRightInd w:val="0"/>
              <w:snapToGrid w:val="0"/>
              <w:spacing w:line="500" w:lineRule="exact"/>
              <w:ind w:firstLine="420" w:firstLineChars="200"/>
              <w:rPr>
                <w:rFonts w:hint="eastAsia" w:ascii="Times New Roman" w:hAnsi="Times New Roman" w:eastAsia="宋体" w:cs="Times New Roman"/>
                <w:b w:val="0"/>
                <w:bCs w:val="0"/>
                <w:color w:val="FF0000"/>
                <w:kern w:val="2"/>
                <w:sz w:val="21"/>
                <w:szCs w:val="24"/>
                <w:lang w:val="en-US" w:eastAsia="zh-CN" w:bidi="ar-SA"/>
              </w:rPr>
            </w:pPr>
            <w:r>
              <w:rPr>
                <w:rFonts w:hint="eastAsia" w:ascii="Times New Roman" w:hAnsi="Times New Roman" w:eastAsia="宋体" w:cs="Times New Roman"/>
                <w:b w:val="0"/>
                <w:bCs w:val="0"/>
                <w:color w:val="auto"/>
                <w:kern w:val="2"/>
                <w:sz w:val="21"/>
                <w:szCs w:val="24"/>
                <w:lang w:val="en-US" w:eastAsia="zh-CN" w:bidi="ar-SA"/>
              </w:rPr>
              <w:t>综上，改扩建后全厂下料切割粉尘</w:t>
            </w:r>
            <w:r>
              <w:rPr>
                <w:rFonts w:hint="eastAsia" w:cs="Times New Roman"/>
                <w:b w:val="0"/>
                <w:bCs w:val="0"/>
                <w:color w:val="auto"/>
                <w:kern w:val="2"/>
                <w:sz w:val="21"/>
                <w:szCs w:val="24"/>
                <w:lang w:val="en-US" w:eastAsia="zh-CN" w:bidi="ar-SA"/>
              </w:rPr>
              <w:t>有组织</w:t>
            </w:r>
            <w:r>
              <w:rPr>
                <w:rFonts w:hint="eastAsia" w:ascii="Times New Roman" w:hAnsi="Times New Roman" w:eastAsia="宋体" w:cs="Times New Roman"/>
                <w:b w:val="0"/>
                <w:bCs w:val="0"/>
                <w:color w:val="auto"/>
                <w:kern w:val="2"/>
                <w:sz w:val="21"/>
                <w:szCs w:val="24"/>
                <w:lang w:val="en-US" w:eastAsia="zh-CN" w:bidi="ar-SA"/>
              </w:rPr>
              <w:t>排放量为1.1925t/a，排放速率为0.1656kg/h。</w:t>
            </w:r>
            <w:r>
              <w:rPr>
                <w:rFonts w:hint="eastAsia" w:cs="Times New Roman"/>
                <w:b w:val="0"/>
                <w:bCs w:val="0"/>
                <w:color w:val="auto"/>
                <w:kern w:val="2"/>
                <w:sz w:val="21"/>
                <w:szCs w:val="24"/>
                <w:lang w:val="en-US" w:eastAsia="zh-CN" w:bidi="ar-SA"/>
              </w:rPr>
              <w:t>无组织</w:t>
            </w:r>
            <w:r>
              <w:rPr>
                <w:rFonts w:hint="eastAsia" w:ascii="Times New Roman" w:hAnsi="Times New Roman" w:eastAsia="宋体" w:cs="Times New Roman"/>
                <w:b w:val="0"/>
                <w:bCs w:val="0"/>
                <w:color w:val="auto"/>
                <w:kern w:val="2"/>
                <w:sz w:val="21"/>
                <w:szCs w:val="24"/>
                <w:lang w:val="en-US" w:eastAsia="zh-CN" w:bidi="ar-SA"/>
              </w:rPr>
              <w:t>排放量为2.65t/a，排放速率为0.3680kg/h。</w:t>
            </w:r>
          </w:p>
          <w:p>
            <w:pPr>
              <w:spacing w:line="500" w:lineRule="exact"/>
              <w:ind w:firstLine="420" w:firstLineChars="200"/>
              <w:rPr>
                <w:rFonts w:hint="eastAsia" w:ascii="Times New Roman" w:hAnsi="Times New Roman" w:eastAsia="宋体" w:cs="Times New Roman"/>
                <w:b w:val="0"/>
                <w:bCs w:val="0"/>
                <w:color w:val="auto"/>
                <w:lang w:eastAsia="zh-CN"/>
              </w:rPr>
            </w:pPr>
            <w:r>
              <w:rPr>
                <w:rFonts w:ascii="Times New Roman" w:hAnsi="Times New Roman" w:eastAsia="宋体" w:cs="Times New Roman"/>
                <w:b w:val="0"/>
                <w:bCs w:val="0"/>
                <w:color w:val="auto"/>
              </w:rPr>
              <w:t>（</w:t>
            </w:r>
            <w:r>
              <w:rPr>
                <w:rFonts w:hint="eastAsia" w:cs="Times New Roman"/>
                <w:b w:val="0"/>
                <w:bCs w:val="0"/>
                <w:color w:val="auto"/>
                <w:lang w:val="en-US" w:eastAsia="zh-CN"/>
              </w:rPr>
              <w:t>3</w:t>
            </w:r>
            <w:r>
              <w:rPr>
                <w:rFonts w:ascii="Times New Roman" w:hAnsi="Times New Roman" w:eastAsia="宋体" w:cs="Times New Roman"/>
                <w:b w:val="0"/>
                <w:bCs w:val="0"/>
                <w:color w:val="auto"/>
              </w:rPr>
              <w:t>）</w:t>
            </w:r>
            <w:r>
              <w:rPr>
                <w:rFonts w:hint="eastAsia" w:cs="Times New Roman"/>
                <w:b w:val="0"/>
                <w:bCs w:val="0"/>
                <w:color w:val="auto"/>
                <w:lang w:val="en-US" w:eastAsia="zh-CN"/>
              </w:rPr>
              <w:t>机加工</w:t>
            </w:r>
            <w:r>
              <w:rPr>
                <w:rFonts w:hint="eastAsia" w:ascii="Times New Roman" w:hAnsi="Times New Roman" w:eastAsia="宋体" w:cs="Times New Roman"/>
                <w:b w:val="0"/>
                <w:bCs w:val="0"/>
                <w:color w:val="auto"/>
                <w:lang w:eastAsia="zh-CN"/>
              </w:rPr>
              <w:t>废气</w:t>
            </w:r>
          </w:p>
          <w:p>
            <w:pPr>
              <w:adjustRightInd w:val="0"/>
              <w:snapToGrid w:val="0"/>
              <w:spacing w:line="500" w:lineRule="exact"/>
              <w:ind w:firstLine="420"/>
              <w:rPr>
                <w:rFonts w:hint="default" w:ascii="Times New Roman" w:hAnsi="Times New Roman" w:eastAsia="宋体" w:cs="Times New Roman"/>
                <w:b w:val="0"/>
                <w:bCs w:val="0"/>
                <w:color w:val="auto"/>
                <w:kern w:val="2"/>
                <w:sz w:val="21"/>
                <w:szCs w:val="24"/>
                <w:lang w:val="en-US" w:eastAsia="zh-CN" w:bidi="ar-SA"/>
              </w:rPr>
            </w:pPr>
            <w:r>
              <w:rPr>
                <w:rFonts w:hint="eastAsia" w:cs="Times New Roman"/>
                <w:b w:val="0"/>
                <w:bCs w:val="0"/>
                <w:color w:val="auto"/>
                <w:kern w:val="2"/>
                <w:sz w:val="21"/>
                <w:szCs w:val="24"/>
                <w:lang w:val="en-US" w:eastAsia="zh-CN" w:bidi="ar-SA"/>
              </w:rPr>
              <w:t>全厂</w:t>
            </w:r>
            <w:r>
              <w:rPr>
                <w:rFonts w:hint="eastAsia" w:ascii="Times New Roman" w:hAnsi="Times New Roman" w:eastAsia="宋体" w:cs="Times New Roman"/>
                <w:b w:val="0"/>
                <w:bCs w:val="0"/>
                <w:color w:val="auto"/>
                <w:kern w:val="2"/>
                <w:sz w:val="21"/>
                <w:szCs w:val="24"/>
                <w:lang w:val="en-US" w:eastAsia="zh-CN" w:bidi="ar-SA"/>
              </w:rPr>
              <w:t>在机加工过程中采用切削液，机加工过程会产生挥发性有机废气（以非甲烷总烃计）。参照《排放源统计调查产排污核算方法和系数手册》“33-37，431-434行业系数手册，07机械加工-湿式机加工件”中挥发性有机物的产污系数为5.64千克/吨-原料，全厂金属加工工序年使用切削液0.2t，</w:t>
            </w:r>
            <w:r>
              <w:rPr>
                <w:rFonts w:hint="eastAsia" w:cs="Times New Roman"/>
                <w:b w:val="0"/>
                <w:bCs w:val="0"/>
                <w:color w:val="auto"/>
                <w:kern w:val="2"/>
                <w:sz w:val="21"/>
                <w:szCs w:val="24"/>
                <w:lang w:val="en-US" w:eastAsia="zh-CN" w:bidi="ar-SA"/>
              </w:rPr>
              <w:t>年工作时间7200h，</w:t>
            </w:r>
            <w:r>
              <w:rPr>
                <w:rFonts w:hint="eastAsia" w:ascii="Times New Roman" w:hAnsi="Times New Roman" w:eastAsia="宋体" w:cs="Times New Roman"/>
                <w:b w:val="0"/>
                <w:bCs w:val="0"/>
                <w:color w:val="auto"/>
                <w:kern w:val="2"/>
                <w:sz w:val="21"/>
                <w:szCs w:val="24"/>
                <w:lang w:val="en-US" w:eastAsia="zh-CN" w:bidi="ar-SA"/>
              </w:rPr>
              <w:t>则非甲烷总烃产生量为1.128kg/a。因产生量较少，不单独设置净化设施。</w:t>
            </w:r>
          </w:p>
          <w:p>
            <w:pPr>
              <w:pStyle w:val="52"/>
              <w:keepNext w:val="0"/>
              <w:keepLines w:val="0"/>
              <w:pageBreakBefore w:val="0"/>
              <w:widowControl w:val="0"/>
              <w:tabs>
                <w:tab w:val="left" w:pos="3240"/>
              </w:tabs>
              <w:kinsoku/>
              <w:wordWrap/>
              <w:overflowPunct/>
              <w:topLinePunct w:val="0"/>
              <w:autoSpaceDE/>
              <w:autoSpaceDN/>
              <w:bidi w:val="0"/>
              <w:adjustRightInd w:val="0"/>
              <w:snapToGrid w:val="0"/>
              <w:spacing w:line="500" w:lineRule="exact"/>
              <w:ind w:firstLine="482"/>
              <w:textAlignment w:val="auto"/>
              <w:rPr>
                <w:rFonts w:hint="default"/>
                <w:b/>
                <w:bCs/>
                <w:color w:val="auto"/>
                <w:lang w:val="en-US" w:eastAsia="zh-CN"/>
              </w:rPr>
            </w:pPr>
            <w:r>
              <w:rPr>
                <w:rFonts w:hint="eastAsia" w:ascii="Times New Roman" w:hAnsi="Times New Roman" w:eastAsia="宋体" w:cs="Times New Roman"/>
                <w:b w:val="0"/>
                <w:bCs w:val="0"/>
                <w:color w:val="auto"/>
                <w:kern w:val="2"/>
                <w:sz w:val="21"/>
                <w:szCs w:val="24"/>
                <w:lang w:val="en-US" w:eastAsia="zh-CN" w:bidi="ar-SA"/>
              </w:rPr>
              <w:t>综上，改扩建后全厂金属加工工序非甲烷总烃无组织排放量为0.0011t/a</w:t>
            </w:r>
            <w:r>
              <w:rPr>
                <w:rFonts w:hint="eastAsia" w:ascii="Times New Roman" w:cs="Times New Roman"/>
                <w:b w:val="0"/>
                <w:bCs w:val="0"/>
                <w:color w:val="auto"/>
                <w:kern w:val="2"/>
                <w:sz w:val="21"/>
                <w:szCs w:val="24"/>
                <w:lang w:val="en-US" w:eastAsia="zh-CN" w:bidi="ar-SA"/>
              </w:rPr>
              <w:t>，排放速率0.0002</w:t>
            </w:r>
            <w:r>
              <w:rPr>
                <w:rFonts w:hint="eastAsia" w:ascii="Times New Roman" w:hAnsi="Times New Roman" w:eastAsia="宋体" w:cs="Times New Roman"/>
                <w:b w:val="0"/>
                <w:bCs w:val="0"/>
                <w:color w:val="auto"/>
                <w:kern w:val="2"/>
                <w:sz w:val="21"/>
                <w:szCs w:val="24"/>
                <w:lang w:val="en-US" w:eastAsia="zh-CN" w:bidi="ar-SA"/>
              </w:rPr>
              <w:t>kg/h</w:t>
            </w:r>
            <w:r>
              <w:rPr>
                <w:rFonts w:hint="eastAsia" w:ascii="Times New Roman" w:cs="Times New Roman"/>
                <w:b w:val="0"/>
                <w:bCs w:val="0"/>
                <w:color w:val="auto"/>
                <w:kern w:val="2"/>
                <w:sz w:val="21"/>
                <w:szCs w:val="24"/>
                <w:lang w:val="en-US" w:eastAsia="zh-CN" w:bidi="ar-SA"/>
              </w:rPr>
              <w:t>。</w:t>
            </w:r>
          </w:p>
          <w:p>
            <w:pPr>
              <w:adjustRightInd w:val="0"/>
              <w:snapToGrid w:val="0"/>
              <w:spacing w:line="500" w:lineRule="exact"/>
              <w:ind w:firstLine="420"/>
              <w:rPr>
                <w:rFonts w:hint="eastAsia" w:ascii="Times New Roman" w:hAnsi="Times New Roman" w:eastAsia="宋体" w:cs="Times New Roman"/>
                <w:b w:val="0"/>
                <w:bCs w:val="0"/>
                <w:color w:val="auto"/>
                <w:kern w:val="2"/>
                <w:sz w:val="21"/>
                <w:szCs w:val="24"/>
                <w:lang w:val="en-US" w:eastAsia="zh-CN" w:bidi="ar-SA"/>
              </w:rPr>
            </w:pPr>
            <w:r>
              <w:rPr>
                <w:rFonts w:hint="eastAsia" w:ascii="Times New Roman" w:hAnsi="Times New Roman" w:eastAsia="宋体" w:cs="Times New Roman"/>
                <w:b w:val="0"/>
                <w:bCs w:val="0"/>
                <w:color w:val="auto"/>
                <w:kern w:val="2"/>
                <w:sz w:val="21"/>
                <w:szCs w:val="24"/>
                <w:lang w:val="en-US" w:eastAsia="zh-CN" w:bidi="ar-SA"/>
              </w:rPr>
              <w:t>（</w:t>
            </w:r>
            <w:r>
              <w:rPr>
                <w:rFonts w:hint="eastAsia" w:cs="Times New Roman"/>
                <w:b w:val="0"/>
                <w:bCs w:val="0"/>
                <w:color w:val="auto"/>
                <w:kern w:val="2"/>
                <w:sz w:val="21"/>
                <w:szCs w:val="24"/>
                <w:lang w:val="en-US" w:eastAsia="zh-CN" w:bidi="ar-SA"/>
              </w:rPr>
              <w:t>4</w:t>
            </w:r>
            <w:r>
              <w:rPr>
                <w:rFonts w:hint="eastAsia" w:ascii="Times New Roman" w:hAnsi="Times New Roman" w:eastAsia="宋体" w:cs="Times New Roman"/>
                <w:b w:val="0"/>
                <w:bCs w:val="0"/>
                <w:color w:val="auto"/>
                <w:kern w:val="2"/>
                <w:sz w:val="21"/>
                <w:szCs w:val="24"/>
                <w:lang w:val="en-US" w:eastAsia="zh-CN" w:bidi="ar-SA"/>
              </w:rPr>
              <w:t>）</w:t>
            </w:r>
            <w:r>
              <w:rPr>
                <w:rFonts w:hint="default" w:ascii="Times New Roman" w:hAnsi="Times New Roman" w:eastAsia="宋体" w:cs="Times New Roman"/>
                <w:b w:val="0"/>
                <w:bCs w:val="0"/>
                <w:color w:val="auto"/>
                <w:kern w:val="2"/>
                <w:sz w:val="21"/>
                <w:szCs w:val="24"/>
                <w:lang w:val="en-US" w:eastAsia="zh-CN" w:bidi="ar-SA"/>
              </w:rPr>
              <w:t>维修</w:t>
            </w:r>
            <w:r>
              <w:rPr>
                <w:rFonts w:hint="eastAsia" w:ascii="Times New Roman" w:hAnsi="Times New Roman" w:eastAsia="宋体" w:cs="Times New Roman"/>
                <w:b w:val="0"/>
                <w:bCs w:val="0"/>
                <w:color w:val="auto"/>
                <w:kern w:val="2"/>
                <w:sz w:val="21"/>
                <w:szCs w:val="24"/>
                <w:lang w:val="en-US" w:eastAsia="zh-CN" w:bidi="ar-SA"/>
              </w:rPr>
              <w:t>切割粉尘</w:t>
            </w:r>
          </w:p>
          <w:p>
            <w:pPr>
              <w:adjustRightInd w:val="0"/>
              <w:snapToGrid w:val="0"/>
              <w:spacing w:line="500" w:lineRule="exact"/>
              <w:ind w:firstLine="420"/>
              <w:rPr>
                <w:rFonts w:hint="eastAsia" w:ascii="Times New Roman" w:hAnsi="Times New Roman" w:eastAsia="宋体" w:cs="Times New Roman"/>
                <w:b w:val="0"/>
                <w:bCs w:val="0"/>
                <w:color w:val="auto"/>
                <w:kern w:val="2"/>
                <w:sz w:val="21"/>
                <w:szCs w:val="24"/>
                <w:lang w:val="en-US" w:eastAsia="zh-CN" w:bidi="ar-SA"/>
              </w:rPr>
            </w:pPr>
            <w:r>
              <w:rPr>
                <w:rFonts w:hint="eastAsia" w:cs="Times New Roman"/>
                <w:b w:val="0"/>
                <w:bCs w:val="0"/>
                <w:color w:val="auto"/>
                <w:kern w:val="2"/>
                <w:sz w:val="21"/>
                <w:szCs w:val="24"/>
                <w:lang w:val="en-US" w:eastAsia="zh-CN" w:bidi="ar-SA"/>
              </w:rPr>
              <w:t>全厂</w:t>
            </w:r>
            <w:r>
              <w:rPr>
                <w:rFonts w:hint="default" w:ascii="Times New Roman" w:hAnsi="Times New Roman" w:eastAsia="宋体" w:cs="Times New Roman"/>
                <w:b w:val="0"/>
                <w:bCs w:val="0"/>
                <w:color w:val="auto"/>
                <w:kern w:val="2"/>
                <w:sz w:val="21"/>
                <w:szCs w:val="24"/>
                <w:lang w:val="en-US" w:eastAsia="zh-CN" w:bidi="ar-SA"/>
              </w:rPr>
              <w:t>设备维修中选用气割</w:t>
            </w:r>
            <w:r>
              <w:rPr>
                <w:rFonts w:hint="eastAsia" w:cs="Times New Roman"/>
                <w:b w:val="0"/>
                <w:bCs w:val="0"/>
                <w:color w:val="auto"/>
                <w:kern w:val="2"/>
                <w:sz w:val="21"/>
                <w:szCs w:val="24"/>
                <w:lang w:val="en-US" w:eastAsia="zh-CN" w:bidi="ar-SA"/>
              </w:rPr>
              <w:t>工艺</w:t>
            </w:r>
            <w:r>
              <w:rPr>
                <w:rFonts w:hint="eastAsia" w:ascii="Times New Roman" w:hAnsi="Times New Roman" w:eastAsia="宋体" w:cs="Times New Roman"/>
                <w:b w:val="0"/>
                <w:bCs w:val="0"/>
                <w:color w:val="auto"/>
                <w:kern w:val="2"/>
                <w:sz w:val="21"/>
                <w:szCs w:val="24"/>
                <w:lang w:val="en-US" w:eastAsia="zh-CN" w:bidi="ar-SA"/>
              </w:rPr>
              <w:t>，气割过程中会产生</w:t>
            </w:r>
            <w:r>
              <w:rPr>
                <w:rFonts w:hint="default" w:ascii="Times New Roman" w:hAnsi="Times New Roman" w:eastAsia="宋体" w:cs="Times New Roman"/>
                <w:b w:val="0"/>
                <w:bCs w:val="0"/>
                <w:color w:val="auto"/>
                <w:kern w:val="2"/>
                <w:sz w:val="21"/>
                <w:szCs w:val="24"/>
                <w:lang w:val="en-US" w:eastAsia="zh-CN" w:bidi="ar-SA"/>
              </w:rPr>
              <w:t>切割粉尘</w:t>
            </w:r>
            <w:r>
              <w:rPr>
                <w:rFonts w:hint="eastAsia" w:ascii="Times New Roman" w:hAnsi="Times New Roman" w:eastAsia="宋体" w:cs="Times New Roman"/>
                <w:b w:val="0"/>
                <w:bCs w:val="0"/>
                <w:color w:val="auto"/>
                <w:kern w:val="2"/>
                <w:sz w:val="21"/>
                <w:szCs w:val="24"/>
                <w:lang w:val="en-US" w:eastAsia="zh-CN" w:bidi="ar-SA"/>
              </w:rPr>
              <w:t>，</w:t>
            </w:r>
            <w:r>
              <w:rPr>
                <w:rFonts w:hint="default" w:ascii="Times New Roman" w:hAnsi="Times New Roman" w:eastAsia="宋体" w:cs="Times New Roman"/>
                <w:b w:val="0"/>
                <w:bCs w:val="0"/>
                <w:color w:val="auto"/>
                <w:kern w:val="2"/>
                <w:sz w:val="21"/>
                <w:szCs w:val="24"/>
                <w:lang w:val="en-US" w:eastAsia="zh-CN" w:bidi="ar-SA"/>
              </w:rPr>
              <w:t>本项目采用氧/可燃气切割，参照《</w:t>
            </w:r>
            <w:r>
              <w:rPr>
                <w:rFonts w:hint="eastAsia" w:ascii="Times New Roman" w:hAnsi="Times New Roman" w:eastAsia="宋体" w:cs="Times New Roman"/>
                <w:b w:val="0"/>
                <w:bCs w:val="0"/>
                <w:color w:val="auto"/>
                <w:kern w:val="2"/>
                <w:sz w:val="21"/>
                <w:szCs w:val="24"/>
                <w:lang w:val="en-US" w:eastAsia="zh-CN" w:bidi="ar-SA"/>
              </w:rPr>
              <w:fldChar w:fldCharType="begin"/>
            </w:r>
            <w:r>
              <w:rPr>
                <w:rFonts w:hint="eastAsia" w:ascii="Times New Roman" w:hAnsi="Times New Roman" w:eastAsia="宋体" w:cs="Times New Roman"/>
                <w:b w:val="0"/>
                <w:bCs w:val="0"/>
                <w:color w:val="auto"/>
                <w:kern w:val="2"/>
                <w:sz w:val="21"/>
                <w:szCs w:val="24"/>
                <w:lang w:val="en-US" w:eastAsia="zh-CN" w:bidi="ar-SA"/>
              </w:rPr>
              <w:instrText xml:space="preserve"> HYPERLINK "https://www.mee.gov.cn/xxgk2018/xxgk/xxgk01/202106/W020210624327149500026.pdf" </w:instrText>
            </w:r>
            <w:r>
              <w:rPr>
                <w:rFonts w:hint="eastAsia" w:ascii="Times New Roman" w:hAnsi="Times New Roman" w:eastAsia="宋体" w:cs="Times New Roman"/>
                <w:b w:val="0"/>
                <w:bCs w:val="0"/>
                <w:color w:val="auto"/>
                <w:kern w:val="2"/>
                <w:sz w:val="21"/>
                <w:szCs w:val="24"/>
                <w:lang w:val="en-US" w:eastAsia="zh-CN" w:bidi="ar-SA"/>
              </w:rPr>
              <w:fldChar w:fldCharType="separate"/>
            </w:r>
            <w:r>
              <w:rPr>
                <w:rFonts w:hint="eastAsia" w:ascii="Times New Roman" w:hAnsi="Times New Roman" w:eastAsia="宋体" w:cs="Times New Roman"/>
                <w:b w:val="0"/>
                <w:bCs w:val="0"/>
                <w:color w:val="auto"/>
                <w:kern w:val="2"/>
                <w:sz w:val="21"/>
                <w:szCs w:val="24"/>
                <w:lang w:val="en-US" w:eastAsia="zh-CN" w:bidi="ar-SA"/>
              </w:rPr>
              <w:t>排放源统计调查产排污核算方法和系数手册</w:t>
            </w:r>
            <w:r>
              <w:rPr>
                <w:rFonts w:hint="eastAsia" w:ascii="Times New Roman" w:hAnsi="Times New Roman" w:eastAsia="宋体" w:cs="Times New Roman"/>
                <w:b w:val="0"/>
                <w:bCs w:val="0"/>
                <w:color w:val="auto"/>
                <w:kern w:val="2"/>
                <w:sz w:val="21"/>
                <w:szCs w:val="24"/>
                <w:lang w:val="en-US" w:eastAsia="zh-CN" w:bidi="ar-SA"/>
              </w:rPr>
              <w:fldChar w:fldCharType="end"/>
            </w:r>
            <w:r>
              <w:rPr>
                <w:rFonts w:hint="eastAsia" w:ascii="Times New Roman" w:hAnsi="Times New Roman" w:eastAsia="宋体" w:cs="Times New Roman"/>
                <w:b w:val="0"/>
                <w:bCs w:val="0"/>
                <w:color w:val="auto"/>
                <w:kern w:val="2"/>
                <w:sz w:val="21"/>
                <w:szCs w:val="24"/>
                <w:lang w:val="en-US" w:eastAsia="zh-CN" w:bidi="ar-SA"/>
              </w:rPr>
              <w:t>》</w:t>
            </w:r>
            <w:r>
              <w:rPr>
                <w:rFonts w:hint="default" w:ascii="Times New Roman" w:hAnsi="Times New Roman" w:eastAsia="宋体" w:cs="Times New Roman"/>
                <w:b w:val="0"/>
                <w:bCs w:val="0"/>
                <w:color w:val="auto"/>
                <w:kern w:val="2"/>
                <w:sz w:val="21"/>
                <w:szCs w:val="24"/>
                <w:lang w:val="en-US" w:eastAsia="zh-CN" w:bidi="ar-SA"/>
              </w:rPr>
              <w:t>（机械行业）中氧/可燃气切割的产污系数，为1.</w:t>
            </w:r>
            <w:r>
              <w:rPr>
                <w:rFonts w:hint="eastAsia" w:ascii="Times New Roman" w:hAnsi="Times New Roman" w:eastAsia="宋体" w:cs="Times New Roman"/>
                <w:b w:val="0"/>
                <w:bCs w:val="0"/>
                <w:color w:val="auto"/>
                <w:kern w:val="2"/>
                <w:sz w:val="21"/>
                <w:szCs w:val="24"/>
                <w:lang w:val="en-US" w:eastAsia="zh-CN" w:bidi="ar-SA"/>
              </w:rPr>
              <w:t>5</w:t>
            </w:r>
            <w:r>
              <w:rPr>
                <w:rFonts w:hint="default" w:ascii="Times New Roman" w:hAnsi="Times New Roman" w:eastAsia="宋体" w:cs="Times New Roman"/>
                <w:b w:val="0"/>
                <w:bCs w:val="0"/>
                <w:color w:val="auto"/>
                <w:kern w:val="2"/>
                <w:sz w:val="21"/>
                <w:szCs w:val="24"/>
                <w:lang w:val="en-US" w:eastAsia="zh-CN" w:bidi="ar-SA"/>
              </w:rPr>
              <w:t>kg/t-原料，项目需要氧/可燃气切割</w:t>
            </w:r>
            <w:r>
              <w:rPr>
                <w:rFonts w:hint="eastAsia" w:ascii="Times New Roman" w:hAnsi="Times New Roman" w:eastAsia="宋体" w:cs="Times New Roman"/>
                <w:b w:val="0"/>
                <w:bCs w:val="0"/>
                <w:color w:val="auto"/>
                <w:kern w:val="2"/>
                <w:sz w:val="21"/>
                <w:szCs w:val="24"/>
                <w:lang w:val="en-US" w:eastAsia="zh-CN" w:bidi="ar-SA"/>
              </w:rPr>
              <w:t>维修</w:t>
            </w:r>
            <w:r>
              <w:rPr>
                <w:rFonts w:hint="default" w:ascii="Times New Roman" w:hAnsi="Times New Roman" w:eastAsia="宋体" w:cs="Times New Roman"/>
                <w:b w:val="0"/>
                <w:bCs w:val="0"/>
                <w:color w:val="auto"/>
                <w:kern w:val="2"/>
                <w:sz w:val="21"/>
                <w:szCs w:val="24"/>
                <w:lang w:val="en-US" w:eastAsia="zh-CN" w:bidi="ar-SA"/>
              </w:rPr>
              <w:t>的</w:t>
            </w:r>
            <w:r>
              <w:rPr>
                <w:rFonts w:hint="eastAsia" w:ascii="Times New Roman" w:hAnsi="Times New Roman" w:eastAsia="宋体" w:cs="Times New Roman"/>
                <w:b w:val="0"/>
                <w:bCs w:val="0"/>
                <w:color w:val="auto"/>
                <w:kern w:val="2"/>
                <w:sz w:val="21"/>
                <w:szCs w:val="24"/>
                <w:lang w:val="en-US" w:eastAsia="zh-CN" w:bidi="ar-SA"/>
              </w:rPr>
              <w:t>设备</w:t>
            </w:r>
            <w:r>
              <w:rPr>
                <w:rFonts w:hint="default" w:ascii="Times New Roman" w:hAnsi="Times New Roman" w:eastAsia="宋体" w:cs="Times New Roman"/>
                <w:b w:val="0"/>
                <w:bCs w:val="0"/>
                <w:color w:val="auto"/>
                <w:kern w:val="2"/>
                <w:sz w:val="21"/>
                <w:szCs w:val="24"/>
                <w:lang w:val="en-US" w:eastAsia="zh-CN" w:bidi="ar-SA"/>
              </w:rPr>
              <w:t>金属</w:t>
            </w:r>
            <w:r>
              <w:rPr>
                <w:rFonts w:hint="eastAsia" w:ascii="Times New Roman" w:hAnsi="Times New Roman" w:eastAsia="宋体" w:cs="Times New Roman"/>
                <w:b w:val="0"/>
                <w:bCs w:val="0"/>
                <w:color w:val="auto"/>
                <w:kern w:val="2"/>
                <w:sz w:val="21"/>
                <w:szCs w:val="24"/>
                <w:lang w:val="en-US" w:eastAsia="zh-CN" w:bidi="ar-SA"/>
              </w:rPr>
              <w:t>约</w:t>
            </w:r>
            <w:r>
              <w:rPr>
                <w:rFonts w:hint="default" w:ascii="Times New Roman" w:hAnsi="Times New Roman" w:eastAsia="宋体" w:cs="Times New Roman"/>
                <w:b w:val="0"/>
                <w:bCs w:val="0"/>
                <w:color w:val="auto"/>
                <w:kern w:val="2"/>
                <w:sz w:val="21"/>
                <w:szCs w:val="24"/>
                <w:lang w:val="en-US" w:eastAsia="zh-CN" w:bidi="ar-SA"/>
              </w:rPr>
              <w:t>为</w:t>
            </w:r>
            <w:r>
              <w:rPr>
                <w:rFonts w:hint="eastAsia" w:ascii="Times New Roman" w:hAnsi="Times New Roman" w:eastAsia="宋体" w:cs="Times New Roman"/>
                <w:b w:val="0"/>
                <w:bCs w:val="0"/>
                <w:color w:val="auto"/>
                <w:kern w:val="2"/>
                <w:sz w:val="21"/>
                <w:szCs w:val="24"/>
                <w:lang w:val="en-US" w:eastAsia="zh-CN" w:bidi="ar-SA"/>
              </w:rPr>
              <w:t>10</w:t>
            </w:r>
            <w:r>
              <w:rPr>
                <w:rFonts w:hint="default" w:ascii="Times New Roman" w:hAnsi="Times New Roman" w:eastAsia="宋体" w:cs="Times New Roman"/>
                <w:b w:val="0"/>
                <w:bCs w:val="0"/>
                <w:color w:val="auto"/>
                <w:kern w:val="2"/>
                <w:sz w:val="21"/>
                <w:szCs w:val="24"/>
                <w:lang w:val="en-US" w:eastAsia="zh-CN" w:bidi="ar-SA"/>
              </w:rPr>
              <w:t>00t/a，</w:t>
            </w:r>
            <w:r>
              <w:rPr>
                <w:rFonts w:hint="eastAsia" w:ascii="Times New Roman" w:hAnsi="Times New Roman" w:eastAsia="宋体" w:cs="Times New Roman"/>
                <w:b w:val="0"/>
                <w:bCs w:val="0"/>
                <w:color w:val="auto"/>
                <w:kern w:val="2"/>
                <w:sz w:val="21"/>
                <w:szCs w:val="24"/>
                <w:lang w:val="en-US" w:eastAsia="zh-CN" w:bidi="ar-SA"/>
              </w:rPr>
              <w:t>气割</w:t>
            </w:r>
            <w:r>
              <w:rPr>
                <w:rFonts w:hint="default" w:ascii="Times New Roman" w:hAnsi="Times New Roman" w:eastAsia="宋体" w:cs="Times New Roman"/>
                <w:b w:val="0"/>
                <w:bCs w:val="0"/>
                <w:color w:val="auto"/>
                <w:kern w:val="2"/>
                <w:sz w:val="21"/>
                <w:szCs w:val="24"/>
                <w:lang w:val="en-US" w:eastAsia="zh-CN" w:bidi="ar-SA"/>
              </w:rPr>
              <w:t>工作时间按2000h计</w:t>
            </w:r>
            <w:r>
              <w:rPr>
                <w:rFonts w:hint="eastAsia" w:ascii="Times New Roman" w:hAnsi="Times New Roman" w:eastAsia="宋体" w:cs="Times New Roman"/>
                <w:b w:val="0"/>
                <w:bCs w:val="0"/>
                <w:color w:val="auto"/>
                <w:kern w:val="2"/>
                <w:sz w:val="21"/>
                <w:szCs w:val="24"/>
                <w:lang w:val="en-US" w:eastAsia="zh-CN" w:bidi="ar-SA"/>
              </w:rPr>
              <w:t>，切割粉尘产生量为1.5t/a，产生速率为0.75kg/h；项目切割粉尘经移动式除尘器（</w:t>
            </w:r>
            <w:r>
              <w:rPr>
                <w:rFonts w:hint="eastAsia" w:cs="Times New Roman"/>
                <w:b w:val="0"/>
                <w:bCs w:val="0"/>
                <w:color w:val="auto"/>
                <w:kern w:val="2"/>
                <w:sz w:val="21"/>
                <w:szCs w:val="24"/>
                <w:lang w:val="en-US" w:eastAsia="zh-CN" w:bidi="ar-SA"/>
              </w:rPr>
              <w:t>集气罩</w:t>
            </w:r>
            <w:r>
              <w:rPr>
                <w:rFonts w:hint="eastAsia"/>
                <w:bCs/>
                <w:color w:val="auto"/>
                <w:szCs w:val="21"/>
              </w:rPr>
              <w:t>收集效率约为90%，处理效率约95%</w:t>
            </w:r>
            <w:r>
              <w:rPr>
                <w:rFonts w:hint="eastAsia" w:ascii="Times New Roman" w:hAnsi="Times New Roman" w:eastAsia="宋体" w:cs="Times New Roman"/>
                <w:b w:val="0"/>
                <w:bCs w:val="0"/>
                <w:color w:val="auto"/>
                <w:kern w:val="2"/>
                <w:sz w:val="21"/>
                <w:szCs w:val="24"/>
                <w:lang w:val="en-US" w:eastAsia="zh-CN" w:bidi="ar-SA"/>
              </w:rPr>
              <w:t>）</w:t>
            </w:r>
            <w:r>
              <w:rPr>
                <w:rFonts w:hint="eastAsia"/>
                <w:color w:val="auto"/>
                <w:lang w:eastAsia="zh-CN"/>
              </w:rPr>
              <w:t>后无组织排放</w:t>
            </w:r>
            <w:r>
              <w:rPr>
                <w:rFonts w:hint="eastAsia" w:ascii="Times New Roman" w:hAnsi="Times New Roman" w:eastAsia="宋体" w:cs="Times New Roman"/>
                <w:b w:val="0"/>
                <w:bCs w:val="0"/>
                <w:color w:val="auto"/>
                <w:kern w:val="2"/>
                <w:sz w:val="21"/>
                <w:szCs w:val="24"/>
                <w:lang w:val="en-US" w:eastAsia="zh-CN" w:bidi="ar-SA"/>
              </w:rPr>
              <w:t>。</w:t>
            </w:r>
          </w:p>
          <w:p>
            <w:pPr>
              <w:pStyle w:val="52"/>
              <w:keepNext w:val="0"/>
              <w:keepLines w:val="0"/>
              <w:pageBreakBefore w:val="0"/>
              <w:widowControl w:val="0"/>
              <w:tabs>
                <w:tab w:val="left" w:pos="3240"/>
              </w:tabs>
              <w:kinsoku/>
              <w:wordWrap/>
              <w:overflowPunct/>
              <w:topLinePunct w:val="0"/>
              <w:autoSpaceDE/>
              <w:autoSpaceDN/>
              <w:bidi w:val="0"/>
              <w:adjustRightInd w:val="0"/>
              <w:snapToGrid w:val="0"/>
              <w:spacing w:line="500" w:lineRule="exact"/>
              <w:ind w:firstLine="482"/>
              <w:textAlignment w:val="auto"/>
              <w:rPr>
                <w:rFonts w:hint="eastAsia" w:ascii="Times New Roman" w:hAnsi="Times New Roman" w:eastAsia="宋体" w:cs="Times New Roman"/>
                <w:b w:val="0"/>
                <w:bCs w:val="0"/>
                <w:color w:val="auto"/>
                <w:kern w:val="2"/>
                <w:sz w:val="21"/>
                <w:szCs w:val="24"/>
                <w:lang w:val="en-US" w:eastAsia="zh-CN" w:bidi="ar-SA"/>
              </w:rPr>
            </w:pPr>
            <w:r>
              <w:rPr>
                <w:rFonts w:hint="eastAsia" w:ascii="Times New Roman" w:hAnsi="Times New Roman" w:eastAsia="宋体" w:cs="Times New Roman"/>
                <w:b w:val="0"/>
                <w:bCs w:val="0"/>
                <w:color w:val="auto"/>
                <w:kern w:val="2"/>
                <w:sz w:val="21"/>
                <w:szCs w:val="24"/>
                <w:lang w:val="en-US" w:eastAsia="zh-CN" w:bidi="ar-SA"/>
              </w:rPr>
              <w:t>综上，改扩建后全厂</w:t>
            </w:r>
            <w:r>
              <w:rPr>
                <w:rFonts w:hint="default" w:ascii="Times New Roman" w:hAnsi="Times New Roman" w:eastAsia="宋体" w:cs="Times New Roman"/>
                <w:b w:val="0"/>
                <w:bCs w:val="0"/>
                <w:color w:val="auto"/>
                <w:kern w:val="2"/>
                <w:sz w:val="21"/>
                <w:szCs w:val="24"/>
                <w:lang w:val="en-US" w:eastAsia="zh-CN" w:bidi="ar-SA"/>
              </w:rPr>
              <w:t>维修</w:t>
            </w:r>
            <w:r>
              <w:rPr>
                <w:rFonts w:hint="eastAsia" w:ascii="Times New Roman" w:hAnsi="Times New Roman" w:eastAsia="宋体" w:cs="Times New Roman"/>
                <w:b w:val="0"/>
                <w:bCs w:val="0"/>
                <w:color w:val="auto"/>
                <w:kern w:val="2"/>
                <w:sz w:val="21"/>
                <w:szCs w:val="24"/>
                <w:lang w:val="en-US" w:eastAsia="zh-CN" w:bidi="ar-SA"/>
              </w:rPr>
              <w:t>切割粉尘无组织排放量为</w:t>
            </w:r>
            <w:r>
              <w:rPr>
                <w:rFonts w:hint="eastAsia" w:ascii="Times New Roman" w:cs="Times New Roman"/>
                <w:b w:val="0"/>
                <w:bCs w:val="0"/>
                <w:color w:val="auto"/>
                <w:kern w:val="2"/>
                <w:sz w:val="21"/>
                <w:szCs w:val="24"/>
                <w:lang w:val="en-US" w:eastAsia="zh-CN" w:bidi="ar-SA"/>
              </w:rPr>
              <w:t>0.2175</w:t>
            </w:r>
            <w:r>
              <w:rPr>
                <w:rFonts w:hint="eastAsia" w:ascii="Times New Roman" w:hAnsi="Times New Roman" w:eastAsia="宋体" w:cs="Times New Roman"/>
                <w:b w:val="0"/>
                <w:bCs w:val="0"/>
                <w:color w:val="auto"/>
                <w:kern w:val="2"/>
                <w:sz w:val="21"/>
                <w:szCs w:val="24"/>
                <w:lang w:val="en-US" w:eastAsia="zh-CN" w:bidi="ar-SA"/>
              </w:rPr>
              <w:t>t/a</w:t>
            </w:r>
            <w:r>
              <w:rPr>
                <w:rFonts w:hint="eastAsia" w:ascii="Times New Roman" w:cs="Times New Roman"/>
                <w:b w:val="0"/>
                <w:bCs w:val="0"/>
                <w:color w:val="auto"/>
                <w:kern w:val="2"/>
                <w:sz w:val="21"/>
                <w:szCs w:val="24"/>
                <w:lang w:val="en-US" w:eastAsia="zh-CN" w:bidi="ar-SA"/>
              </w:rPr>
              <w:t>，</w:t>
            </w:r>
            <w:r>
              <w:rPr>
                <w:rFonts w:hint="eastAsia" w:ascii="Times New Roman" w:hAnsi="Times New Roman" w:eastAsia="宋体" w:cs="Times New Roman"/>
                <w:b w:val="0"/>
                <w:bCs w:val="0"/>
                <w:color w:val="auto"/>
                <w:kern w:val="2"/>
                <w:sz w:val="21"/>
                <w:szCs w:val="24"/>
                <w:lang w:val="en-US" w:eastAsia="zh-CN" w:bidi="ar-SA"/>
              </w:rPr>
              <w:t>排放速率为0.</w:t>
            </w:r>
            <w:r>
              <w:rPr>
                <w:rFonts w:hint="eastAsia" w:ascii="Times New Roman" w:cs="Times New Roman"/>
                <w:b w:val="0"/>
                <w:bCs w:val="0"/>
                <w:color w:val="auto"/>
                <w:kern w:val="2"/>
                <w:sz w:val="21"/>
                <w:szCs w:val="24"/>
                <w:lang w:val="en-US" w:eastAsia="zh-CN" w:bidi="ar-SA"/>
              </w:rPr>
              <w:t>0302</w:t>
            </w:r>
            <w:r>
              <w:rPr>
                <w:rFonts w:hint="eastAsia" w:ascii="Times New Roman" w:hAnsi="Times New Roman" w:eastAsia="宋体" w:cs="Times New Roman"/>
                <w:b w:val="0"/>
                <w:bCs w:val="0"/>
                <w:color w:val="auto"/>
                <w:kern w:val="2"/>
                <w:sz w:val="21"/>
                <w:szCs w:val="24"/>
                <w:lang w:val="en-US" w:eastAsia="zh-CN" w:bidi="ar-SA"/>
              </w:rPr>
              <w:t>kg/h</w:t>
            </w:r>
            <w:r>
              <w:rPr>
                <w:rFonts w:hint="eastAsia" w:ascii="Times New Roman" w:cs="Times New Roman"/>
                <w:b w:val="0"/>
                <w:bCs w:val="0"/>
                <w:color w:val="auto"/>
                <w:kern w:val="2"/>
                <w:sz w:val="21"/>
                <w:szCs w:val="24"/>
                <w:lang w:val="en-US" w:eastAsia="zh-CN" w:bidi="ar-SA"/>
              </w:rPr>
              <w:t>。</w:t>
            </w:r>
          </w:p>
          <w:p>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rPr>
                <w:color w:val="auto"/>
                <w:szCs w:val="21"/>
              </w:rPr>
            </w:pPr>
            <w:r>
              <w:rPr>
                <w:rFonts w:hint="eastAsia" w:ascii="Times New Roman" w:hAnsi="Times New Roman" w:eastAsia="宋体" w:cs="Times New Roman"/>
                <w:b w:val="0"/>
                <w:bCs w:val="0"/>
                <w:color w:val="auto"/>
                <w:kern w:val="2"/>
                <w:sz w:val="21"/>
                <w:szCs w:val="24"/>
                <w:lang w:val="en-US" w:eastAsia="zh-CN" w:bidi="ar-SA"/>
              </w:rPr>
              <w:t>（</w:t>
            </w:r>
            <w:r>
              <w:rPr>
                <w:rFonts w:hint="eastAsia" w:cs="Times New Roman"/>
                <w:b w:val="0"/>
                <w:bCs w:val="0"/>
                <w:color w:val="auto"/>
                <w:kern w:val="2"/>
                <w:sz w:val="21"/>
                <w:szCs w:val="24"/>
                <w:lang w:val="en-US" w:eastAsia="zh-CN" w:bidi="ar-SA"/>
              </w:rPr>
              <w:t>5</w:t>
            </w:r>
            <w:r>
              <w:rPr>
                <w:rFonts w:hint="eastAsia" w:ascii="Times New Roman" w:hAnsi="Times New Roman" w:eastAsia="宋体" w:cs="Times New Roman"/>
                <w:b w:val="0"/>
                <w:bCs w:val="0"/>
                <w:color w:val="auto"/>
                <w:kern w:val="2"/>
                <w:sz w:val="21"/>
                <w:szCs w:val="24"/>
                <w:lang w:val="en-US" w:eastAsia="zh-CN" w:bidi="ar-SA"/>
              </w:rPr>
              <w:t>）</w:t>
            </w:r>
            <w:r>
              <w:rPr>
                <w:rFonts w:hint="eastAsia"/>
                <w:bCs/>
                <w:color w:val="auto"/>
                <w:szCs w:val="21"/>
                <w:lang w:eastAsia="zh-CN"/>
              </w:rPr>
              <w:t>打磨</w:t>
            </w:r>
            <w:r>
              <w:rPr>
                <w:rFonts w:hint="eastAsia"/>
                <w:bCs/>
                <w:color w:val="auto"/>
                <w:szCs w:val="21"/>
              </w:rPr>
              <w:t>粉尘</w:t>
            </w:r>
          </w:p>
          <w:p>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rPr>
                <w:rFonts w:hint="eastAsia" w:cs="Times New Roman"/>
                <w:b w:val="0"/>
                <w:bCs w:val="0"/>
                <w:color w:val="auto"/>
                <w:kern w:val="2"/>
                <w:sz w:val="21"/>
                <w:szCs w:val="24"/>
                <w:lang w:val="en-US" w:eastAsia="zh-CN" w:bidi="ar-SA"/>
              </w:rPr>
            </w:pPr>
            <w:r>
              <w:rPr>
                <w:rFonts w:hint="eastAsia" w:ascii="Times New Roman" w:hAnsi="Times New Roman" w:eastAsia="宋体" w:cs="Times New Roman"/>
                <w:b w:val="0"/>
                <w:bCs w:val="0"/>
                <w:color w:val="auto"/>
                <w:kern w:val="2"/>
                <w:sz w:val="21"/>
                <w:szCs w:val="24"/>
                <w:lang w:val="en-US" w:eastAsia="zh-CN" w:bidi="ar-SA"/>
              </w:rPr>
              <w:t>机加工后会对铸件进行打磨，打磨</w:t>
            </w:r>
            <w:r>
              <w:rPr>
                <w:rFonts w:hint="default" w:ascii="Times New Roman" w:hAnsi="Times New Roman" w:eastAsia="宋体" w:cs="Times New Roman"/>
                <w:b w:val="0"/>
                <w:bCs w:val="0"/>
                <w:color w:val="auto"/>
                <w:kern w:val="2"/>
                <w:sz w:val="21"/>
                <w:szCs w:val="24"/>
                <w:lang w:val="en-US" w:eastAsia="zh-CN" w:bidi="ar-SA"/>
              </w:rPr>
              <w:t>过程会产生</w:t>
            </w:r>
            <w:r>
              <w:rPr>
                <w:rFonts w:hint="eastAsia" w:ascii="Times New Roman" w:hAnsi="Times New Roman" w:eastAsia="宋体" w:cs="Times New Roman"/>
                <w:b w:val="0"/>
                <w:bCs w:val="0"/>
                <w:color w:val="auto"/>
                <w:kern w:val="2"/>
                <w:sz w:val="21"/>
                <w:szCs w:val="24"/>
                <w:lang w:val="en-US" w:eastAsia="zh-CN" w:bidi="ar-SA"/>
              </w:rPr>
              <w:t>粉尘，参</w:t>
            </w:r>
            <w:r>
              <w:rPr>
                <w:rFonts w:hint="default" w:ascii="Times New Roman" w:hAnsi="Times New Roman" w:eastAsia="宋体" w:cs="Times New Roman"/>
                <w:b w:val="0"/>
                <w:bCs w:val="0"/>
                <w:color w:val="auto"/>
                <w:kern w:val="2"/>
                <w:sz w:val="21"/>
                <w:szCs w:val="24"/>
                <w:lang w:val="en-US" w:eastAsia="zh-CN" w:bidi="ar-SA"/>
              </w:rPr>
              <w:t>照《</w:t>
            </w:r>
            <w:r>
              <w:rPr>
                <w:rFonts w:hint="eastAsia" w:ascii="Times New Roman" w:hAnsi="Times New Roman" w:eastAsia="宋体" w:cs="Times New Roman"/>
                <w:b w:val="0"/>
                <w:bCs w:val="0"/>
                <w:color w:val="auto"/>
                <w:kern w:val="2"/>
                <w:sz w:val="21"/>
                <w:szCs w:val="24"/>
                <w:lang w:val="en-US" w:eastAsia="zh-CN" w:bidi="ar-SA"/>
              </w:rPr>
              <w:fldChar w:fldCharType="begin"/>
            </w:r>
            <w:r>
              <w:rPr>
                <w:rFonts w:hint="eastAsia" w:ascii="Times New Roman" w:hAnsi="Times New Roman" w:eastAsia="宋体" w:cs="Times New Roman"/>
                <w:b w:val="0"/>
                <w:bCs w:val="0"/>
                <w:color w:val="auto"/>
                <w:kern w:val="2"/>
                <w:sz w:val="21"/>
                <w:szCs w:val="24"/>
                <w:lang w:val="en-US" w:eastAsia="zh-CN" w:bidi="ar-SA"/>
              </w:rPr>
              <w:instrText xml:space="preserve"> HYPERLINK "https://www.mee.gov.cn/xxgk2018/xxgk/xxgk01/202106/W020210624327149500026.pdf" </w:instrText>
            </w:r>
            <w:r>
              <w:rPr>
                <w:rFonts w:hint="eastAsia" w:ascii="Times New Roman" w:hAnsi="Times New Roman" w:eastAsia="宋体" w:cs="Times New Roman"/>
                <w:b w:val="0"/>
                <w:bCs w:val="0"/>
                <w:color w:val="auto"/>
                <w:kern w:val="2"/>
                <w:sz w:val="21"/>
                <w:szCs w:val="24"/>
                <w:lang w:val="en-US" w:eastAsia="zh-CN" w:bidi="ar-SA"/>
              </w:rPr>
              <w:fldChar w:fldCharType="separate"/>
            </w:r>
            <w:r>
              <w:rPr>
                <w:rFonts w:hint="eastAsia" w:ascii="Times New Roman" w:hAnsi="Times New Roman" w:eastAsia="宋体" w:cs="Times New Roman"/>
                <w:b w:val="0"/>
                <w:bCs w:val="0"/>
                <w:color w:val="auto"/>
                <w:kern w:val="2"/>
                <w:sz w:val="21"/>
                <w:szCs w:val="24"/>
                <w:lang w:val="en-US" w:eastAsia="zh-CN" w:bidi="ar-SA"/>
              </w:rPr>
              <w:t>排放源统计调查产排污核算方法和系数手册</w:t>
            </w:r>
            <w:r>
              <w:rPr>
                <w:rFonts w:hint="eastAsia" w:ascii="Times New Roman" w:hAnsi="Times New Roman" w:eastAsia="宋体" w:cs="Times New Roman"/>
                <w:b w:val="0"/>
                <w:bCs w:val="0"/>
                <w:color w:val="auto"/>
                <w:kern w:val="2"/>
                <w:sz w:val="21"/>
                <w:szCs w:val="24"/>
                <w:lang w:val="en-US" w:eastAsia="zh-CN" w:bidi="ar-SA"/>
              </w:rPr>
              <w:fldChar w:fldCharType="end"/>
            </w:r>
            <w:r>
              <w:rPr>
                <w:rFonts w:hint="eastAsia" w:ascii="Times New Roman" w:hAnsi="Times New Roman" w:eastAsia="宋体" w:cs="Times New Roman"/>
                <w:b w:val="0"/>
                <w:bCs w:val="0"/>
                <w:color w:val="auto"/>
                <w:kern w:val="2"/>
                <w:sz w:val="21"/>
                <w:szCs w:val="24"/>
                <w:lang w:val="en-US" w:eastAsia="zh-CN" w:bidi="ar-SA"/>
              </w:rPr>
              <w:t>》</w:t>
            </w:r>
            <w:r>
              <w:rPr>
                <w:rFonts w:hint="default" w:ascii="Times New Roman" w:hAnsi="Times New Roman" w:eastAsia="宋体" w:cs="Times New Roman"/>
                <w:b w:val="0"/>
                <w:bCs w:val="0"/>
                <w:color w:val="auto"/>
                <w:kern w:val="2"/>
                <w:sz w:val="21"/>
                <w:szCs w:val="24"/>
                <w:lang w:val="en-US" w:eastAsia="zh-CN" w:bidi="ar-SA"/>
              </w:rPr>
              <w:t>（机械行业）</w:t>
            </w:r>
            <w:r>
              <w:rPr>
                <w:rFonts w:hint="eastAsia" w:ascii="Times New Roman" w:hAnsi="Times New Roman" w:eastAsia="宋体" w:cs="Times New Roman"/>
                <w:b w:val="0"/>
                <w:bCs w:val="0"/>
                <w:color w:val="auto"/>
                <w:kern w:val="2"/>
                <w:sz w:val="21"/>
                <w:szCs w:val="24"/>
                <w:lang w:val="en-US" w:eastAsia="zh-CN" w:bidi="ar-SA"/>
              </w:rPr>
              <w:t>中抛丸、</w:t>
            </w:r>
            <w:r>
              <w:rPr>
                <w:rFonts w:hint="default" w:ascii="Times New Roman" w:hAnsi="Times New Roman" w:eastAsia="宋体" w:cs="Times New Roman"/>
                <w:b w:val="0"/>
                <w:bCs w:val="0"/>
                <w:color w:val="auto"/>
                <w:kern w:val="2"/>
                <w:sz w:val="21"/>
                <w:szCs w:val="24"/>
                <w:lang w:val="en-US" w:eastAsia="zh-CN" w:bidi="ar-SA"/>
              </w:rPr>
              <w:t>喷砂、打磨、滚筒</w:t>
            </w:r>
            <w:r>
              <w:rPr>
                <w:rFonts w:hint="eastAsia" w:ascii="Times New Roman" w:hAnsi="Times New Roman" w:eastAsia="宋体" w:cs="Times New Roman"/>
                <w:b w:val="0"/>
                <w:bCs w:val="0"/>
                <w:color w:val="auto"/>
                <w:kern w:val="2"/>
                <w:sz w:val="21"/>
                <w:szCs w:val="24"/>
                <w:lang w:val="en-US" w:eastAsia="zh-CN" w:bidi="ar-SA"/>
              </w:rPr>
              <w:t>的</w:t>
            </w:r>
            <w:r>
              <w:rPr>
                <w:rFonts w:hint="default" w:ascii="Times New Roman" w:hAnsi="Times New Roman" w:eastAsia="宋体" w:cs="Times New Roman"/>
                <w:b w:val="0"/>
                <w:bCs w:val="0"/>
                <w:color w:val="auto"/>
                <w:kern w:val="2"/>
                <w:sz w:val="21"/>
                <w:szCs w:val="24"/>
                <w:lang w:val="en-US" w:eastAsia="zh-CN" w:bidi="ar-SA"/>
              </w:rPr>
              <w:t>产污系数，为2.19kg/t-</w:t>
            </w:r>
            <w:r>
              <w:rPr>
                <w:rFonts w:hint="eastAsia" w:ascii="Times New Roman" w:hAnsi="Times New Roman" w:eastAsia="宋体" w:cs="Times New Roman"/>
                <w:b w:val="0"/>
                <w:bCs w:val="0"/>
                <w:color w:val="auto"/>
                <w:kern w:val="2"/>
                <w:sz w:val="21"/>
                <w:szCs w:val="24"/>
                <w:lang w:val="en-US" w:eastAsia="zh-CN" w:bidi="ar-SA"/>
              </w:rPr>
              <w:t>原料，</w:t>
            </w:r>
            <w:r>
              <w:rPr>
                <w:rFonts w:hint="default" w:ascii="Times New Roman" w:hAnsi="Times New Roman" w:eastAsia="宋体" w:cs="Times New Roman"/>
                <w:b w:val="0"/>
                <w:bCs w:val="0"/>
                <w:color w:val="auto"/>
                <w:kern w:val="2"/>
                <w:sz w:val="21"/>
                <w:szCs w:val="24"/>
                <w:lang w:val="en-US" w:eastAsia="zh-CN" w:bidi="ar-SA"/>
              </w:rPr>
              <w:t>项目</w:t>
            </w:r>
            <w:r>
              <w:rPr>
                <w:rFonts w:hint="eastAsia" w:ascii="Times New Roman" w:hAnsi="Times New Roman" w:eastAsia="宋体" w:cs="Times New Roman"/>
                <w:b w:val="0"/>
                <w:bCs w:val="0"/>
                <w:color w:val="auto"/>
                <w:kern w:val="2"/>
                <w:sz w:val="21"/>
                <w:szCs w:val="24"/>
                <w:lang w:val="en-US" w:eastAsia="zh-CN" w:bidi="ar-SA"/>
              </w:rPr>
              <w:t>需要打磨加工</w:t>
            </w:r>
            <w:r>
              <w:rPr>
                <w:rFonts w:hint="default" w:ascii="Times New Roman" w:hAnsi="Times New Roman" w:eastAsia="宋体" w:cs="Times New Roman"/>
                <w:b w:val="0"/>
                <w:bCs w:val="0"/>
                <w:color w:val="auto"/>
                <w:kern w:val="2"/>
                <w:sz w:val="21"/>
                <w:szCs w:val="24"/>
                <w:lang w:val="en-US" w:eastAsia="zh-CN" w:bidi="ar-SA"/>
              </w:rPr>
              <w:t>的</w:t>
            </w:r>
            <w:r>
              <w:rPr>
                <w:rFonts w:hint="eastAsia" w:ascii="Times New Roman" w:hAnsi="Times New Roman" w:eastAsia="宋体" w:cs="Times New Roman"/>
                <w:b w:val="0"/>
                <w:bCs w:val="0"/>
                <w:color w:val="auto"/>
                <w:kern w:val="2"/>
                <w:sz w:val="21"/>
                <w:szCs w:val="24"/>
                <w:lang w:val="en-US" w:eastAsia="zh-CN" w:bidi="ar-SA"/>
              </w:rPr>
              <w:t>铝铸件为1000</w:t>
            </w:r>
            <w:r>
              <w:rPr>
                <w:rFonts w:hint="default" w:ascii="Times New Roman" w:hAnsi="Times New Roman" w:eastAsia="宋体" w:cs="Times New Roman"/>
                <w:b w:val="0"/>
                <w:bCs w:val="0"/>
                <w:color w:val="auto"/>
                <w:kern w:val="2"/>
                <w:sz w:val="21"/>
                <w:szCs w:val="24"/>
                <w:lang w:val="en-US" w:eastAsia="zh-CN" w:bidi="ar-SA"/>
              </w:rPr>
              <w:t>t/a，</w:t>
            </w:r>
            <w:r>
              <w:rPr>
                <w:rFonts w:hint="eastAsia" w:cs="Times New Roman"/>
                <w:b w:val="0"/>
                <w:bCs w:val="0"/>
                <w:color w:val="auto"/>
                <w:kern w:val="2"/>
                <w:sz w:val="21"/>
                <w:szCs w:val="24"/>
                <w:lang w:val="en-US" w:eastAsia="zh-CN" w:bidi="ar-SA"/>
              </w:rPr>
              <w:t>年工作时间7200h</w:t>
            </w:r>
            <w:r>
              <w:rPr>
                <w:rFonts w:hint="default" w:ascii="Times New Roman" w:hAnsi="Times New Roman" w:eastAsia="宋体" w:cs="Times New Roman"/>
                <w:b w:val="0"/>
                <w:bCs w:val="0"/>
                <w:color w:val="auto"/>
                <w:kern w:val="2"/>
                <w:sz w:val="21"/>
                <w:szCs w:val="24"/>
                <w:lang w:val="en-US" w:eastAsia="zh-CN" w:bidi="ar-SA"/>
              </w:rPr>
              <w:t>计</w:t>
            </w:r>
            <w:r>
              <w:rPr>
                <w:rFonts w:hint="eastAsia" w:cs="Times New Roman"/>
                <w:b w:val="0"/>
                <w:bCs w:val="0"/>
                <w:color w:val="auto"/>
                <w:kern w:val="2"/>
                <w:sz w:val="21"/>
                <w:szCs w:val="24"/>
                <w:lang w:val="en-US" w:eastAsia="zh-CN" w:bidi="ar-SA"/>
              </w:rPr>
              <w:t>，</w:t>
            </w:r>
            <w:r>
              <w:rPr>
                <w:rFonts w:hint="eastAsia" w:ascii="Times New Roman" w:hAnsi="Times New Roman" w:eastAsia="宋体" w:cs="Times New Roman"/>
                <w:b w:val="0"/>
                <w:bCs w:val="0"/>
                <w:color w:val="auto"/>
                <w:kern w:val="2"/>
                <w:sz w:val="21"/>
                <w:szCs w:val="24"/>
                <w:lang w:val="en-US" w:eastAsia="zh-CN" w:bidi="ar-SA"/>
              </w:rPr>
              <w:t>打磨粉尘</w:t>
            </w:r>
            <w:r>
              <w:rPr>
                <w:rFonts w:hint="default" w:ascii="Times New Roman" w:hAnsi="Times New Roman" w:eastAsia="宋体" w:cs="Times New Roman"/>
                <w:b w:val="0"/>
                <w:bCs w:val="0"/>
                <w:color w:val="auto"/>
                <w:kern w:val="2"/>
                <w:sz w:val="21"/>
                <w:szCs w:val="24"/>
                <w:lang w:val="en-US" w:eastAsia="zh-CN" w:bidi="ar-SA"/>
              </w:rPr>
              <w:t>产生量为</w:t>
            </w:r>
            <w:r>
              <w:rPr>
                <w:rFonts w:hint="eastAsia" w:ascii="Times New Roman" w:hAnsi="Times New Roman" w:eastAsia="宋体" w:cs="Times New Roman"/>
                <w:b w:val="0"/>
                <w:bCs w:val="0"/>
                <w:color w:val="auto"/>
                <w:kern w:val="2"/>
                <w:sz w:val="21"/>
                <w:szCs w:val="24"/>
                <w:lang w:val="en-US" w:eastAsia="zh-CN" w:bidi="ar-SA"/>
              </w:rPr>
              <w:t>2.19</w:t>
            </w:r>
            <w:r>
              <w:rPr>
                <w:rFonts w:hint="default" w:ascii="Times New Roman" w:hAnsi="Times New Roman" w:eastAsia="宋体" w:cs="Times New Roman"/>
                <w:b w:val="0"/>
                <w:bCs w:val="0"/>
                <w:color w:val="auto"/>
                <w:kern w:val="2"/>
                <w:sz w:val="21"/>
                <w:szCs w:val="24"/>
                <w:lang w:val="en-US" w:eastAsia="zh-CN" w:bidi="ar-SA"/>
              </w:rPr>
              <w:t>t/a；</w:t>
            </w:r>
            <w:r>
              <w:rPr>
                <w:rFonts w:hint="eastAsia" w:ascii="Times New Roman" w:hAnsi="Times New Roman" w:eastAsia="宋体" w:cs="Times New Roman"/>
                <w:b w:val="0"/>
                <w:bCs w:val="0"/>
                <w:color w:val="auto"/>
                <w:kern w:val="2"/>
                <w:sz w:val="21"/>
                <w:szCs w:val="24"/>
                <w:lang w:val="en-US" w:eastAsia="zh-CN" w:bidi="ar-SA"/>
              </w:rPr>
              <w:t>项目砂轮</w:t>
            </w:r>
            <w:r>
              <w:rPr>
                <w:rFonts w:hint="eastAsia" w:cs="Times New Roman"/>
                <w:b w:val="0"/>
                <w:bCs w:val="0"/>
                <w:color w:val="auto"/>
                <w:kern w:val="2"/>
                <w:sz w:val="21"/>
                <w:szCs w:val="24"/>
                <w:lang w:val="en-US" w:eastAsia="zh-CN" w:bidi="ar-SA"/>
              </w:rPr>
              <w:t>打磨</w:t>
            </w:r>
            <w:r>
              <w:rPr>
                <w:rFonts w:hint="eastAsia" w:ascii="Times New Roman" w:hAnsi="Times New Roman" w:eastAsia="宋体" w:cs="Times New Roman"/>
                <w:b w:val="0"/>
                <w:bCs w:val="0"/>
                <w:color w:val="auto"/>
                <w:kern w:val="2"/>
                <w:sz w:val="21"/>
                <w:szCs w:val="24"/>
                <w:lang w:val="en-US" w:eastAsia="zh-CN" w:bidi="ar-SA"/>
              </w:rPr>
              <w:t>经移动式除尘器（</w:t>
            </w:r>
            <w:r>
              <w:rPr>
                <w:rFonts w:hint="eastAsia" w:cs="Times New Roman"/>
                <w:b w:val="0"/>
                <w:bCs w:val="0"/>
                <w:color w:val="auto"/>
                <w:kern w:val="2"/>
                <w:sz w:val="21"/>
                <w:szCs w:val="24"/>
                <w:lang w:val="en-US" w:eastAsia="zh-CN" w:bidi="ar-SA"/>
              </w:rPr>
              <w:t>集气罩</w:t>
            </w:r>
            <w:r>
              <w:rPr>
                <w:rFonts w:hint="eastAsia"/>
                <w:bCs/>
                <w:color w:val="auto"/>
                <w:szCs w:val="21"/>
              </w:rPr>
              <w:t>收集效率约为90%，处理效率约95%</w:t>
            </w:r>
            <w:r>
              <w:rPr>
                <w:rFonts w:hint="eastAsia" w:ascii="Times New Roman" w:hAnsi="Times New Roman" w:eastAsia="宋体" w:cs="Times New Roman"/>
                <w:b w:val="0"/>
                <w:bCs w:val="0"/>
                <w:color w:val="auto"/>
                <w:kern w:val="2"/>
                <w:sz w:val="21"/>
                <w:szCs w:val="24"/>
                <w:lang w:val="en-US" w:eastAsia="zh-CN" w:bidi="ar-SA"/>
              </w:rPr>
              <w:t>）处理后</w:t>
            </w:r>
            <w:r>
              <w:rPr>
                <w:rFonts w:hint="default" w:ascii="Times New Roman" w:hAnsi="Times New Roman" w:eastAsia="宋体" w:cs="Times New Roman"/>
                <w:b w:val="0"/>
                <w:bCs w:val="0"/>
                <w:color w:val="auto"/>
                <w:kern w:val="2"/>
                <w:sz w:val="21"/>
                <w:szCs w:val="24"/>
                <w:lang w:val="en-US" w:eastAsia="zh-CN" w:bidi="ar-SA"/>
              </w:rPr>
              <w:t>无组织排放</w:t>
            </w:r>
            <w:r>
              <w:rPr>
                <w:rFonts w:hint="eastAsia" w:cs="Times New Roman"/>
                <w:b w:val="0"/>
                <w:bCs w:val="0"/>
                <w:color w:val="auto"/>
                <w:kern w:val="2"/>
                <w:sz w:val="21"/>
                <w:szCs w:val="24"/>
                <w:lang w:val="en-US" w:eastAsia="zh-CN" w:bidi="ar-SA"/>
              </w:rPr>
              <w:t>。</w:t>
            </w:r>
          </w:p>
          <w:p>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rPr>
                <w:rFonts w:hint="eastAsia" w:ascii="Times New Roman" w:hAnsi="Times New Roman" w:eastAsia="宋体" w:cs="Times New Roman"/>
                <w:b w:val="0"/>
                <w:bCs w:val="0"/>
                <w:color w:val="auto"/>
                <w:kern w:val="2"/>
                <w:sz w:val="21"/>
                <w:szCs w:val="24"/>
                <w:lang w:val="en-US" w:eastAsia="zh-CN" w:bidi="ar-SA"/>
              </w:rPr>
            </w:pPr>
            <w:r>
              <w:rPr>
                <w:rFonts w:hint="eastAsia" w:ascii="Times New Roman" w:hAnsi="Times New Roman" w:eastAsia="宋体" w:cs="Times New Roman"/>
                <w:b w:val="0"/>
                <w:bCs w:val="0"/>
                <w:color w:val="auto"/>
                <w:kern w:val="2"/>
                <w:sz w:val="21"/>
                <w:szCs w:val="24"/>
                <w:lang w:val="en-US" w:eastAsia="zh-CN" w:bidi="ar-SA"/>
              </w:rPr>
              <w:t>综上，改扩建后全厂</w:t>
            </w:r>
            <w:r>
              <w:rPr>
                <w:rFonts w:hint="default" w:ascii="Times New Roman" w:hAnsi="Times New Roman" w:eastAsia="宋体" w:cs="Times New Roman"/>
                <w:b w:val="0"/>
                <w:bCs w:val="0"/>
                <w:color w:val="auto"/>
                <w:kern w:val="2"/>
                <w:sz w:val="21"/>
                <w:szCs w:val="24"/>
                <w:lang w:val="en-US" w:eastAsia="zh-CN" w:bidi="ar-SA"/>
              </w:rPr>
              <w:t>维修</w:t>
            </w:r>
            <w:r>
              <w:rPr>
                <w:rFonts w:hint="eastAsia" w:ascii="Times New Roman" w:hAnsi="Times New Roman" w:eastAsia="宋体" w:cs="Times New Roman"/>
                <w:b w:val="0"/>
                <w:bCs w:val="0"/>
                <w:color w:val="auto"/>
                <w:kern w:val="2"/>
                <w:sz w:val="21"/>
                <w:szCs w:val="24"/>
                <w:lang w:val="en-US" w:eastAsia="zh-CN" w:bidi="ar-SA"/>
              </w:rPr>
              <w:t>切割粉尘无组织排放量为</w:t>
            </w:r>
            <w:r>
              <w:rPr>
                <w:rFonts w:hint="eastAsia" w:cs="Times New Roman"/>
                <w:b w:val="0"/>
                <w:bCs w:val="0"/>
                <w:color w:val="auto"/>
                <w:kern w:val="2"/>
                <w:sz w:val="21"/>
                <w:szCs w:val="24"/>
                <w:lang w:val="en-US" w:eastAsia="zh-CN" w:bidi="ar-SA"/>
              </w:rPr>
              <w:t>0.3176</w:t>
            </w:r>
            <w:r>
              <w:rPr>
                <w:rFonts w:hint="eastAsia" w:ascii="Times New Roman" w:hAnsi="Times New Roman" w:eastAsia="宋体" w:cs="Times New Roman"/>
                <w:b w:val="0"/>
                <w:bCs w:val="0"/>
                <w:color w:val="auto"/>
                <w:kern w:val="2"/>
                <w:sz w:val="21"/>
                <w:szCs w:val="24"/>
                <w:lang w:val="en-US" w:eastAsia="zh-CN" w:bidi="ar-SA"/>
              </w:rPr>
              <w:t>t/a</w:t>
            </w:r>
            <w:r>
              <w:rPr>
                <w:rFonts w:hint="eastAsia" w:cs="Times New Roman"/>
                <w:b w:val="0"/>
                <w:bCs w:val="0"/>
                <w:color w:val="auto"/>
                <w:kern w:val="2"/>
                <w:sz w:val="21"/>
                <w:szCs w:val="24"/>
                <w:lang w:val="en-US" w:eastAsia="zh-CN" w:bidi="ar-SA"/>
              </w:rPr>
              <w:t>，</w:t>
            </w:r>
            <w:r>
              <w:rPr>
                <w:rFonts w:hint="eastAsia" w:ascii="Times New Roman" w:hAnsi="Times New Roman" w:eastAsia="宋体" w:cs="Times New Roman"/>
                <w:b w:val="0"/>
                <w:bCs w:val="0"/>
                <w:color w:val="auto"/>
                <w:kern w:val="2"/>
                <w:sz w:val="21"/>
                <w:szCs w:val="24"/>
                <w:lang w:val="en-US" w:eastAsia="zh-CN" w:bidi="ar-SA"/>
              </w:rPr>
              <w:t>排放速率为0.</w:t>
            </w:r>
            <w:r>
              <w:rPr>
                <w:rFonts w:hint="eastAsia" w:cs="Times New Roman"/>
                <w:b w:val="0"/>
                <w:bCs w:val="0"/>
                <w:color w:val="auto"/>
                <w:kern w:val="2"/>
                <w:sz w:val="21"/>
                <w:szCs w:val="24"/>
                <w:lang w:val="en-US" w:eastAsia="zh-CN" w:bidi="ar-SA"/>
              </w:rPr>
              <w:t>0441</w:t>
            </w:r>
            <w:r>
              <w:rPr>
                <w:rFonts w:hint="eastAsia" w:ascii="Times New Roman" w:hAnsi="Times New Roman" w:eastAsia="宋体" w:cs="Times New Roman"/>
                <w:b w:val="0"/>
                <w:bCs w:val="0"/>
                <w:color w:val="auto"/>
                <w:kern w:val="2"/>
                <w:sz w:val="21"/>
                <w:szCs w:val="24"/>
                <w:lang w:val="en-US" w:eastAsia="zh-CN" w:bidi="ar-SA"/>
              </w:rPr>
              <w:t>kg/h</w:t>
            </w:r>
            <w:r>
              <w:rPr>
                <w:rFonts w:hint="eastAsia" w:ascii="Times New Roman" w:cs="Times New Roman"/>
                <w:b w:val="0"/>
                <w:bCs w:val="0"/>
                <w:color w:val="auto"/>
                <w:kern w:val="2"/>
                <w:sz w:val="21"/>
                <w:szCs w:val="24"/>
                <w:lang w:val="en-US" w:eastAsia="zh-CN" w:bidi="ar-SA"/>
              </w:rPr>
              <w:t>。</w:t>
            </w:r>
          </w:p>
          <w:p>
            <w:pPr>
              <w:spacing w:line="500" w:lineRule="exact"/>
              <w:ind w:firstLine="420" w:firstLineChars="200"/>
              <w:rPr>
                <w:rFonts w:hint="eastAsia"/>
                <w:bCs/>
                <w:color w:val="auto"/>
                <w:szCs w:val="21"/>
              </w:rPr>
            </w:pPr>
            <w:r>
              <w:rPr>
                <w:rFonts w:hint="eastAsia"/>
                <w:b w:val="0"/>
                <w:bCs/>
                <w:color w:val="auto"/>
                <w:szCs w:val="21"/>
                <w:lang w:eastAsia="zh-CN"/>
              </w:rPr>
              <w:t>（</w:t>
            </w:r>
            <w:r>
              <w:rPr>
                <w:rFonts w:hint="eastAsia"/>
                <w:b w:val="0"/>
                <w:bCs/>
                <w:color w:val="auto"/>
                <w:szCs w:val="21"/>
                <w:lang w:val="en-US" w:eastAsia="zh-CN"/>
              </w:rPr>
              <w:t>6</w:t>
            </w:r>
            <w:r>
              <w:rPr>
                <w:rFonts w:hint="eastAsia"/>
                <w:b w:val="0"/>
                <w:bCs/>
                <w:color w:val="auto"/>
                <w:szCs w:val="21"/>
                <w:lang w:eastAsia="zh-CN"/>
              </w:rPr>
              <w:t>）</w:t>
            </w:r>
            <w:r>
              <w:rPr>
                <w:rFonts w:hint="eastAsia"/>
                <w:b w:val="0"/>
                <w:bCs/>
                <w:color w:val="auto"/>
                <w:szCs w:val="21"/>
              </w:rPr>
              <w:t>食堂烟油：</w:t>
            </w:r>
            <w:r>
              <w:rPr>
                <w:rFonts w:hint="eastAsia"/>
                <w:bCs/>
                <w:color w:val="auto"/>
                <w:szCs w:val="21"/>
              </w:rPr>
              <w:t>项目就餐人员为</w:t>
            </w:r>
            <w:r>
              <w:rPr>
                <w:rFonts w:hint="eastAsia"/>
                <w:bCs/>
                <w:color w:val="auto"/>
                <w:szCs w:val="21"/>
                <w:lang w:val="en-US" w:eastAsia="zh-CN"/>
              </w:rPr>
              <w:t>80</w:t>
            </w:r>
            <w:r>
              <w:rPr>
                <w:rFonts w:hint="eastAsia"/>
                <w:bCs/>
                <w:color w:val="auto"/>
                <w:szCs w:val="21"/>
              </w:rPr>
              <w:t>人，食堂设有4个灶头，</w:t>
            </w:r>
            <w:r>
              <w:rPr>
                <w:color w:val="auto"/>
              </w:rPr>
              <w:t>符合中型的</w:t>
            </w:r>
            <w:r>
              <w:rPr>
                <w:rFonts w:hint="eastAsia"/>
                <w:color w:val="auto"/>
              </w:rPr>
              <w:t>食堂规模</w:t>
            </w:r>
            <w:r>
              <w:rPr>
                <w:rFonts w:hint="eastAsia"/>
                <w:bCs/>
                <w:color w:val="auto"/>
                <w:szCs w:val="21"/>
              </w:rPr>
              <w:t>，人均食用油为30g/人•d，由于该项目食堂非营业性餐饮店，其炸、煎等烹饪手段相对较少，其油烟挥发率按2.5%取值，则食堂油烟产生量为0.0</w:t>
            </w:r>
            <w:r>
              <w:rPr>
                <w:rFonts w:hint="eastAsia"/>
                <w:bCs/>
                <w:color w:val="auto"/>
                <w:szCs w:val="21"/>
                <w:lang w:val="en-US" w:eastAsia="zh-CN"/>
              </w:rPr>
              <w:t>18</w:t>
            </w:r>
            <w:r>
              <w:rPr>
                <w:rFonts w:hint="eastAsia"/>
                <w:bCs/>
                <w:color w:val="auto"/>
                <w:szCs w:val="21"/>
              </w:rPr>
              <w:t>t/a。项目油烟净化装置总排风量为6000m</w:t>
            </w:r>
            <w:r>
              <w:rPr>
                <w:rFonts w:hint="eastAsia"/>
                <w:bCs/>
                <w:color w:val="auto"/>
                <w:szCs w:val="21"/>
                <w:vertAlign w:val="superscript"/>
              </w:rPr>
              <w:t>3</w:t>
            </w:r>
            <w:r>
              <w:rPr>
                <w:rFonts w:hint="eastAsia"/>
                <w:bCs/>
                <w:color w:val="auto"/>
                <w:szCs w:val="21"/>
              </w:rPr>
              <w:t>/h，每日餐饮时间按4h计算，则油烟有组织产生浓度为</w:t>
            </w:r>
            <w:r>
              <w:rPr>
                <w:rFonts w:hint="eastAsia"/>
                <w:bCs/>
                <w:color w:val="auto"/>
                <w:szCs w:val="21"/>
                <w:lang w:val="en-US" w:eastAsia="zh-CN"/>
              </w:rPr>
              <w:t>2.5</w:t>
            </w:r>
            <w:r>
              <w:rPr>
                <w:rFonts w:hint="eastAsia"/>
                <w:bCs/>
                <w:color w:val="auto"/>
                <w:szCs w:val="21"/>
              </w:rPr>
              <w:t>mg/m</w:t>
            </w:r>
            <w:r>
              <w:rPr>
                <w:rFonts w:hint="eastAsia"/>
                <w:bCs/>
                <w:color w:val="auto"/>
                <w:szCs w:val="21"/>
                <w:vertAlign w:val="superscript"/>
              </w:rPr>
              <w:t>3</w:t>
            </w:r>
            <w:r>
              <w:rPr>
                <w:rFonts w:hint="eastAsia"/>
                <w:bCs/>
                <w:color w:val="auto"/>
                <w:szCs w:val="21"/>
              </w:rPr>
              <w:t>。项目食堂依托现有油烟净化装置，油烟净化率为75%，经净化后的油烟通过排气筒高于屋顶排放，则项目食堂油烟有组织排放量为0.00</w:t>
            </w:r>
            <w:r>
              <w:rPr>
                <w:rFonts w:hint="eastAsia"/>
                <w:bCs/>
                <w:color w:val="auto"/>
                <w:szCs w:val="21"/>
                <w:lang w:val="en-US" w:eastAsia="zh-CN"/>
              </w:rPr>
              <w:t>45</w:t>
            </w:r>
            <w:r>
              <w:rPr>
                <w:rFonts w:hint="eastAsia"/>
                <w:bCs/>
                <w:color w:val="auto"/>
                <w:szCs w:val="21"/>
              </w:rPr>
              <w:t>t/a，排放浓度为0.</w:t>
            </w:r>
            <w:r>
              <w:rPr>
                <w:rFonts w:hint="eastAsia"/>
                <w:bCs/>
                <w:color w:val="auto"/>
                <w:szCs w:val="21"/>
                <w:lang w:val="en-US" w:eastAsia="zh-CN"/>
              </w:rPr>
              <w:t>63</w:t>
            </w:r>
            <w:r>
              <w:rPr>
                <w:rFonts w:hint="eastAsia"/>
                <w:bCs/>
                <w:color w:val="auto"/>
                <w:szCs w:val="21"/>
              </w:rPr>
              <w:t>mg/m</w:t>
            </w:r>
            <w:r>
              <w:rPr>
                <w:rFonts w:hint="eastAsia"/>
                <w:bCs/>
                <w:color w:val="auto"/>
                <w:szCs w:val="21"/>
                <w:vertAlign w:val="superscript"/>
              </w:rPr>
              <w:t>3</w:t>
            </w:r>
            <w:r>
              <w:rPr>
                <w:rFonts w:hint="eastAsia"/>
                <w:bCs/>
                <w:color w:val="auto"/>
                <w:szCs w:val="21"/>
              </w:rPr>
              <w:t>。</w:t>
            </w:r>
          </w:p>
          <w:p>
            <w:pPr>
              <w:spacing w:line="500" w:lineRule="exact"/>
              <w:ind w:firstLine="420" w:firstLineChars="200"/>
              <w:rPr>
                <w:rFonts w:hint="eastAsia"/>
                <w:color w:val="auto"/>
              </w:rPr>
            </w:pPr>
            <w:r>
              <w:rPr>
                <w:rFonts w:hint="eastAsia"/>
                <w:bCs/>
                <w:color w:val="auto"/>
                <w:szCs w:val="21"/>
              </w:rPr>
              <w:t>根据</w:t>
            </w:r>
            <w:r>
              <w:rPr>
                <w:color w:val="auto"/>
              </w:rPr>
              <w:t>《饮食业油烟排放标准（试行）》（GB18483-2001）</w:t>
            </w:r>
            <w:r>
              <w:rPr>
                <w:rFonts w:hint="eastAsia"/>
                <w:bCs/>
                <w:color w:val="auto"/>
                <w:szCs w:val="21"/>
              </w:rPr>
              <w:t>7.1安装并正常运行符合4.2要求的油烟净化设施视同达标。因此本项目油烟废气能达到饮食业油烟排放标准要求。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firstLine="420" w:firstLineChars="200"/>
              <w:textAlignment w:val="auto"/>
              <w:rPr>
                <w:rFonts w:hint="eastAsia" w:ascii="Times New Roman" w:hAnsi="Times New Roman" w:eastAsia="宋体" w:cs="Times New Roman"/>
                <w:b/>
                <w:bCs/>
                <w:color w:val="auto"/>
                <w:lang w:val="en-US" w:eastAsia="zh-CN"/>
              </w:rPr>
            </w:pPr>
            <w:r>
              <w:rPr>
                <w:rFonts w:hint="eastAsia" w:cs="Times New Roman"/>
                <w:b w:val="0"/>
                <w:bCs/>
                <w:color w:val="auto"/>
                <w:sz w:val="21"/>
                <w:szCs w:val="21"/>
                <w:lang w:val="en-US" w:eastAsia="zh-CN"/>
              </w:rPr>
              <w:t>（7）</w:t>
            </w:r>
            <w:r>
              <w:rPr>
                <w:rFonts w:hint="eastAsia" w:ascii="Times New Roman" w:hAnsi="Times New Roman" w:eastAsia="宋体" w:cs="Times New Roman"/>
                <w:b w:val="0"/>
                <w:bCs/>
                <w:color w:val="auto"/>
                <w:sz w:val="21"/>
                <w:szCs w:val="21"/>
                <w:lang w:val="en-US" w:eastAsia="zh-CN"/>
              </w:rPr>
              <w:t>危废</w:t>
            </w:r>
            <w:r>
              <w:rPr>
                <w:rFonts w:hint="eastAsia" w:ascii="Times New Roman" w:hAnsi="Times New Roman" w:cs="Times New Roman"/>
                <w:color w:val="auto"/>
                <w:kern w:val="0"/>
                <w:sz w:val="21"/>
                <w:szCs w:val="21"/>
                <w:lang w:eastAsia="zh-CN"/>
              </w:rPr>
              <w:t>仓库废气：</w:t>
            </w:r>
            <w:r>
              <w:rPr>
                <w:rFonts w:hint="eastAsia" w:ascii="Times New Roman" w:hAnsi="Times New Roman" w:cs="Times New Roman"/>
                <w:color w:val="auto"/>
                <w:kern w:val="0"/>
                <w:sz w:val="21"/>
                <w:szCs w:val="21"/>
                <w:lang w:val="en-US" w:eastAsia="zh-CN"/>
              </w:rPr>
              <w:t>本项目危险废物仓库储存的危险废物主要为</w:t>
            </w:r>
            <w:r>
              <w:rPr>
                <w:rFonts w:hint="eastAsia" w:cs="Times New Roman"/>
                <w:color w:val="auto"/>
                <w:sz w:val="21"/>
                <w:szCs w:val="21"/>
                <w:lang w:eastAsia="zh-CN"/>
              </w:rPr>
              <w:t>废切削液</w:t>
            </w:r>
            <w:r>
              <w:rPr>
                <w:rFonts w:hint="eastAsia" w:ascii="Times New Roman" w:hAnsi="Times New Roman" w:cs="Times New Roman"/>
                <w:color w:val="auto"/>
                <w:kern w:val="0"/>
                <w:sz w:val="21"/>
                <w:szCs w:val="21"/>
                <w:lang w:val="en-US" w:eastAsia="zh-CN"/>
              </w:rPr>
              <w:t>等，会产生少量的异味产生，由于存储量及周期性相对较短，本项目不定量分析，仅进行定性分析。本项目液体包装物均采取桶装存储并加盖减少异味产生</w:t>
            </w:r>
            <w:r>
              <w:rPr>
                <w:rFonts w:hint="eastAsia" w:ascii="Times New Roman" w:hAnsi="Times New Roman" w:eastAsia="宋体" w:cs="Times New Roman"/>
                <w:bCs/>
                <w:color w:val="auto"/>
                <w:sz w:val="21"/>
                <w:szCs w:val="21"/>
                <w:lang w:val="en-US" w:eastAsia="zh-CN"/>
              </w:rPr>
              <w:t>。</w:t>
            </w:r>
            <w:r>
              <w:rPr>
                <w:rFonts w:hint="default" w:ascii="Times New Roman" w:hAnsi="Times New Roman" w:eastAsia="宋体" w:cs="Times New Roman"/>
                <w:bCs/>
                <w:color w:val="auto"/>
                <w:sz w:val="21"/>
                <w:szCs w:val="21"/>
                <w:lang w:val="en-US" w:eastAsia="zh-CN"/>
              </w:rPr>
              <w:t>在采取可靠的通风设施前提下，危废仓库排放的异味较少，厂界可实现达标排放，不改变周边环境质量</w:t>
            </w:r>
            <w:r>
              <w:rPr>
                <w:rFonts w:hint="eastAsia" w:ascii="Times New Roman" w:hAnsi="Times New Roman" w:cs="Times New Roman"/>
                <w:color w:val="auto"/>
                <w:kern w:val="0"/>
                <w:sz w:val="21"/>
                <w:szCs w:val="21"/>
                <w:lang w:val="en-US" w:eastAsia="zh-CN"/>
              </w:rPr>
              <w:t>。</w:t>
            </w:r>
          </w:p>
          <w:p>
            <w:pPr>
              <w:spacing w:line="500" w:lineRule="exact"/>
              <w:ind w:firstLine="422" w:firstLineChars="200"/>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2、污染源参数</w:t>
            </w:r>
          </w:p>
          <w:p>
            <w:pPr>
              <w:autoSpaceDE w:val="0"/>
              <w:autoSpaceDN w:val="0"/>
              <w:adjustRightInd w:val="0"/>
              <w:spacing w:line="500" w:lineRule="exact"/>
              <w:ind w:firstLine="422"/>
              <w:jc w:val="center"/>
              <w:rPr>
                <w:b/>
                <w:bCs/>
                <w:color w:val="auto"/>
              </w:rPr>
            </w:pPr>
            <w:r>
              <w:rPr>
                <w:b/>
                <w:bCs/>
                <w:color w:val="auto"/>
              </w:rPr>
              <w:t>表</w:t>
            </w:r>
            <w:r>
              <w:rPr>
                <w:rFonts w:hint="eastAsia"/>
                <w:b/>
                <w:bCs/>
                <w:color w:val="auto"/>
              </w:rPr>
              <w:t>4-</w:t>
            </w:r>
            <w:r>
              <w:rPr>
                <w:rFonts w:hint="eastAsia"/>
                <w:b/>
                <w:bCs/>
                <w:color w:val="auto"/>
                <w:lang w:val="en-US" w:eastAsia="zh-CN"/>
              </w:rPr>
              <w:t>4</w:t>
            </w:r>
            <w:r>
              <w:rPr>
                <w:b/>
                <w:bCs/>
                <w:color w:val="auto"/>
              </w:rPr>
              <w:t xml:space="preserve"> 非正常排放参数表</w:t>
            </w:r>
          </w:p>
          <w:tbl>
            <w:tblPr>
              <w:tblStyle w:val="2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81"/>
              <w:gridCol w:w="1690"/>
              <w:gridCol w:w="1200"/>
              <w:gridCol w:w="1125"/>
              <w:gridCol w:w="1087"/>
              <w:gridCol w:w="938"/>
              <w:gridCol w:w="9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 w:hRule="atLeast"/>
                <w:jc w:val="center"/>
              </w:trPr>
              <w:tc>
                <w:tcPr>
                  <w:tcW w:w="981" w:type="dxa"/>
                  <w:noWrap w:val="0"/>
                  <w:vAlign w:val="center"/>
                </w:tcPr>
                <w:p>
                  <w:pPr>
                    <w:jc w:val="center"/>
                    <w:rPr>
                      <w:rFonts w:hint="eastAsia"/>
                      <w:color w:val="auto"/>
                      <w:sz w:val="18"/>
                      <w:szCs w:val="18"/>
                    </w:rPr>
                  </w:pPr>
                  <w:r>
                    <w:rPr>
                      <w:color w:val="auto"/>
                      <w:sz w:val="18"/>
                      <w:szCs w:val="18"/>
                    </w:rPr>
                    <w:t>非正常</w:t>
                  </w:r>
                </w:p>
                <w:p>
                  <w:pPr>
                    <w:jc w:val="center"/>
                    <w:rPr>
                      <w:color w:val="auto"/>
                      <w:sz w:val="18"/>
                      <w:szCs w:val="18"/>
                    </w:rPr>
                  </w:pPr>
                  <w:r>
                    <w:rPr>
                      <w:color w:val="auto"/>
                      <w:sz w:val="18"/>
                      <w:szCs w:val="18"/>
                    </w:rPr>
                    <w:t>排放源</w:t>
                  </w:r>
                </w:p>
              </w:tc>
              <w:tc>
                <w:tcPr>
                  <w:tcW w:w="1690" w:type="dxa"/>
                  <w:noWrap w:val="0"/>
                  <w:vAlign w:val="center"/>
                </w:tcPr>
                <w:p>
                  <w:pPr>
                    <w:jc w:val="center"/>
                    <w:rPr>
                      <w:rFonts w:hint="eastAsia"/>
                      <w:color w:val="auto"/>
                      <w:sz w:val="18"/>
                      <w:szCs w:val="18"/>
                    </w:rPr>
                  </w:pPr>
                  <w:r>
                    <w:rPr>
                      <w:color w:val="auto"/>
                      <w:sz w:val="18"/>
                      <w:szCs w:val="18"/>
                    </w:rPr>
                    <w:t>非正常</w:t>
                  </w:r>
                </w:p>
                <w:p>
                  <w:pPr>
                    <w:jc w:val="center"/>
                    <w:rPr>
                      <w:color w:val="auto"/>
                      <w:sz w:val="18"/>
                      <w:szCs w:val="18"/>
                    </w:rPr>
                  </w:pPr>
                  <w:r>
                    <w:rPr>
                      <w:color w:val="auto"/>
                      <w:sz w:val="18"/>
                      <w:szCs w:val="18"/>
                    </w:rPr>
                    <w:t>排放原因</w:t>
                  </w:r>
                </w:p>
              </w:tc>
              <w:tc>
                <w:tcPr>
                  <w:tcW w:w="1200" w:type="dxa"/>
                  <w:noWrap w:val="0"/>
                  <w:vAlign w:val="center"/>
                </w:tcPr>
                <w:p>
                  <w:pPr>
                    <w:jc w:val="center"/>
                    <w:rPr>
                      <w:color w:val="auto"/>
                      <w:sz w:val="18"/>
                      <w:szCs w:val="18"/>
                    </w:rPr>
                  </w:pPr>
                  <w:r>
                    <w:rPr>
                      <w:color w:val="auto"/>
                      <w:sz w:val="18"/>
                      <w:szCs w:val="18"/>
                    </w:rPr>
                    <w:t>污染物</w:t>
                  </w:r>
                </w:p>
              </w:tc>
              <w:tc>
                <w:tcPr>
                  <w:tcW w:w="1125" w:type="dxa"/>
                  <w:noWrap w:val="0"/>
                  <w:vAlign w:val="center"/>
                </w:tcPr>
                <w:p>
                  <w:pPr>
                    <w:jc w:val="center"/>
                    <w:rPr>
                      <w:color w:val="auto"/>
                      <w:sz w:val="18"/>
                      <w:szCs w:val="18"/>
                    </w:rPr>
                  </w:pPr>
                  <w:r>
                    <w:rPr>
                      <w:color w:val="auto"/>
                      <w:sz w:val="18"/>
                      <w:szCs w:val="18"/>
                    </w:rPr>
                    <w:t>非正常</w:t>
                  </w:r>
                  <w:r>
                    <w:rPr>
                      <w:rFonts w:hint="eastAsia" w:ascii="Times New Roman" w:hAnsi="Times New Roman" w:eastAsia="宋体" w:cs="Times New Roman"/>
                      <w:color w:val="auto"/>
                      <w:sz w:val="18"/>
                      <w:szCs w:val="18"/>
                      <w:lang w:eastAsia="zh-CN"/>
                    </w:rPr>
                    <w:t>排放量</w:t>
                  </w:r>
                  <w:r>
                    <w:rPr>
                      <w:rFonts w:hint="eastAsia" w:ascii="Times New Roman" w:hAnsi="Times New Roman" w:eastAsia="宋体" w:cs="Times New Roman"/>
                      <w:color w:val="auto"/>
                      <w:sz w:val="18"/>
                      <w:szCs w:val="18"/>
                    </w:rPr>
                    <w:t>/</w:t>
                  </w:r>
                  <w:r>
                    <w:rPr>
                      <w:rFonts w:hint="eastAsia"/>
                      <w:color w:val="auto"/>
                      <w:sz w:val="18"/>
                      <w:szCs w:val="18"/>
                      <w:lang w:val="en-US" w:eastAsia="zh-CN"/>
                    </w:rPr>
                    <w:t>t</w:t>
                  </w:r>
                  <w:r>
                    <w:rPr>
                      <w:rFonts w:hint="eastAsia"/>
                      <w:color w:val="auto"/>
                      <w:sz w:val="18"/>
                      <w:szCs w:val="18"/>
                    </w:rPr>
                    <w:t>/</w:t>
                  </w:r>
                  <w:r>
                    <w:rPr>
                      <w:rFonts w:hint="eastAsia"/>
                      <w:color w:val="auto"/>
                      <w:sz w:val="18"/>
                      <w:szCs w:val="18"/>
                      <w:lang w:val="en-US" w:eastAsia="zh-CN"/>
                    </w:rPr>
                    <w:t>a</w:t>
                  </w:r>
                </w:p>
              </w:tc>
              <w:tc>
                <w:tcPr>
                  <w:tcW w:w="1087" w:type="dxa"/>
                  <w:noWrap w:val="0"/>
                  <w:vAlign w:val="center"/>
                </w:tcPr>
                <w:p>
                  <w:pPr>
                    <w:jc w:val="center"/>
                    <w:rPr>
                      <w:rFonts w:hint="eastAsia"/>
                      <w:color w:val="auto"/>
                      <w:sz w:val="18"/>
                      <w:szCs w:val="18"/>
                    </w:rPr>
                  </w:pPr>
                  <w:r>
                    <w:rPr>
                      <w:color w:val="auto"/>
                      <w:sz w:val="18"/>
                      <w:szCs w:val="18"/>
                    </w:rPr>
                    <w:t>单次持续</w:t>
                  </w:r>
                </w:p>
                <w:p>
                  <w:pPr>
                    <w:jc w:val="center"/>
                    <w:rPr>
                      <w:color w:val="auto"/>
                      <w:sz w:val="18"/>
                      <w:szCs w:val="18"/>
                    </w:rPr>
                  </w:pPr>
                  <w:r>
                    <w:rPr>
                      <w:color w:val="auto"/>
                      <w:sz w:val="18"/>
                      <w:szCs w:val="18"/>
                    </w:rPr>
                    <w:t>时间</w:t>
                  </w:r>
                  <w:r>
                    <w:rPr>
                      <w:rFonts w:hint="eastAsia"/>
                      <w:color w:val="auto"/>
                      <w:sz w:val="18"/>
                      <w:szCs w:val="18"/>
                    </w:rPr>
                    <w:t>/h</w:t>
                  </w:r>
                </w:p>
              </w:tc>
              <w:tc>
                <w:tcPr>
                  <w:tcW w:w="938" w:type="dxa"/>
                  <w:noWrap w:val="0"/>
                  <w:vAlign w:val="center"/>
                </w:tcPr>
                <w:p>
                  <w:pPr>
                    <w:jc w:val="center"/>
                    <w:rPr>
                      <w:rFonts w:hint="eastAsia"/>
                      <w:color w:val="auto"/>
                      <w:sz w:val="18"/>
                      <w:szCs w:val="18"/>
                    </w:rPr>
                  </w:pPr>
                  <w:r>
                    <w:rPr>
                      <w:color w:val="auto"/>
                      <w:sz w:val="18"/>
                      <w:szCs w:val="18"/>
                    </w:rPr>
                    <w:t>年发生</w:t>
                  </w:r>
                </w:p>
                <w:p>
                  <w:pPr>
                    <w:jc w:val="center"/>
                    <w:rPr>
                      <w:color w:val="auto"/>
                      <w:sz w:val="18"/>
                      <w:szCs w:val="18"/>
                    </w:rPr>
                  </w:pPr>
                  <w:r>
                    <w:rPr>
                      <w:color w:val="auto"/>
                      <w:sz w:val="18"/>
                      <w:szCs w:val="18"/>
                    </w:rPr>
                    <w:t>频次</w:t>
                  </w:r>
                  <w:r>
                    <w:rPr>
                      <w:rFonts w:hint="eastAsia"/>
                      <w:color w:val="auto"/>
                      <w:sz w:val="18"/>
                      <w:szCs w:val="18"/>
                    </w:rPr>
                    <w:t>/次</w:t>
                  </w:r>
                </w:p>
              </w:tc>
              <w:tc>
                <w:tcPr>
                  <w:tcW w:w="900" w:type="dxa"/>
                  <w:noWrap w:val="0"/>
                  <w:vAlign w:val="center"/>
                </w:tcPr>
                <w:p>
                  <w:pPr>
                    <w:jc w:val="center"/>
                    <w:rPr>
                      <w:color w:val="auto"/>
                      <w:sz w:val="18"/>
                      <w:szCs w:val="18"/>
                    </w:rPr>
                  </w:pPr>
                  <w:r>
                    <w:rPr>
                      <w:color w:val="auto"/>
                      <w:sz w:val="18"/>
                      <w:szCs w:val="18"/>
                    </w:rPr>
                    <w:t>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981" w:type="dxa"/>
                  <w:vMerge w:val="restart"/>
                  <w:noWrap w:val="0"/>
                  <w:vAlign w:val="center"/>
                </w:tcPr>
                <w:p>
                  <w:pPr>
                    <w:pStyle w:val="49"/>
                    <w:ind w:firstLine="0" w:firstLineChars="0"/>
                    <w:jc w:val="center"/>
                    <w:rPr>
                      <w:rFonts w:hint="eastAsia"/>
                      <w:color w:val="auto"/>
                      <w:sz w:val="18"/>
                      <w:szCs w:val="18"/>
                    </w:rPr>
                  </w:pPr>
                  <w:r>
                    <w:rPr>
                      <w:rFonts w:hint="eastAsia" w:ascii="Times New Roman" w:hAnsi="Times New Roman" w:eastAsia="宋体" w:cs="Times New Roman"/>
                      <w:bCs/>
                      <w:color w:val="auto"/>
                      <w:sz w:val="18"/>
                      <w:szCs w:val="18"/>
                      <w:lang w:val="en-US" w:eastAsia="zh-CN"/>
                    </w:rPr>
                    <w:t>DA001</w:t>
                  </w:r>
                </w:p>
              </w:tc>
              <w:tc>
                <w:tcPr>
                  <w:tcW w:w="1690" w:type="dxa"/>
                  <w:vMerge w:val="restart"/>
                  <w:noWrap w:val="0"/>
                  <w:vAlign w:val="center"/>
                </w:tcPr>
                <w:p>
                  <w:pPr>
                    <w:jc w:val="center"/>
                    <w:rPr>
                      <w:color w:val="auto"/>
                      <w:sz w:val="18"/>
                      <w:szCs w:val="18"/>
                    </w:rPr>
                  </w:pPr>
                  <w:r>
                    <w:rPr>
                      <w:color w:val="auto"/>
                      <w:sz w:val="18"/>
                      <w:szCs w:val="18"/>
                    </w:rPr>
                    <w:t>处理装置故障</w:t>
                  </w:r>
                  <w:r>
                    <w:rPr>
                      <w:rFonts w:hint="eastAsia"/>
                      <w:color w:val="auto"/>
                      <w:sz w:val="18"/>
                      <w:szCs w:val="18"/>
                    </w:rPr>
                    <w:t>、</w:t>
                  </w:r>
                  <w:r>
                    <w:rPr>
                      <w:color w:val="auto"/>
                      <w:sz w:val="18"/>
                      <w:szCs w:val="18"/>
                    </w:rPr>
                    <w:t>处理装置</w:t>
                  </w:r>
                  <w:r>
                    <w:rPr>
                      <w:rFonts w:hint="eastAsia"/>
                      <w:color w:val="auto"/>
                      <w:sz w:val="18"/>
                      <w:szCs w:val="18"/>
                    </w:rPr>
                    <w:t>吸附效率下降至0%</w:t>
                  </w:r>
                </w:p>
              </w:tc>
              <w:tc>
                <w:tcPr>
                  <w:tcW w:w="1200" w:type="dxa"/>
                  <w:noWrap w:val="0"/>
                  <w:vAlign w:val="center"/>
                </w:tcPr>
                <w:p>
                  <w:pPr>
                    <w:pStyle w:val="49"/>
                    <w:ind w:firstLine="0" w:firstLineChars="0"/>
                    <w:jc w:val="center"/>
                    <w:rPr>
                      <w:color w:val="auto"/>
                      <w:sz w:val="18"/>
                      <w:szCs w:val="18"/>
                    </w:rPr>
                  </w:pPr>
                  <w:r>
                    <w:rPr>
                      <w:rFonts w:hint="eastAsia" w:ascii="Times New Roman" w:hAnsi="Times New Roman" w:cs="Times New Roman"/>
                      <w:color w:val="auto"/>
                      <w:sz w:val="18"/>
                      <w:szCs w:val="18"/>
                    </w:rPr>
                    <w:t>SO</w:t>
                  </w:r>
                  <w:r>
                    <w:rPr>
                      <w:rFonts w:hint="eastAsia" w:ascii="Times New Roman" w:hAnsi="Times New Roman" w:cs="Times New Roman"/>
                      <w:color w:val="auto"/>
                      <w:sz w:val="18"/>
                      <w:szCs w:val="18"/>
                      <w:vertAlign w:val="subscript"/>
                    </w:rPr>
                    <w:t>2</w:t>
                  </w:r>
                </w:p>
              </w:tc>
              <w:tc>
                <w:tcPr>
                  <w:tcW w:w="1125" w:type="dxa"/>
                  <w:noWrap w:val="0"/>
                  <w:vAlign w:val="center"/>
                </w:tcPr>
                <w:p>
                  <w:pPr>
                    <w:adjustRightInd w:val="0"/>
                    <w:snapToGrid w:val="0"/>
                    <w:jc w:val="center"/>
                    <w:rPr>
                      <w:rFonts w:hint="default" w:ascii="宋体" w:hAnsi="宋体" w:eastAsia="宋体" w:cs="宋体"/>
                      <w:i w:val="0"/>
                      <w:iCs w:val="0"/>
                      <w:color w:val="auto"/>
                      <w:kern w:val="2"/>
                      <w:sz w:val="22"/>
                      <w:szCs w:val="22"/>
                      <w:u w:val="none"/>
                      <w:lang w:val="en-US" w:eastAsia="zh-CN" w:bidi="ar-SA"/>
                    </w:rPr>
                  </w:pPr>
                  <w:r>
                    <w:rPr>
                      <w:rFonts w:hint="eastAsia" w:ascii="Times New Roman" w:hAnsi="Times New Roman" w:eastAsia="宋体" w:cs="Times New Roman"/>
                      <w:color w:val="auto"/>
                      <w:sz w:val="18"/>
                      <w:szCs w:val="18"/>
                      <w:lang w:val="en-US" w:eastAsia="zh-CN"/>
                    </w:rPr>
                    <w:t>0.7776</w:t>
                  </w:r>
                </w:p>
              </w:tc>
              <w:tc>
                <w:tcPr>
                  <w:tcW w:w="1087" w:type="dxa"/>
                  <w:noWrap w:val="0"/>
                  <w:vAlign w:val="center"/>
                </w:tcPr>
                <w:p>
                  <w:pPr>
                    <w:jc w:val="center"/>
                    <w:rPr>
                      <w:color w:val="auto"/>
                      <w:sz w:val="18"/>
                      <w:szCs w:val="18"/>
                    </w:rPr>
                  </w:pPr>
                  <w:r>
                    <w:rPr>
                      <w:rFonts w:hint="eastAsia"/>
                      <w:color w:val="auto"/>
                      <w:sz w:val="18"/>
                      <w:szCs w:val="18"/>
                    </w:rPr>
                    <w:t>1</w:t>
                  </w:r>
                </w:p>
              </w:tc>
              <w:tc>
                <w:tcPr>
                  <w:tcW w:w="938" w:type="dxa"/>
                  <w:noWrap w:val="0"/>
                  <w:vAlign w:val="center"/>
                </w:tcPr>
                <w:p>
                  <w:pPr>
                    <w:jc w:val="center"/>
                    <w:rPr>
                      <w:color w:val="auto"/>
                      <w:sz w:val="18"/>
                      <w:szCs w:val="18"/>
                    </w:rPr>
                  </w:pPr>
                  <w:r>
                    <w:rPr>
                      <w:rFonts w:hint="eastAsia"/>
                      <w:color w:val="auto"/>
                      <w:sz w:val="18"/>
                      <w:szCs w:val="18"/>
                    </w:rPr>
                    <w:t>1</w:t>
                  </w:r>
                </w:p>
              </w:tc>
              <w:tc>
                <w:tcPr>
                  <w:tcW w:w="900" w:type="dxa"/>
                  <w:vMerge w:val="restart"/>
                  <w:noWrap w:val="0"/>
                  <w:vAlign w:val="center"/>
                </w:tcPr>
                <w:p>
                  <w:pPr>
                    <w:jc w:val="center"/>
                    <w:rPr>
                      <w:rFonts w:hint="eastAsia"/>
                      <w:color w:val="auto"/>
                      <w:sz w:val="18"/>
                      <w:szCs w:val="18"/>
                    </w:rPr>
                  </w:pPr>
                  <w:r>
                    <w:rPr>
                      <w:color w:val="auto"/>
                      <w:sz w:val="18"/>
                      <w:szCs w:val="18"/>
                    </w:rPr>
                    <w:t>停机检查维修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981" w:type="dxa"/>
                  <w:vMerge w:val="continue"/>
                  <w:noWrap w:val="0"/>
                  <w:vAlign w:val="center"/>
                </w:tcPr>
                <w:p>
                  <w:pPr>
                    <w:pStyle w:val="49"/>
                    <w:ind w:firstLine="0" w:firstLineChars="0"/>
                    <w:jc w:val="center"/>
                    <w:rPr>
                      <w:rFonts w:hint="eastAsia" w:ascii="Times New Roman" w:hAnsi="Times New Roman" w:eastAsia="宋体" w:cs="Times New Roman"/>
                      <w:bCs/>
                      <w:color w:val="auto"/>
                      <w:sz w:val="18"/>
                      <w:szCs w:val="18"/>
                      <w:lang w:val="en-US" w:eastAsia="zh-CN"/>
                    </w:rPr>
                  </w:pPr>
                </w:p>
              </w:tc>
              <w:tc>
                <w:tcPr>
                  <w:tcW w:w="1690" w:type="dxa"/>
                  <w:vMerge w:val="continue"/>
                  <w:noWrap w:val="0"/>
                  <w:vAlign w:val="center"/>
                </w:tcPr>
                <w:p>
                  <w:pPr>
                    <w:jc w:val="center"/>
                    <w:rPr>
                      <w:color w:val="auto"/>
                      <w:sz w:val="18"/>
                      <w:szCs w:val="18"/>
                    </w:rPr>
                  </w:pPr>
                </w:p>
              </w:tc>
              <w:tc>
                <w:tcPr>
                  <w:tcW w:w="1200" w:type="dxa"/>
                  <w:noWrap w:val="0"/>
                  <w:vAlign w:val="center"/>
                </w:tcPr>
                <w:p>
                  <w:pPr>
                    <w:pStyle w:val="49"/>
                    <w:ind w:firstLine="0" w:firstLineChars="0"/>
                    <w:jc w:val="center"/>
                    <w:rPr>
                      <w:rFonts w:hint="eastAsia"/>
                      <w:color w:val="auto"/>
                      <w:sz w:val="18"/>
                      <w:szCs w:val="18"/>
                    </w:rPr>
                  </w:pPr>
                  <w:r>
                    <w:rPr>
                      <w:rFonts w:hint="eastAsia" w:ascii="Times New Roman" w:hAnsi="Times New Roman" w:cs="Times New Roman"/>
                      <w:color w:val="auto"/>
                      <w:sz w:val="18"/>
                      <w:szCs w:val="18"/>
                    </w:rPr>
                    <w:t>NOx</w:t>
                  </w:r>
                </w:p>
              </w:tc>
              <w:tc>
                <w:tcPr>
                  <w:tcW w:w="1125" w:type="dxa"/>
                  <w:noWrap w:val="0"/>
                  <w:vAlign w:val="center"/>
                </w:tcPr>
                <w:p>
                  <w:pPr>
                    <w:adjustRightInd w:val="0"/>
                    <w:snapToGrid w:val="0"/>
                    <w:jc w:val="center"/>
                    <w:rPr>
                      <w:rFonts w:hint="eastAsia" w:ascii="Times New Roman" w:hAnsi="Times New Roman" w:eastAsia="宋体" w:cs="Times New Roman"/>
                      <w:bCs/>
                      <w:color w:val="auto"/>
                      <w:sz w:val="18"/>
                      <w:szCs w:val="15"/>
                      <w:lang w:val="en-US" w:eastAsia="zh-CN"/>
                    </w:rPr>
                  </w:pPr>
                  <w:r>
                    <w:rPr>
                      <w:rFonts w:hint="eastAsia" w:ascii="Times New Roman" w:hAnsi="Times New Roman" w:eastAsia="宋体" w:cs="Times New Roman"/>
                      <w:color w:val="auto"/>
                      <w:sz w:val="18"/>
                      <w:szCs w:val="18"/>
                      <w:lang w:val="en-US" w:eastAsia="zh-CN"/>
                    </w:rPr>
                    <w:t>7.2706</w:t>
                  </w:r>
                </w:p>
              </w:tc>
              <w:tc>
                <w:tcPr>
                  <w:tcW w:w="1087" w:type="dxa"/>
                  <w:noWrap w:val="0"/>
                  <w:vAlign w:val="center"/>
                </w:tcPr>
                <w:p>
                  <w:pPr>
                    <w:jc w:val="center"/>
                    <w:rPr>
                      <w:rFonts w:hint="eastAsia"/>
                      <w:color w:val="auto"/>
                      <w:sz w:val="18"/>
                      <w:szCs w:val="18"/>
                    </w:rPr>
                  </w:pPr>
                  <w:r>
                    <w:rPr>
                      <w:rFonts w:hint="eastAsia"/>
                      <w:color w:val="auto"/>
                      <w:sz w:val="18"/>
                      <w:szCs w:val="18"/>
                    </w:rPr>
                    <w:t>1</w:t>
                  </w:r>
                </w:p>
              </w:tc>
              <w:tc>
                <w:tcPr>
                  <w:tcW w:w="938" w:type="dxa"/>
                  <w:noWrap w:val="0"/>
                  <w:vAlign w:val="center"/>
                </w:tcPr>
                <w:p>
                  <w:pPr>
                    <w:jc w:val="center"/>
                    <w:rPr>
                      <w:rFonts w:hint="eastAsia"/>
                      <w:color w:val="auto"/>
                      <w:sz w:val="18"/>
                      <w:szCs w:val="18"/>
                    </w:rPr>
                  </w:pPr>
                  <w:r>
                    <w:rPr>
                      <w:rFonts w:hint="eastAsia"/>
                      <w:color w:val="auto"/>
                      <w:sz w:val="18"/>
                      <w:szCs w:val="18"/>
                    </w:rPr>
                    <w:t>1</w:t>
                  </w:r>
                </w:p>
              </w:tc>
              <w:tc>
                <w:tcPr>
                  <w:tcW w:w="900" w:type="dxa"/>
                  <w:vMerge w:val="continue"/>
                  <w:noWrap w:val="0"/>
                  <w:vAlign w:val="center"/>
                </w:tcPr>
                <w:p>
                  <w:pPr>
                    <w:jc w:val="center"/>
                    <w:rPr>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981" w:type="dxa"/>
                  <w:vMerge w:val="continue"/>
                  <w:noWrap w:val="0"/>
                  <w:vAlign w:val="center"/>
                </w:tcPr>
                <w:p>
                  <w:pPr>
                    <w:pStyle w:val="49"/>
                    <w:ind w:firstLine="0" w:firstLineChars="0"/>
                    <w:jc w:val="center"/>
                    <w:rPr>
                      <w:rFonts w:hint="eastAsia" w:ascii="Times New Roman" w:hAnsi="Times New Roman" w:eastAsia="宋体" w:cs="Times New Roman"/>
                      <w:bCs/>
                      <w:color w:val="auto"/>
                      <w:sz w:val="18"/>
                      <w:szCs w:val="18"/>
                      <w:lang w:val="en-US" w:eastAsia="zh-CN"/>
                    </w:rPr>
                  </w:pPr>
                </w:p>
              </w:tc>
              <w:tc>
                <w:tcPr>
                  <w:tcW w:w="1690" w:type="dxa"/>
                  <w:vMerge w:val="continue"/>
                  <w:noWrap w:val="0"/>
                  <w:vAlign w:val="center"/>
                </w:tcPr>
                <w:p>
                  <w:pPr>
                    <w:jc w:val="center"/>
                    <w:rPr>
                      <w:color w:val="auto"/>
                      <w:sz w:val="18"/>
                      <w:szCs w:val="18"/>
                    </w:rPr>
                  </w:pPr>
                </w:p>
              </w:tc>
              <w:tc>
                <w:tcPr>
                  <w:tcW w:w="1200" w:type="dxa"/>
                  <w:noWrap w:val="0"/>
                  <w:vAlign w:val="center"/>
                </w:tcPr>
                <w:p>
                  <w:pPr>
                    <w:pStyle w:val="49"/>
                    <w:ind w:firstLine="0" w:firstLineChars="0"/>
                    <w:jc w:val="center"/>
                    <w:rPr>
                      <w:rFonts w:hint="eastAsia"/>
                      <w:color w:val="auto"/>
                      <w:sz w:val="18"/>
                      <w:szCs w:val="18"/>
                    </w:rPr>
                  </w:pPr>
                  <w:r>
                    <w:rPr>
                      <w:rFonts w:hint="eastAsia" w:ascii="Times New Roman" w:hAnsi="Times New Roman" w:cs="Times New Roman"/>
                      <w:color w:val="auto"/>
                      <w:sz w:val="18"/>
                      <w:szCs w:val="18"/>
                    </w:rPr>
                    <w:t>颗粒物</w:t>
                  </w:r>
                </w:p>
              </w:tc>
              <w:tc>
                <w:tcPr>
                  <w:tcW w:w="1125" w:type="dxa"/>
                  <w:noWrap w:val="0"/>
                  <w:vAlign w:val="center"/>
                </w:tcPr>
                <w:p>
                  <w:pPr>
                    <w:adjustRightInd w:val="0"/>
                    <w:snapToGrid w:val="0"/>
                    <w:jc w:val="center"/>
                    <w:rPr>
                      <w:rFonts w:hint="eastAsia" w:ascii="Times New Roman" w:hAnsi="Times New Roman" w:eastAsia="宋体" w:cs="Times New Roman"/>
                      <w:bCs/>
                      <w:color w:val="auto"/>
                      <w:sz w:val="18"/>
                      <w:szCs w:val="15"/>
                      <w:lang w:val="en-US" w:eastAsia="zh-CN"/>
                    </w:rPr>
                  </w:pPr>
                  <w:r>
                    <w:rPr>
                      <w:rFonts w:hint="eastAsia" w:ascii="Times New Roman" w:hAnsi="Times New Roman" w:eastAsia="宋体" w:cs="Times New Roman"/>
                      <w:color w:val="auto"/>
                      <w:sz w:val="18"/>
                      <w:szCs w:val="18"/>
                      <w:lang w:val="en-US" w:eastAsia="zh-CN"/>
                    </w:rPr>
                    <w:t>1.1120</w:t>
                  </w:r>
                </w:p>
              </w:tc>
              <w:tc>
                <w:tcPr>
                  <w:tcW w:w="1087" w:type="dxa"/>
                  <w:noWrap w:val="0"/>
                  <w:vAlign w:val="center"/>
                </w:tcPr>
                <w:p>
                  <w:pPr>
                    <w:jc w:val="center"/>
                    <w:rPr>
                      <w:rFonts w:hint="eastAsia"/>
                      <w:color w:val="auto"/>
                      <w:sz w:val="18"/>
                      <w:szCs w:val="18"/>
                    </w:rPr>
                  </w:pPr>
                  <w:r>
                    <w:rPr>
                      <w:rFonts w:hint="eastAsia"/>
                      <w:color w:val="auto"/>
                      <w:sz w:val="18"/>
                      <w:szCs w:val="18"/>
                    </w:rPr>
                    <w:t>1</w:t>
                  </w:r>
                </w:p>
              </w:tc>
              <w:tc>
                <w:tcPr>
                  <w:tcW w:w="938" w:type="dxa"/>
                  <w:noWrap w:val="0"/>
                  <w:vAlign w:val="center"/>
                </w:tcPr>
                <w:p>
                  <w:pPr>
                    <w:jc w:val="center"/>
                    <w:rPr>
                      <w:rFonts w:hint="eastAsia"/>
                      <w:color w:val="auto"/>
                      <w:sz w:val="18"/>
                      <w:szCs w:val="18"/>
                    </w:rPr>
                  </w:pPr>
                  <w:r>
                    <w:rPr>
                      <w:rFonts w:hint="eastAsia"/>
                      <w:color w:val="auto"/>
                      <w:sz w:val="18"/>
                      <w:szCs w:val="18"/>
                    </w:rPr>
                    <w:t>1</w:t>
                  </w:r>
                </w:p>
              </w:tc>
              <w:tc>
                <w:tcPr>
                  <w:tcW w:w="900" w:type="dxa"/>
                  <w:vMerge w:val="continue"/>
                  <w:noWrap w:val="0"/>
                  <w:vAlign w:val="center"/>
                </w:tcPr>
                <w:p>
                  <w:pPr>
                    <w:jc w:val="center"/>
                    <w:rPr>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981" w:type="dxa"/>
                  <w:vMerge w:val="restart"/>
                  <w:noWrap w:val="0"/>
                  <w:vAlign w:val="center"/>
                </w:tcPr>
                <w:p>
                  <w:pPr>
                    <w:pStyle w:val="49"/>
                    <w:ind w:firstLine="0" w:firstLineChars="0"/>
                    <w:jc w:val="center"/>
                    <w:rPr>
                      <w:rFonts w:hint="eastAsia" w:eastAsia="宋体"/>
                      <w:color w:val="auto"/>
                      <w:sz w:val="18"/>
                      <w:szCs w:val="18"/>
                      <w:lang w:val="en-US" w:eastAsia="zh-CN"/>
                    </w:rPr>
                  </w:pPr>
                  <w:r>
                    <w:rPr>
                      <w:rFonts w:hint="eastAsia" w:ascii="Times New Roman" w:hAnsi="Times New Roman" w:eastAsia="宋体" w:cs="Times New Roman"/>
                      <w:bCs/>
                      <w:color w:val="auto"/>
                      <w:sz w:val="18"/>
                      <w:szCs w:val="18"/>
                      <w:lang w:val="en-US" w:eastAsia="zh-CN"/>
                    </w:rPr>
                    <w:t>DA007</w:t>
                  </w:r>
                </w:p>
              </w:tc>
              <w:tc>
                <w:tcPr>
                  <w:tcW w:w="1690" w:type="dxa"/>
                  <w:vMerge w:val="restart"/>
                  <w:noWrap w:val="0"/>
                  <w:vAlign w:val="center"/>
                </w:tcPr>
                <w:p>
                  <w:pPr>
                    <w:jc w:val="center"/>
                    <w:rPr>
                      <w:color w:val="auto"/>
                      <w:sz w:val="18"/>
                      <w:szCs w:val="18"/>
                    </w:rPr>
                  </w:pPr>
                  <w:r>
                    <w:rPr>
                      <w:color w:val="auto"/>
                      <w:sz w:val="18"/>
                      <w:szCs w:val="18"/>
                    </w:rPr>
                    <w:t>处理装置故障</w:t>
                  </w:r>
                  <w:r>
                    <w:rPr>
                      <w:rFonts w:hint="eastAsia"/>
                      <w:color w:val="auto"/>
                      <w:sz w:val="18"/>
                      <w:szCs w:val="18"/>
                    </w:rPr>
                    <w:t>、</w:t>
                  </w:r>
                  <w:r>
                    <w:rPr>
                      <w:color w:val="auto"/>
                      <w:sz w:val="18"/>
                      <w:szCs w:val="18"/>
                    </w:rPr>
                    <w:t>处理装置</w:t>
                  </w:r>
                  <w:r>
                    <w:rPr>
                      <w:rFonts w:hint="eastAsia"/>
                      <w:color w:val="auto"/>
                      <w:sz w:val="18"/>
                      <w:szCs w:val="18"/>
                    </w:rPr>
                    <w:t>吸附效率下降至0%</w:t>
                  </w:r>
                </w:p>
              </w:tc>
              <w:tc>
                <w:tcPr>
                  <w:tcW w:w="1200" w:type="dxa"/>
                  <w:noWrap w:val="0"/>
                  <w:vAlign w:val="center"/>
                </w:tcPr>
                <w:p>
                  <w:pPr>
                    <w:pStyle w:val="49"/>
                    <w:ind w:firstLine="0" w:firstLineChars="0"/>
                    <w:jc w:val="center"/>
                    <w:rPr>
                      <w:rFonts w:hint="eastAsia" w:eastAsia="宋体" w:cs="Times New Roman"/>
                      <w:bCs/>
                      <w:color w:val="auto"/>
                      <w:sz w:val="18"/>
                      <w:szCs w:val="15"/>
                      <w:lang w:val="en-US" w:eastAsia="zh-CN"/>
                    </w:rPr>
                  </w:pPr>
                  <w:r>
                    <w:rPr>
                      <w:rFonts w:hint="eastAsia" w:ascii="Times New Roman" w:hAnsi="Times New Roman" w:cs="Times New Roman"/>
                      <w:color w:val="auto"/>
                      <w:sz w:val="18"/>
                      <w:szCs w:val="18"/>
                    </w:rPr>
                    <w:t>SO</w:t>
                  </w:r>
                  <w:r>
                    <w:rPr>
                      <w:rFonts w:hint="eastAsia" w:ascii="Times New Roman" w:hAnsi="Times New Roman" w:cs="Times New Roman"/>
                      <w:color w:val="auto"/>
                      <w:sz w:val="18"/>
                      <w:szCs w:val="18"/>
                      <w:vertAlign w:val="subscript"/>
                    </w:rPr>
                    <w:t>2</w:t>
                  </w:r>
                </w:p>
              </w:tc>
              <w:tc>
                <w:tcPr>
                  <w:tcW w:w="1125" w:type="dxa"/>
                  <w:noWrap w:val="0"/>
                  <w:vAlign w:val="center"/>
                </w:tcPr>
                <w:p>
                  <w:pPr>
                    <w:adjustRightInd w:val="0"/>
                    <w:snapToGrid w:val="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1.4232 </w:t>
                  </w:r>
                </w:p>
              </w:tc>
              <w:tc>
                <w:tcPr>
                  <w:tcW w:w="1087" w:type="dxa"/>
                  <w:noWrap w:val="0"/>
                  <w:vAlign w:val="center"/>
                </w:tcPr>
                <w:p>
                  <w:pPr>
                    <w:jc w:val="center"/>
                    <w:rPr>
                      <w:rFonts w:hint="eastAsia"/>
                      <w:color w:val="auto"/>
                      <w:sz w:val="18"/>
                      <w:szCs w:val="18"/>
                    </w:rPr>
                  </w:pPr>
                  <w:r>
                    <w:rPr>
                      <w:rFonts w:hint="eastAsia"/>
                      <w:color w:val="auto"/>
                      <w:sz w:val="18"/>
                      <w:szCs w:val="18"/>
                    </w:rPr>
                    <w:t>1</w:t>
                  </w:r>
                </w:p>
              </w:tc>
              <w:tc>
                <w:tcPr>
                  <w:tcW w:w="938" w:type="dxa"/>
                  <w:noWrap w:val="0"/>
                  <w:vAlign w:val="center"/>
                </w:tcPr>
                <w:p>
                  <w:pPr>
                    <w:jc w:val="center"/>
                    <w:rPr>
                      <w:rFonts w:hint="eastAsia"/>
                      <w:color w:val="auto"/>
                      <w:sz w:val="18"/>
                      <w:szCs w:val="18"/>
                    </w:rPr>
                  </w:pPr>
                  <w:r>
                    <w:rPr>
                      <w:rFonts w:hint="eastAsia"/>
                      <w:color w:val="auto"/>
                      <w:sz w:val="18"/>
                      <w:szCs w:val="18"/>
                    </w:rPr>
                    <w:t>1</w:t>
                  </w:r>
                </w:p>
              </w:tc>
              <w:tc>
                <w:tcPr>
                  <w:tcW w:w="900" w:type="dxa"/>
                  <w:vMerge w:val="restart"/>
                  <w:noWrap w:val="0"/>
                  <w:vAlign w:val="center"/>
                </w:tcPr>
                <w:p>
                  <w:pPr>
                    <w:jc w:val="center"/>
                    <w:rPr>
                      <w:color w:val="auto"/>
                      <w:sz w:val="18"/>
                      <w:szCs w:val="18"/>
                    </w:rPr>
                  </w:pPr>
                  <w:r>
                    <w:rPr>
                      <w:color w:val="auto"/>
                      <w:sz w:val="18"/>
                      <w:szCs w:val="18"/>
                    </w:rPr>
                    <w:t>停机检查维修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981" w:type="dxa"/>
                  <w:vMerge w:val="continue"/>
                  <w:noWrap w:val="0"/>
                  <w:vAlign w:val="center"/>
                </w:tcPr>
                <w:p>
                  <w:pPr>
                    <w:pStyle w:val="49"/>
                    <w:ind w:firstLine="0" w:firstLineChars="0"/>
                    <w:jc w:val="center"/>
                    <w:rPr>
                      <w:rFonts w:hint="eastAsia"/>
                      <w:color w:val="auto"/>
                      <w:sz w:val="18"/>
                      <w:szCs w:val="18"/>
                      <w:lang w:val="en-US" w:eastAsia="zh-CN"/>
                    </w:rPr>
                  </w:pPr>
                </w:p>
              </w:tc>
              <w:tc>
                <w:tcPr>
                  <w:tcW w:w="1690" w:type="dxa"/>
                  <w:vMerge w:val="continue"/>
                  <w:noWrap w:val="0"/>
                  <w:vAlign w:val="center"/>
                </w:tcPr>
                <w:p>
                  <w:pPr>
                    <w:jc w:val="center"/>
                    <w:rPr>
                      <w:color w:val="auto"/>
                      <w:sz w:val="18"/>
                      <w:szCs w:val="18"/>
                    </w:rPr>
                  </w:pPr>
                </w:p>
              </w:tc>
              <w:tc>
                <w:tcPr>
                  <w:tcW w:w="1200" w:type="dxa"/>
                  <w:noWrap w:val="0"/>
                  <w:vAlign w:val="center"/>
                </w:tcPr>
                <w:p>
                  <w:pPr>
                    <w:pStyle w:val="49"/>
                    <w:ind w:firstLine="0" w:firstLineChars="0"/>
                    <w:jc w:val="center"/>
                    <w:rPr>
                      <w:rFonts w:hint="eastAsia"/>
                      <w:color w:val="auto"/>
                      <w:sz w:val="18"/>
                      <w:szCs w:val="18"/>
                    </w:rPr>
                  </w:pPr>
                  <w:r>
                    <w:rPr>
                      <w:rFonts w:hint="eastAsia" w:ascii="Times New Roman" w:hAnsi="Times New Roman" w:cs="Times New Roman"/>
                      <w:color w:val="auto"/>
                      <w:sz w:val="18"/>
                      <w:szCs w:val="18"/>
                    </w:rPr>
                    <w:t>NOx</w:t>
                  </w:r>
                </w:p>
              </w:tc>
              <w:tc>
                <w:tcPr>
                  <w:tcW w:w="1125" w:type="dxa"/>
                  <w:noWrap w:val="0"/>
                  <w:vAlign w:val="center"/>
                </w:tcPr>
                <w:p>
                  <w:pPr>
                    <w:adjustRightInd w:val="0"/>
                    <w:snapToGrid w:val="0"/>
                    <w:jc w:val="center"/>
                    <w:rPr>
                      <w:rFonts w:hint="eastAsia" w:ascii="Times New Roman" w:hAnsi="Times New Roman" w:eastAsia="宋体" w:cs="Times New Roman"/>
                      <w:bCs/>
                      <w:color w:val="auto"/>
                      <w:sz w:val="18"/>
                      <w:szCs w:val="15"/>
                      <w:lang w:val="en-US" w:eastAsia="zh-CN"/>
                    </w:rPr>
                  </w:pPr>
                  <w:r>
                    <w:rPr>
                      <w:rFonts w:hint="eastAsia" w:ascii="Times New Roman" w:hAnsi="Times New Roman" w:eastAsia="宋体" w:cs="Times New Roman"/>
                      <w:color w:val="auto"/>
                      <w:sz w:val="18"/>
                      <w:szCs w:val="18"/>
                      <w:lang w:val="en-US" w:eastAsia="zh-CN"/>
                    </w:rPr>
                    <w:t xml:space="preserve">13.3069 </w:t>
                  </w:r>
                </w:p>
              </w:tc>
              <w:tc>
                <w:tcPr>
                  <w:tcW w:w="1087" w:type="dxa"/>
                  <w:noWrap w:val="0"/>
                  <w:vAlign w:val="center"/>
                </w:tcPr>
                <w:p>
                  <w:pPr>
                    <w:jc w:val="center"/>
                    <w:rPr>
                      <w:rFonts w:hint="eastAsia"/>
                      <w:color w:val="auto"/>
                      <w:sz w:val="18"/>
                      <w:szCs w:val="18"/>
                    </w:rPr>
                  </w:pPr>
                  <w:r>
                    <w:rPr>
                      <w:rFonts w:hint="eastAsia"/>
                      <w:color w:val="auto"/>
                      <w:sz w:val="18"/>
                      <w:szCs w:val="18"/>
                    </w:rPr>
                    <w:t>1</w:t>
                  </w:r>
                </w:p>
              </w:tc>
              <w:tc>
                <w:tcPr>
                  <w:tcW w:w="938" w:type="dxa"/>
                  <w:noWrap w:val="0"/>
                  <w:vAlign w:val="center"/>
                </w:tcPr>
                <w:p>
                  <w:pPr>
                    <w:jc w:val="center"/>
                    <w:rPr>
                      <w:rFonts w:hint="eastAsia"/>
                      <w:color w:val="auto"/>
                      <w:sz w:val="18"/>
                      <w:szCs w:val="18"/>
                    </w:rPr>
                  </w:pPr>
                  <w:r>
                    <w:rPr>
                      <w:rFonts w:hint="eastAsia"/>
                      <w:color w:val="auto"/>
                      <w:sz w:val="18"/>
                      <w:szCs w:val="18"/>
                    </w:rPr>
                    <w:t>1</w:t>
                  </w:r>
                </w:p>
              </w:tc>
              <w:tc>
                <w:tcPr>
                  <w:tcW w:w="900" w:type="dxa"/>
                  <w:vMerge w:val="continue"/>
                  <w:noWrap w:val="0"/>
                  <w:vAlign w:val="center"/>
                </w:tcPr>
                <w:p>
                  <w:pPr>
                    <w:jc w:val="center"/>
                    <w:rPr>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981" w:type="dxa"/>
                  <w:vMerge w:val="continue"/>
                  <w:noWrap w:val="0"/>
                  <w:vAlign w:val="center"/>
                </w:tcPr>
                <w:p>
                  <w:pPr>
                    <w:pStyle w:val="49"/>
                    <w:ind w:firstLine="0" w:firstLineChars="0"/>
                    <w:jc w:val="center"/>
                    <w:rPr>
                      <w:rFonts w:hint="eastAsia"/>
                      <w:color w:val="auto"/>
                      <w:sz w:val="18"/>
                      <w:szCs w:val="18"/>
                      <w:lang w:val="en-US" w:eastAsia="zh-CN"/>
                    </w:rPr>
                  </w:pPr>
                </w:p>
              </w:tc>
              <w:tc>
                <w:tcPr>
                  <w:tcW w:w="1690" w:type="dxa"/>
                  <w:vMerge w:val="continue"/>
                  <w:noWrap w:val="0"/>
                  <w:vAlign w:val="center"/>
                </w:tcPr>
                <w:p>
                  <w:pPr>
                    <w:jc w:val="center"/>
                    <w:rPr>
                      <w:color w:val="auto"/>
                      <w:sz w:val="18"/>
                      <w:szCs w:val="18"/>
                    </w:rPr>
                  </w:pPr>
                </w:p>
              </w:tc>
              <w:tc>
                <w:tcPr>
                  <w:tcW w:w="1200" w:type="dxa"/>
                  <w:noWrap w:val="0"/>
                  <w:vAlign w:val="center"/>
                </w:tcPr>
                <w:p>
                  <w:pPr>
                    <w:pStyle w:val="49"/>
                    <w:ind w:firstLine="0" w:firstLineChars="0"/>
                    <w:jc w:val="center"/>
                    <w:rPr>
                      <w:rFonts w:hint="eastAsia"/>
                      <w:color w:val="auto"/>
                      <w:sz w:val="18"/>
                      <w:szCs w:val="18"/>
                    </w:rPr>
                  </w:pPr>
                  <w:r>
                    <w:rPr>
                      <w:rFonts w:hint="eastAsia" w:ascii="Times New Roman" w:hAnsi="Times New Roman" w:cs="Times New Roman"/>
                      <w:color w:val="auto"/>
                      <w:sz w:val="18"/>
                      <w:szCs w:val="18"/>
                    </w:rPr>
                    <w:t>颗粒物</w:t>
                  </w:r>
                </w:p>
              </w:tc>
              <w:tc>
                <w:tcPr>
                  <w:tcW w:w="1125" w:type="dxa"/>
                  <w:noWrap w:val="0"/>
                  <w:vAlign w:val="center"/>
                </w:tcPr>
                <w:p>
                  <w:pPr>
                    <w:adjustRightInd w:val="0"/>
                    <w:snapToGrid w:val="0"/>
                    <w:jc w:val="center"/>
                    <w:rPr>
                      <w:rFonts w:hint="eastAsia" w:ascii="Times New Roman" w:hAnsi="Times New Roman" w:eastAsia="宋体" w:cs="Times New Roman"/>
                      <w:bCs/>
                      <w:color w:val="auto"/>
                      <w:sz w:val="18"/>
                      <w:szCs w:val="15"/>
                      <w:lang w:val="en-US" w:eastAsia="zh-CN"/>
                    </w:rPr>
                  </w:pPr>
                  <w:r>
                    <w:rPr>
                      <w:rFonts w:hint="eastAsia" w:ascii="Times New Roman" w:hAnsi="Times New Roman" w:eastAsia="宋体" w:cs="Times New Roman"/>
                      <w:color w:val="auto"/>
                      <w:sz w:val="18"/>
                      <w:szCs w:val="18"/>
                      <w:lang w:val="en-US" w:eastAsia="zh-CN"/>
                    </w:rPr>
                    <w:t xml:space="preserve">2.0352 </w:t>
                  </w:r>
                </w:p>
              </w:tc>
              <w:tc>
                <w:tcPr>
                  <w:tcW w:w="1087" w:type="dxa"/>
                  <w:noWrap w:val="0"/>
                  <w:vAlign w:val="center"/>
                </w:tcPr>
                <w:p>
                  <w:pPr>
                    <w:jc w:val="center"/>
                    <w:rPr>
                      <w:rFonts w:hint="eastAsia"/>
                      <w:color w:val="auto"/>
                      <w:sz w:val="18"/>
                      <w:szCs w:val="18"/>
                    </w:rPr>
                  </w:pPr>
                  <w:r>
                    <w:rPr>
                      <w:rFonts w:hint="eastAsia"/>
                      <w:color w:val="auto"/>
                      <w:sz w:val="18"/>
                      <w:szCs w:val="18"/>
                    </w:rPr>
                    <w:t>1</w:t>
                  </w:r>
                </w:p>
              </w:tc>
              <w:tc>
                <w:tcPr>
                  <w:tcW w:w="938" w:type="dxa"/>
                  <w:noWrap w:val="0"/>
                  <w:vAlign w:val="center"/>
                </w:tcPr>
                <w:p>
                  <w:pPr>
                    <w:jc w:val="center"/>
                    <w:rPr>
                      <w:rFonts w:hint="eastAsia"/>
                      <w:color w:val="auto"/>
                      <w:sz w:val="18"/>
                      <w:szCs w:val="18"/>
                    </w:rPr>
                  </w:pPr>
                  <w:r>
                    <w:rPr>
                      <w:rFonts w:hint="eastAsia"/>
                      <w:color w:val="auto"/>
                      <w:sz w:val="18"/>
                      <w:szCs w:val="18"/>
                    </w:rPr>
                    <w:t>1</w:t>
                  </w:r>
                </w:p>
              </w:tc>
              <w:tc>
                <w:tcPr>
                  <w:tcW w:w="900" w:type="dxa"/>
                  <w:vMerge w:val="continue"/>
                  <w:noWrap w:val="0"/>
                  <w:vAlign w:val="center"/>
                </w:tcPr>
                <w:p>
                  <w:pPr>
                    <w:jc w:val="center"/>
                    <w:rPr>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981" w:type="dxa"/>
                  <w:vMerge w:val="restart"/>
                  <w:noWrap w:val="0"/>
                  <w:vAlign w:val="center"/>
                </w:tcPr>
                <w:p>
                  <w:pPr>
                    <w:pStyle w:val="49"/>
                    <w:ind w:firstLine="0" w:firstLineChars="0"/>
                    <w:jc w:val="center"/>
                    <w:rPr>
                      <w:rFonts w:hint="eastAsia"/>
                      <w:color w:val="auto"/>
                      <w:sz w:val="18"/>
                      <w:szCs w:val="18"/>
                      <w:lang w:val="en-US" w:eastAsia="zh-CN"/>
                    </w:rPr>
                  </w:pPr>
                  <w:r>
                    <w:rPr>
                      <w:rFonts w:hint="eastAsia" w:ascii="Times New Roman" w:hAnsi="Times New Roman" w:eastAsia="宋体" w:cs="Times New Roman"/>
                      <w:bCs/>
                      <w:color w:val="auto"/>
                      <w:sz w:val="18"/>
                      <w:szCs w:val="18"/>
                      <w:lang w:val="en-US" w:eastAsia="zh-CN"/>
                    </w:rPr>
                    <w:t>DA003</w:t>
                  </w:r>
                </w:p>
              </w:tc>
              <w:tc>
                <w:tcPr>
                  <w:tcW w:w="1690" w:type="dxa"/>
                  <w:vMerge w:val="restart"/>
                  <w:noWrap w:val="0"/>
                  <w:vAlign w:val="center"/>
                </w:tcPr>
                <w:p>
                  <w:pPr>
                    <w:jc w:val="center"/>
                    <w:rPr>
                      <w:color w:val="auto"/>
                      <w:sz w:val="18"/>
                      <w:szCs w:val="18"/>
                    </w:rPr>
                  </w:pPr>
                  <w:r>
                    <w:rPr>
                      <w:color w:val="auto"/>
                      <w:sz w:val="18"/>
                      <w:szCs w:val="18"/>
                    </w:rPr>
                    <w:t>处理装置故障</w:t>
                  </w:r>
                  <w:r>
                    <w:rPr>
                      <w:rFonts w:hint="eastAsia"/>
                      <w:color w:val="auto"/>
                      <w:sz w:val="18"/>
                      <w:szCs w:val="18"/>
                    </w:rPr>
                    <w:t>、</w:t>
                  </w:r>
                  <w:r>
                    <w:rPr>
                      <w:color w:val="auto"/>
                      <w:sz w:val="18"/>
                      <w:szCs w:val="18"/>
                    </w:rPr>
                    <w:t>处理装置</w:t>
                  </w:r>
                  <w:r>
                    <w:rPr>
                      <w:rFonts w:hint="eastAsia"/>
                      <w:color w:val="auto"/>
                      <w:sz w:val="18"/>
                      <w:szCs w:val="18"/>
                    </w:rPr>
                    <w:t>吸附效率下降至0%</w:t>
                  </w:r>
                </w:p>
              </w:tc>
              <w:tc>
                <w:tcPr>
                  <w:tcW w:w="1200" w:type="dxa"/>
                  <w:noWrap w:val="0"/>
                  <w:vAlign w:val="center"/>
                </w:tcPr>
                <w:p>
                  <w:pPr>
                    <w:pStyle w:val="49"/>
                    <w:ind w:firstLine="0" w:firstLineChars="0"/>
                    <w:jc w:val="center"/>
                    <w:rPr>
                      <w:rFonts w:hint="eastAsia"/>
                      <w:color w:val="auto"/>
                      <w:sz w:val="18"/>
                      <w:szCs w:val="18"/>
                    </w:rPr>
                  </w:pPr>
                  <w:r>
                    <w:rPr>
                      <w:rFonts w:hint="eastAsia" w:ascii="Times New Roman" w:hAnsi="Times New Roman" w:cs="Times New Roman"/>
                      <w:color w:val="auto"/>
                      <w:sz w:val="18"/>
                      <w:szCs w:val="18"/>
                    </w:rPr>
                    <w:t>SO</w:t>
                  </w:r>
                  <w:r>
                    <w:rPr>
                      <w:rFonts w:hint="eastAsia" w:ascii="Times New Roman" w:hAnsi="Times New Roman" w:cs="Times New Roman"/>
                      <w:color w:val="auto"/>
                      <w:sz w:val="18"/>
                      <w:szCs w:val="18"/>
                      <w:vertAlign w:val="subscript"/>
                    </w:rPr>
                    <w:t>2</w:t>
                  </w:r>
                </w:p>
              </w:tc>
              <w:tc>
                <w:tcPr>
                  <w:tcW w:w="1125" w:type="dxa"/>
                  <w:noWrap w:val="0"/>
                  <w:vAlign w:val="center"/>
                </w:tcPr>
                <w:p>
                  <w:pPr>
                    <w:adjustRightInd w:val="0"/>
                    <w:snapToGrid w:val="0"/>
                    <w:jc w:val="center"/>
                    <w:rPr>
                      <w:rFonts w:hint="eastAsia" w:ascii="Times New Roman" w:hAnsi="Times New Roman" w:eastAsia="宋体" w:cs="Times New Roman"/>
                      <w:bCs/>
                      <w:color w:val="auto"/>
                      <w:sz w:val="18"/>
                      <w:szCs w:val="15"/>
                      <w:lang w:val="en-US" w:eastAsia="zh-CN"/>
                    </w:rPr>
                  </w:pPr>
                  <w:r>
                    <w:rPr>
                      <w:rFonts w:hint="default" w:ascii="Times New Roman" w:hAnsi="Times New Roman" w:eastAsia="宋体" w:cs="Times New Roman"/>
                      <w:color w:val="auto"/>
                      <w:sz w:val="18"/>
                      <w:szCs w:val="18"/>
                      <w:lang w:val="en-US" w:eastAsia="zh-CN"/>
                    </w:rPr>
                    <w:t xml:space="preserve">2.6784 </w:t>
                  </w:r>
                </w:p>
              </w:tc>
              <w:tc>
                <w:tcPr>
                  <w:tcW w:w="1087" w:type="dxa"/>
                  <w:noWrap w:val="0"/>
                  <w:vAlign w:val="center"/>
                </w:tcPr>
                <w:p>
                  <w:pPr>
                    <w:jc w:val="center"/>
                    <w:rPr>
                      <w:rFonts w:hint="eastAsia"/>
                      <w:color w:val="auto"/>
                      <w:sz w:val="18"/>
                      <w:szCs w:val="18"/>
                    </w:rPr>
                  </w:pPr>
                  <w:r>
                    <w:rPr>
                      <w:rFonts w:hint="eastAsia"/>
                      <w:color w:val="auto"/>
                      <w:sz w:val="18"/>
                      <w:szCs w:val="18"/>
                    </w:rPr>
                    <w:t>1</w:t>
                  </w:r>
                </w:p>
              </w:tc>
              <w:tc>
                <w:tcPr>
                  <w:tcW w:w="938" w:type="dxa"/>
                  <w:noWrap w:val="0"/>
                  <w:vAlign w:val="center"/>
                </w:tcPr>
                <w:p>
                  <w:pPr>
                    <w:jc w:val="center"/>
                    <w:rPr>
                      <w:rFonts w:hint="eastAsia"/>
                      <w:color w:val="auto"/>
                      <w:sz w:val="18"/>
                      <w:szCs w:val="18"/>
                    </w:rPr>
                  </w:pPr>
                  <w:r>
                    <w:rPr>
                      <w:rFonts w:hint="eastAsia"/>
                      <w:color w:val="auto"/>
                      <w:sz w:val="18"/>
                      <w:szCs w:val="18"/>
                    </w:rPr>
                    <w:t>1</w:t>
                  </w:r>
                </w:p>
              </w:tc>
              <w:tc>
                <w:tcPr>
                  <w:tcW w:w="900" w:type="dxa"/>
                  <w:vMerge w:val="restart"/>
                  <w:noWrap w:val="0"/>
                  <w:vAlign w:val="center"/>
                </w:tcPr>
                <w:p>
                  <w:pPr>
                    <w:jc w:val="center"/>
                    <w:rPr>
                      <w:color w:val="auto"/>
                      <w:sz w:val="18"/>
                      <w:szCs w:val="18"/>
                    </w:rPr>
                  </w:pPr>
                  <w:r>
                    <w:rPr>
                      <w:color w:val="auto"/>
                      <w:sz w:val="18"/>
                      <w:szCs w:val="18"/>
                    </w:rPr>
                    <w:t>停机检查维修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981" w:type="dxa"/>
                  <w:vMerge w:val="continue"/>
                  <w:noWrap w:val="0"/>
                  <w:vAlign w:val="center"/>
                </w:tcPr>
                <w:p>
                  <w:pPr>
                    <w:pStyle w:val="49"/>
                    <w:ind w:firstLine="0" w:firstLineChars="0"/>
                    <w:jc w:val="center"/>
                    <w:rPr>
                      <w:rFonts w:hint="eastAsia"/>
                      <w:color w:val="auto"/>
                      <w:sz w:val="18"/>
                      <w:szCs w:val="18"/>
                      <w:lang w:val="en-US" w:eastAsia="zh-CN"/>
                    </w:rPr>
                  </w:pPr>
                </w:p>
              </w:tc>
              <w:tc>
                <w:tcPr>
                  <w:tcW w:w="1690" w:type="dxa"/>
                  <w:vMerge w:val="continue"/>
                  <w:noWrap w:val="0"/>
                  <w:vAlign w:val="center"/>
                </w:tcPr>
                <w:p>
                  <w:pPr>
                    <w:jc w:val="center"/>
                    <w:rPr>
                      <w:color w:val="auto"/>
                      <w:sz w:val="18"/>
                      <w:szCs w:val="18"/>
                    </w:rPr>
                  </w:pPr>
                </w:p>
              </w:tc>
              <w:tc>
                <w:tcPr>
                  <w:tcW w:w="1200" w:type="dxa"/>
                  <w:noWrap w:val="0"/>
                  <w:vAlign w:val="center"/>
                </w:tcPr>
                <w:p>
                  <w:pPr>
                    <w:pStyle w:val="49"/>
                    <w:ind w:firstLine="0" w:firstLineChars="0"/>
                    <w:jc w:val="center"/>
                    <w:rPr>
                      <w:rFonts w:hint="eastAsia"/>
                      <w:color w:val="auto"/>
                      <w:sz w:val="18"/>
                      <w:szCs w:val="18"/>
                    </w:rPr>
                  </w:pPr>
                  <w:r>
                    <w:rPr>
                      <w:rFonts w:hint="eastAsia" w:ascii="Times New Roman" w:hAnsi="Times New Roman" w:cs="Times New Roman"/>
                      <w:color w:val="auto"/>
                      <w:sz w:val="18"/>
                      <w:szCs w:val="18"/>
                    </w:rPr>
                    <w:t>NOx</w:t>
                  </w:r>
                </w:p>
              </w:tc>
              <w:tc>
                <w:tcPr>
                  <w:tcW w:w="1125" w:type="dxa"/>
                  <w:noWrap w:val="0"/>
                  <w:vAlign w:val="center"/>
                </w:tcPr>
                <w:p>
                  <w:pPr>
                    <w:adjustRightInd w:val="0"/>
                    <w:snapToGrid w:val="0"/>
                    <w:jc w:val="center"/>
                    <w:rPr>
                      <w:rFonts w:hint="eastAsia" w:ascii="Times New Roman" w:hAnsi="Times New Roman" w:eastAsia="宋体" w:cs="Times New Roman"/>
                      <w:bCs/>
                      <w:color w:val="auto"/>
                      <w:sz w:val="18"/>
                      <w:szCs w:val="15"/>
                      <w:lang w:val="en-US" w:eastAsia="zh-CN"/>
                    </w:rPr>
                  </w:pPr>
                  <w:r>
                    <w:rPr>
                      <w:rFonts w:hint="default" w:ascii="Times New Roman" w:hAnsi="Times New Roman" w:eastAsia="宋体" w:cs="Times New Roman"/>
                      <w:color w:val="auto"/>
                      <w:sz w:val="18"/>
                      <w:szCs w:val="18"/>
                      <w:lang w:val="en-US" w:eastAsia="zh-CN"/>
                    </w:rPr>
                    <w:t xml:space="preserve">25.0430 </w:t>
                  </w:r>
                </w:p>
              </w:tc>
              <w:tc>
                <w:tcPr>
                  <w:tcW w:w="1087" w:type="dxa"/>
                  <w:noWrap w:val="0"/>
                  <w:vAlign w:val="center"/>
                </w:tcPr>
                <w:p>
                  <w:pPr>
                    <w:jc w:val="center"/>
                    <w:rPr>
                      <w:rFonts w:hint="eastAsia"/>
                      <w:color w:val="auto"/>
                      <w:sz w:val="18"/>
                      <w:szCs w:val="18"/>
                    </w:rPr>
                  </w:pPr>
                  <w:r>
                    <w:rPr>
                      <w:rFonts w:hint="eastAsia"/>
                      <w:color w:val="auto"/>
                      <w:sz w:val="18"/>
                      <w:szCs w:val="18"/>
                    </w:rPr>
                    <w:t>1</w:t>
                  </w:r>
                </w:p>
              </w:tc>
              <w:tc>
                <w:tcPr>
                  <w:tcW w:w="938" w:type="dxa"/>
                  <w:noWrap w:val="0"/>
                  <w:vAlign w:val="center"/>
                </w:tcPr>
                <w:p>
                  <w:pPr>
                    <w:jc w:val="center"/>
                    <w:rPr>
                      <w:rFonts w:hint="eastAsia"/>
                      <w:color w:val="auto"/>
                      <w:sz w:val="18"/>
                      <w:szCs w:val="18"/>
                    </w:rPr>
                  </w:pPr>
                  <w:r>
                    <w:rPr>
                      <w:rFonts w:hint="eastAsia"/>
                      <w:color w:val="auto"/>
                      <w:sz w:val="18"/>
                      <w:szCs w:val="18"/>
                    </w:rPr>
                    <w:t>1</w:t>
                  </w:r>
                </w:p>
              </w:tc>
              <w:tc>
                <w:tcPr>
                  <w:tcW w:w="900" w:type="dxa"/>
                  <w:vMerge w:val="continue"/>
                  <w:noWrap w:val="0"/>
                  <w:vAlign w:val="center"/>
                </w:tcPr>
                <w:p>
                  <w:pPr>
                    <w:jc w:val="center"/>
                    <w:rPr>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981" w:type="dxa"/>
                  <w:vMerge w:val="continue"/>
                  <w:noWrap w:val="0"/>
                  <w:vAlign w:val="center"/>
                </w:tcPr>
                <w:p>
                  <w:pPr>
                    <w:pStyle w:val="49"/>
                    <w:ind w:firstLine="0" w:firstLineChars="0"/>
                    <w:jc w:val="center"/>
                    <w:rPr>
                      <w:rFonts w:hint="eastAsia"/>
                      <w:color w:val="auto"/>
                      <w:sz w:val="18"/>
                      <w:szCs w:val="18"/>
                      <w:lang w:val="en-US" w:eastAsia="zh-CN"/>
                    </w:rPr>
                  </w:pPr>
                </w:p>
              </w:tc>
              <w:tc>
                <w:tcPr>
                  <w:tcW w:w="1690" w:type="dxa"/>
                  <w:vMerge w:val="continue"/>
                  <w:noWrap w:val="0"/>
                  <w:vAlign w:val="center"/>
                </w:tcPr>
                <w:p>
                  <w:pPr>
                    <w:jc w:val="center"/>
                    <w:rPr>
                      <w:color w:val="auto"/>
                      <w:sz w:val="18"/>
                      <w:szCs w:val="18"/>
                    </w:rPr>
                  </w:pPr>
                </w:p>
              </w:tc>
              <w:tc>
                <w:tcPr>
                  <w:tcW w:w="1200" w:type="dxa"/>
                  <w:noWrap w:val="0"/>
                  <w:vAlign w:val="center"/>
                </w:tcPr>
                <w:p>
                  <w:pPr>
                    <w:pStyle w:val="49"/>
                    <w:ind w:firstLine="0" w:firstLineChars="0"/>
                    <w:jc w:val="center"/>
                    <w:rPr>
                      <w:rFonts w:hint="eastAsia"/>
                      <w:color w:val="auto"/>
                      <w:sz w:val="18"/>
                      <w:szCs w:val="18"/>
                    </w:rPr>
                  </w:pPr>
                  <w:r>
                    <w:rPr>
                      <w:rFonts w:hint="eastAsia" w:ascii="Times New Roman" w:hAnsi="Times New Roman" w:cs="Times New Roman"/>
                      <w:color w:val="auto"/>
                      <w:sz w:val="18"/>
                      <w:szCs w:val="18"/>
                    </w:rPr>
                    <w:t>颗粒物</w:t>
                  </w:r>
                </w:p>
              </w:tc>
              <w:tc>
                <w:tcPr>
                  <w:tcW w:w="1125" w:type="dxa"/>
                  <w:noWrap w:val="0"/>
                  <w:vAlign w:val="center"/>
                </w:tcPr>
                <w:p>
                  <w:pPr>
                    <w:adjustRightInd w:val="0"/>
                    <w:snapToGrid w:val="0"/>
                    <w:jc w:val="center"/>
                    <w:rPr>
                      <w:rFonts w:hint="eastAsia" w:ascii="Times New Roman" w:hAnsi="Times New Roman" w:eastAsia="宋体" w:cs="Times New Roman"/>
                      <w:bCs/>
                      <w:color w:val="auto"/>
                      <w:sz w:val="18"/>
                      <w:szCs w:val="15"/>
                      <w:lang w:val="en-US" w:eastAsia="zh-CN"/>
                    </w:rPr>
                  </w:pPr>
                  <w:r>
                    <w:rPr>
                      <w:rFonts w:hint="default" w:ascii="Times New Roman" w:hAnsi="Times New Roman" w:eastAsia="宋体" w:cs="Times New Roman"/>
                      <w:color w:val="auto"/>
                      <w:sz w:val="18"/>
                      <w:szCs w:val="18"/>
                      <w:lang w:val="en-US" w:eastAsia="zh-CN"/>
                    </w:rPr>
                    <w:t xml:space="preserve">3.8301 </w:t>
                  </w:r>
                </w:p>
              </w:tc>
              <w:tc>
                <w:tcPr>
                  <w:tcW w:w="1087" w:type="dxa"/>
                  <w:noWrap w:val="0"/>
                  <w:vAlign w:val="center"/>
                </w:tcPr>
                <w:p>
                  <w:pPr>
                    <w:jc w:val="center"/>
                    <w:rPr>
                      <w:rFonts w:hint="eastAsia"/>
                      <w:color w:val="auto"/>
                      <w:sz w:val="18"/>
                      <w:szCs w:val="18"/>
                    </w:rPr>
                  </w:pPr>
                  <w:r>
                    <w:rPr>
                      <w:rFonts w:hint="eastAsia"/>
                      <w:color w:val="auto"/>
                      <w:sz w:val="18"/>
                      <w:szCs w:val="18"/>
                    </w:rPr>
                    <w:t>1</w:t>
                  </w:r>
                </w:p>
              </w:tc>
              <w:tc>
                <w:tcPr>
                  <w:tcW w:w="938" w:type="dxa"/>
                  <w:noWrap w:val="0"/>
                  <w:vAlign w:val="center"/>
                </w:tcPr>
                <w:p>
                  <w:pPr>
                    <w:jc w:val="center"/>
                    <w:rPr>
                      <w:rFonts w:hint="eastAsia"/>
                      <w:color w:val="auto"/>
                      <w:sz w:val="18"/>
                      <w:szCs w:val="18"/>
                    </w:rPr>
                  </w:pPr>
                  <w:r>
                    <w:rPr>
                      <w:rFonts w:hint="eastAsia"/>
                      <w:color w:val="auto"/>
                      <w:sz w:val="18"/>
                      <w:szCs w:val="18"/>
                    </w:rPr>
                    <w:t>1</w:t>
                  </w:r>
                </w:p>
              </w:tc>
              <w:tc>
                <w:tcPr>
                  <w:tcW w:w="900" w:type="dxa"/>
                  <w:vMerge w:val="continue"/>
                  <w:noWrap w:val="0"/>
                  <w:vAlign w:val="center"/>
                </w:tcPr>
                <w:p>
                  <w:pPr>
                    <w:jc w:val="center"/>
                    <w:rPr>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981" w:type="dxa"/>
                  <w:vMerge w:val="restart"/>
                  <w:shd w:val="clear" w:color="auto" w:fill="auto"/>
                  <w:noWrap w:val="0"/>
                  <w:vAlign w:val="center"/>
                </w:tcPr>
                <w:p>
                  <w:pPr>
                    <w:pStyle w:val="49"/>
                    <w:ind w:firstLine="0" w:firstLineChars="0"/>
                    <w:jc w:val="center"/>
                    <w:rPr>
                      <w:rFonts w:hint="eastAsia" w:ascii="Times New Roman" w:hAnsi="Times New Roman" w:eastAsia="宋体" w:cs="Times New Roman"/>
                      <w:bCs/>
                      <w:color w:val="auto"/>
                      <w:kern w:val="0"/>
                      <w:sz w:val="18"/>
                      <w:szCs w:val="18"/>
                      <w:lang w:val="en-US" w:eastAsia="zh-CN" w:bidi="ar-SA"/>
                    </w:rPr>
                  </w:pPr>
                  <w:r>
                    <w:rPr>
                      <w:rFonts w:hint="eastAsia" w:ascii="Times New Roman" w:hAnsi="Times New Roman" w:eastAsia="宋体" w:cs="Times New Roman"/>
                      <w:bCs/>
                      <w:color w:val="auto"/>
                      <w:sz w:val="18"/>
                      <w:szCs w:val="18"/>
                      <w:lang w:val="en-US" w:eastAsia="zh-CN"/>
                    </w:rPr>
                    <w:t>DA008</w:t>
                  </w:r>
                </w:p>
              </w:tc>
              <w:tc>
                <w:tcPr>
                  <w:tcW w:w="1690" w:type="dxa"/>
                  <w:vMerge w:val="restart"/>
                  <w:noWrap w:val="0"/>
                  <w:vAlign w:val="center"/>
                </w:tcPr>
                <w:p>
                  <w:pPr>
                    <w:jc w:val="center"/>
                    <w:rPr>
                      <w:color w:val="auto"/>
                      <w:sz w:val="18"/>
                      <w:szCs w:val="18"/>
                    </w:rPr>
                  </w:pPr>
                  <w:r>
                    <w:rPr>
                      <w:color w:val="auto"/>
                      <w:sz w:val="18"/>
                      <w:szCs w:val="18"/>
                    </w:rPr>
                    <w:t>处理装置故障</w:t>
                  </w:r>
                  <w:r>
                    <w:rPr>
                      <w:rFonts w:hint="eastAsia"/>
                      <w:color w:val="auto"/>
                      <w:sz w:val="18"/>
                      <w:szCs w:val="18"/>
                    </w:rPr>
                    <w:t>、</w:t>
                  </w:r>
                  <w:r>
                    <w:rPr>
                      <w:color w:val="auto"/>
                      <w:sz w:val="18"/>
                      <w:szCs w:val="18"/>
                    </w:rPr>
                    <w:t>处理装置</w:t>
                  </w:r>
                  <w:r>
                    <w:rPr>
                      <w:rFonts w:hint="eastAsia"/>
                      <w:color w:val="auto"/>
                      <w:sz w:val="18"/>
                      <w:szCs w:val="18"/>
                    </w:rPr>
                    <w:t>吸附效率下降至0%</w:t>
                  </w:r>
                </w:p>
              </w:tc>
              <w:tc>
                <w:tcPr>
                  <w:tcW w:w="1200" w:type="dxa"/>
                  <w:noWrap w:val="0"/>
                  <w:vAlign w:val="center"/>
                </w:tcPr>
                <w:p>
                  <w:pPr>
                    <w:pStyle w:val="49"/>
                    <w:ind w:firstLine="0" w:firstLineChars="0"/>
                    <w:jc w:val="center"/>
                    <w:rPr>
                      <w:rFonts w:hint="eastAsia" w:ascii="Times New Roman" w:hAnsi="Times New Roman" w:cs="Times New Roman"/>
                      <w:color w:val="auto"/>
                      <w:sz w:val="18"/>
                      <w:szCs w:val="18"/>
                    </w:rPr>
                  </w:pPr>
                  <w:r>
                    <w:rPr>
                      <w:rFonts w:hint="eastAsia" w:ascii="Times New Roman" w:hAnsi="Times New Roman" w:cs="Times New Roman"/>
                      <w:color w:val="auto"/>
                      <w:sz w:val="18"/>
                      <w:szCs w:val="18"/>
                    </w:rPr>
                    <w:t>SO</w:t>
                  </w:r>
                  <w:r>
                    <w:rPr>
                      <w:rFonts w:hint="eastAsia" w:ascii="Times New Roman" w:hAnsi="Times New Roman" w:cs="Times New Roman"/>
                      <w:color w:val="auto"/>
                      <w:sz w:val="18"/>
                      <w:szCs w:val="18"/>
                      <w:vertAlign w:val="subscript"/>
                    </w:rPr>
                    <w:t>2</w:t>
                  </w:r>
                </w:p>
              </w:tc>
              <w:tc>
                <w:tcPr>
                  <w:tcW w:w="1125" w:type="dxa"/>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auto"/>
                      <w:sz w:val="18"/>
                      <w:szCs w:val="15"/>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0.4608 </w:t>
                  </w:r>
                </w:p>
              </w:tc>
              <w:tc>
                <w:tcPr>
                  <w:tcW w:w="1087" w:type="dxa"/>
                  <w:noWrap w:val="0"/>
                  <w:vAlign w:val="center"/>
                </w:tcPr>
                <w:p>
                  <w:pPr>
                    <w:jc w:val="center"/>
                    <w:rPr>
                      <w:rFonts w:hint="eastAsia"/>
                      <w:color w:val="auto"/>
                      <w:sz w:val="18"/>
                      <w:szCs w:val="18"/>
                    </w:rPr>
                  </w:pPr>
                  <w:r>
                    <w:rPr>
                      <w:rFonts w:hint="eastAsia"/>
                      <w:color w:val="auto"/>
                      <w:sz w:val="18"/>
                      <w:szCs w:val="18"/>
                    </w:rPr>
                    <w:t>1</w:t>
                  </w:r>
                </w:p>
              </w:tc>
              <w:tc>
                <w:tcPr>
                  <w:tcW w:w="938" w:type="dxa"/>
                  <w:noWrap w:val="0"/>
                  <w:vAlign w:val="center"/>
                </w:tcPr>
                <w:p>
                  <w:pPr>
                    <w:jc w:val="center"/>
                    <w:rPr>
                      <w:rFonts w:hint="eastAsia"/>
                      <w:color w:val="auto"/>
                      <w:sz w:val="18"/>
                      <w:szCs w:val="18"/>
                    </w:rPr>
                  </w:pPr>
                  <w:r>
                    <w:rPr>
                      <w:rFonts w:hint="eastAsia"/>
                      <w:color w:val="auto"/>
                      <w:sz w:val="18"/>
                      <w:szCs w:val="18"/>
                    </w:rPr>
                    <w:t>1</w:t>
                  </w:r>
                </w:p>
              </w:tc>
              <w:tc>
                <w:tcPr>
                  <w:tcW w:w="900" w:type="dxa"/>
                  <w:vMerge w:val="restart"/>
                  <w:noWrap w:val="0"/>
                  <w:vAlign w:val="center"/>
                </w:tcPr>
                <w:p>
                  <w:pPr>
                    <w:jc w:val="center"/>
                    <w:rPr>
                      <w:color w:val="auto"/>
                      <w:sz w:val="18"/>
                      <w:szCs w:val="18"/>
                    </w:rPr>
                  </w:pPr>
                  <w:r>
                    <w:rPr>
                      <w:color w:val="auto"/>
                      <w:sz w:val="18"/>
                      <w:szCs w:val="18"/>
                    </w:rPr>
                    <w:t>停机检查维修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981" w:type="dxa"/>
                  <w:vMerge w:val="continue"/>
                  <w:noWrap w:val="0"/>
                  <w:vAlign w:val="center"/>
                </w:tcPr>
                <w:p>
                  <w:pPr>
                    <w:pStyle w:val="49"/>
                    <w:ind w:firstLine="0" w:firstLineChars="0"/>
                    <w:jc w:val="center"/>
                    <w:rPr>
                      <w:rFonts w:hint="eastAsia"/>
                      <w:color w:val="auto"/>
                      <w:sz w:val="18"/>
                      <w:szCs w:val="18"/>
                      <w:lang w:val="en-US" w:eastAsia="zh-CN"/>
                    </w:rPr>
                  </w:pPr>
                </w:p>
              </w:tc>
              <w:tc>
                <w:tcPr>
                  <w:tcW w:w="1690" w:type="dxa"/>
                  <w:vMerge w:val="continue"/>
                  <w:noWrap w:val="0"/>
                  <w:vAlign w:val="center"/>
                </w:tcPr>
                <w:p>
                  <w:pPr>
                    <w:jc w:val="center"/>
                    <w:rPr>
                      <w:color w:val="auto"/>
                      <w:sz w:val="18"/>
                      <w:szCs w:val="18"/>
                    </w:rPr>
                  </w:pPr>
                </w:p>
              </w:tc>
              <w:tc>
                <w:tcPr>
                  <w:tcW w:w="1200" w:type="dxa"/>
                  <w:noWrap w:val="0"/>
                  <w:vAlign w:val="center"/>
                </w:tcPr>
                <w:p>
                  <w:pPr>
                    <w:pStyle w:val="49"/>
                    <w:ind w:firstLine="0" w:firstLineChars="0"/>
                    <w:jc w:val="center"/>
                    <w:rPr>
                      <w:rFonts w:hint="eastAsia" w:ascii="Times New Roman" w:hAnsi="Times New Roman" w:cs="Times New Roman"/>
                      <w:color w:val="auto"/>
                      <w:sz w:val="18"/>
                      <w:szCs w:val="18"/>
                    </w:rPr>
                  </w:pPr>
                  <w:r>
                    <w:rPr>
                      <w:rFonts w:hint="eastAsia" w:ascii="Times New Roman" w:hAnsi="Times New Roman" w:cs="Times New Roman"/>
                      <w:color w:val="auto"/>
                      <w:sz w:val="18"/>
                      <w:szCs w:val="18"/>
                    </w:rPr>
                    <w:t>NOx</w:t>
                  </w:r>
                </w:p>
              </w:tc>
              <w:tc>
                <w:tcPr>
                  <w:tcW w:w="1125" w:type="dxa"/>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auto"/>
                      <w:sz w:val="18"/>
                      <w:szCs w:val="15"/>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4.3085 </w:t>
                  </w:r>
                </w:p>
              </w:tc>
              <w:tc>
                <w:tcPr>
                  <w:tcW w:w="1087" w:type="dxa"/>
                  <w:noWrap w:val="0"/>
                  <w:vAlign w:val="center"/>
                </w:tcPr>
                <w:p>
                  <w:pPr>
                    <w:jc w:val="center"/>
                    <w:rPr>
                      <w:rFonts w:hint="eastAsia"/>
                      <w:color w:val="auto"/>
                      <w:sz w:val="18"/>
                      <w:szCs w:val="18"/>
                    </w:rPr>
                  </w:pPr>
                  <w:r>
                    <w:rPr>
                      <w:rFonts w:hint="eastAsia"/>
                      <w:color w:val="auto"/>
                      <w:sz w:val="18"/>
                      <w:szCs w:val="18"/>
                    </w:rPr>
                    <w:t>1</w:t>
                  </w:r>
                </w:p>
              </w:tc>
              <w:tc>
                <w:tcPr>
                  <w:tcW w:w="938" w:type="dxa"/>
                  <w:noWrap w:val="0"/>
                  <w:vAlign w:val="center"/>
                </w:tcPr>
                <w:p>
                  <w:pPr>
                    <w:jc w:val="center"/>
                    <w:rPr>
                      <w:rFonts w:hint="eastAsia"/>
                      <w:color w:val="auto"/>
                      <w:sz w:val="18"/>
                      <w:szCs w:val="18"/>
                    </w:rPr>
                  </w:pPr>
                  <w:r>
                    <w:rPr>
                      <w:rFonts w:hint="eastAsia"/>
                      <w:color w:val="auto"/>
                      <w:sz w:val="18"/>
                      <w:szCs w:val="18"/>
                    </w:rPr>
                    <w:t>1</w:t>
                  </w:r>
                </w:p>
              </w:tc>
              <w:tc>
                <w:tcPr>
                  <w:tcW w:w="900" w:type="dxa"/>
                  <w:vMerge w:val="continue"/>
                  <w:noWrap w:val="0"/>
                  <w:vAlign w:val="center"/>
                </w:tcPr>
                <w:p>
                  <w:pPr>
                    <w:jc w:val="center"/>
                    <w:rPr>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981" w:type="dxa"/>
                  <w:vMerge w:val="continue"/>
                  <w:noWrap w:val="0"/>
                  <w:vAlign w:val="center"/>
                </w:tcPr>
                <w:p>
                  <w:pPr>
                    <w:pStyle w:val="49"/>
                    <w:ind w:firstLine="0" w:firstLineChars="0"/>
                    <w:jc w:val="center"/>
                    <w:rPr>
                      <w:rFonts w:hint="eastAsia"/>
                      <w:color w:val="auto"/>
                      <w:sz w:val="18"/>
                      <w:szCs w:val="18"/>
                      <w:lang w:val="en-US" w:eastAsia="zh-CN"/>
                    </w:rPr>
                  </w:pPr>
                </w:p>
              </w:tc>
              <w:tc>
                <w:tcPr>
                  <w:tcW w:w="1690" w:type="dxa"/>
                  <w:vMerge w:val="continue"/>
                  <w:noWrap w:val="0"/>
                  <w:vAlign w:val="center"/>
                </w:tcPr>
                <w:p>
                  <w:pPr>
                    <w:jc w:val="center"/>
                    <w:rPr>
                      <w:color w:val="auto"/>
                      <w:sz w:val="18"/>
                      <w:szCs w:val="18"/>
                    </w:rPr>
                  </w:pPr>
                </w:p>
              </w:tc>
              <w:tc>
                <w:tcPr>
                  <w:tcW w:w="1200" w:type="dxa"/>
                  <w:noWrap w:val="0"/>
                  <w:vAlign w:val="center"/>
                </w:tcPr>
                <w:p>
                  <w:pPr>
                    <w:pStyle w:val="49"/>
                    <w:ind w:firstLine="0" w:firstLineChars="0"/>
                    <w:jc w:val="center"/>
                    <w:rPr>
                      <w:rFonts w:hint="eastAsia" w:ascii="Times New Roman" w:hAnsi="Times New Roman" w:cs="Times New Roman"/>
                      <w:color w:val="auto"/>
                      <w:sz w:val="18"/>
                      <w:szCs w:val="18"/>
                    </w:rPr>
                  </w:pPr>
                  <w:r>
                    <w:rPr>
                      <w:rFonts w:hint="eastAsia" w:ascii="Times New Roman" w:hAnsi="Times New Roman" w:cs="Times New Roman"/>
                      <w:color w:val="auto"/>
                      <w:sz w:val="18"/>
                      <w:szCs w:val="18"/>
                    </w:rPr>
                    <w:t>颗粒物</w:t>
                  </w:r>
                </w:p>
              </w:tc>
              <w:tc>
                <w:tcPr>
                  <w:tcW w:w="1125" w:type="dxa"/>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auto"/>
                      <w:sz w:val="18"/>
                      <w:szCs w:val="15"/>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0.6589 </w:t>
                  </w:r>
                </w:p>
              </w:tc>
              <w:tc>
                <w:tcPr>
                  <w:tcW w:w="1087" w:type="dxa"/>
                  <w:noWrap w:val="0"/>
                  <w:vAlign w:val="center"/>
                </w:tcPr>
                <w:p>
                  <w:pPr>
                    <w:jc w:val="center"/>
                    <w:rPr>
                      <w:rFonts w:hint="eastAsia"/>
                      <w:color w:val="auto"/>
                      <w:sz w:val="18"/>
                      <w:szCs w:val="18"/>
                    </w:rPr>
                  </w:pPr>
                  <w:r>
                    <w:rPr>
                      <w:rFonts w:hint="eastAsia"/>
                      <w:color w:val="auto"/>
                      <w:sz w:val="18"/>
                      <w:szCs w:val="18"/>
                    </w:rPr>
                    <w:t>1</w:t>
                  </w:r>
                </w:p>
              </w:tc>
              <w:tc>
                <w:tcPr>
                  <w:tcW w:w="938" w:type="dxa"/>
                  <w:noWrap w:val="0"/>
                  <w:vAlign w:val="center"/>
                </w:tcPr>
                <w:p>
                  <w:pPr>
                    <w:jc w:val="center"/>
                    <w:rPr>
                      <w:rFonts w:hint="eastAsia"/>
                      <w:color w:val="auto"/>
                      <w:sz w:val="18"/>
                      <w:szCs w:val="18"/>
                    </w:rPr>
                  </w:pPr>
                  <w:r>
                    <w:rPr>
                      <w:rFonts w:hint="eastAsia"/>
                      <w:color w:val="auto"/>
                      <w:sz w:val="18"/>
                      <w:szCs w:val="18"/>
                    </w:rPr>
                    <w:t>1</w:t>
                  </w:r>
                </w:p>
              </w:tc>
              <w:tc>
                <w:tcPr>
                  <w:tcW w:w="900" w:type="dxa"/>
                  <w:vMerge w:val="continue"/>
                  <w:noWrap w:val="0"/>
                  <w:vAlign w:val="center"/>
                </w:tcPr>
                <w:p>
                  <w:pPr>
                    <w:jc w:val="center"/>
                    <w:rPr>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981" w:type="dxa"/>
                  <w:vMerge w:val="restart"/>
                  <w:shd w:val="clear" w:color="auto" w:fill="auto"/>
                  <w:noWrap w:val="0"/>
                  <w:vAlign w:val="center"/>
                </w:tcPr>
                <w:p>
                  <w:pPr>
                    <w:pStyle w:val="49"/>
                    <w:ind w:firstLine="0" w:firstLineChars="0"/>
                    <w:jc w:val="center"/>
                    <w:rPr>
                      <w:rFonts w:hint="eastAsia" w:ascii="Times New Roman" w:hAnsi="Times New Roman" w:eastAsia="宋体" w:cs="Times New Roman"/>
                      <w:bCs/>
                      <w:color w:val="auto"/>
                      <w:kern w:val="0"/>
                      <w:sz w:val="18"/>
                      <w:szCs w:val="18"/>
                      <w:lang w:val="en-US" w:eastAsia="zh-CN" w:bidi="ar-SA"/>
                    </w:rPr>
                  </w:pPr>
                  <w:r>
                    <w:rPr>
                      <w:rFonts w:hint="eastAsia" w:ascii="Times New Roman" w:hAnsi="Times New Roman" w:eastAsia="宋体" w:cs="Times New Roman"/>
                      <w:bCs/>
                      <w:color w:val="auto"/>
                      <w:sz w:val="18"/>
                      <w:szCs w:val="18"/>
                      <w:lang w:val="en-US" w:eastAsia="zh-CN"/>
                    </w:rPr>
                    <w:t>DA004</w:t>
                  </w:r>
                </w:p>
              </w:tc>
              <w:tc>
                <w:tcPr>
                  <w:tcW w:w="1690" w:type="dxa"/>
                  <w:vMerge w:val="restart"/>
                  <w:noWrap w:val="0"/>
                  <w:vAlign w:val="center"/>
                </w:tcPr>
                <w:p>
                  <w:pPr>
                    <w:jc w:val="center"/>
                    <w:rPr>
                      <w:color w:val="auto"/>
                      <w:sz w:val="18"/>
                      <w:szCs w:val="18"/>
                    </w:rPr>
                  </w:pPr>
                  <w:r>
                    <w:rPr>
                      <w:color w:val="auto"/>
                      <w:sz w:val="18"/>
                      <w:szCs w:val="18"/>
                    </w:rPr>
                    <w:t>处理装置故障</w:t>
                  </w:r>
                  <w:r>
                    <w:rPr>
                      <w:rFonts w:hint="eastAsia"/>
                      <w:color w:val="auto"/>
                      <w:sz w:val="18"/>
                      <w:szCs w:val="18"/>
                    </w:rPr>
                    <w:t>、</w:t>
                  </w:r>
                  <w:r>
                    <w:rPr>
                      <w:color w:val="auto"/>
                      <w:sz w:val="18"/>
                      <w:szCs w:val="18"/>
                    </w:rPr>
                    <w:t>处理装置</w:t>
                  </w:r>
                  <w:r>
                    <w:rPr>
                      <w:rFonts w:hint="eastAsia"/>
                      <w:color w:val="auto"/>
                      <w:sz w:val="18"/>
                      <w:szCs w:val="18"/>
                    </w:rPr>
                    <w:t>吸附效率下降至0%</w:t>
                  </w:r>
                </w:p>
              </w:tc>
              <w:tc>
                <w:tcPr>
                  <w:tcW w:w="1200" w:type="dxa"/>
                  <w:noWrap w:val="0"/>
                  <w:vAlign w:val="center"/>
                </w:tcPr>
                <w:p>
                  <w:pPr>
                    <w:pStyle w:val="49"/>
                    <w:ind w:firstLine="0" w:firstLineChars="0"/>
                    <w:jc w:val="center"/>
                    <w:rPr>
                      <w:rFonts w:hint="eastAsia" w:ascii="Times New Roman" w:hAnsi="Times New Roman" w:cs="Times New Roman"/>
                      <w:color w:val="auto"/>
                      <w:sz w:val="18"/>
                      <w:szCs w:val="18"/>
                    </w:rPr>
                  </w:pPr>
                  <w:r>
                    <w:rPr>
                      <w:rFonts w:hint="eastAsia" w:ascii="Times New Roman" w:hAnsi="Times New Roman" w:cs="Times New Roman"/>
                      <w:color w:val="auto"/>
                      <w:sz w:val="18"/>
                      <w:szCs w:val="18"/>
                    </w:rPr>
                    <w:t>SO</w:t>
                  </w:r>
                  <w:r>
                    <w:rPr>
                      <w:rFonts w:hint="eastAsia" w:ascii="Times New Roman" w:hAnsi="Times New Roman" w:cs="Times New Roman"/>
                      <w:color w:val="auto"/>
                      <w:sz w:val="18"/>
                      <w:szCs w:val="18"/>
                      <w:vertAlign w:val="subscript"/>
                    </w:rPr>
                    <w:t>2</w:t>
                  </w:r>
                </w:p>
              </w:tc>
              <w:tc>
                <w:tcPr>
                  <w:tcW w:w="1125" w:type="dxa"/>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auto"/>
                      <w:sz w:val="18"/>
                      <w:szCs w:val="15"/>
                      <w:lang w:val="en-US" w:eastAsia="zh-CN"/>
                    </w:rPr>
                  </w:pPr>
                  <w:r>
                    <w:rPr>
                      <w:rFonts w:hint="default" w:ascii="Times New Roman" w:hAnsi="Times New Roman" w:eastAsia="宋体" w:cs="Times New Roman"/>
                      <w:i w:val="0"/>
                      <w:iCs w:val="0"/>
                      <w:color w:val="auto"/>
                      <w:kern w:val="0"/>
                      <w:sz w:val="18"/>
                      <w:szCs w:val="18"/>
                      <w:u w:val="none"/>
                      <w:lang w:val="en-US" w:eastAsia="zh-CN" w:bidi="ar"/>
                    </w:rPr>
                    <w:t>1.584</w:t>
                  </w:r>
                </w:p>
              </w:tc>
              <w:tc>
                <w:tcPr>
                  <w:tcW w:w="1087" w:type="dxa"/>
                  <w:noWrap w:val="0"/>
                  <w:vAlign w:val="center"/>
                </w:tcPr>
                <w:p>
                  <w:pPr>
                    <w:jc w:val="center"/>
                    <w:rPr>
                      <w:rFonts w:hint="eastAsia"/>
                      <w:color w:val="auto"/>
                      <w:sz w:val="18"/>
                      <w:szCs w:val="18"/>
                    </w:rPr>
                  </w:pPr>
                  <w:r>
                    <w:rPr>
                      <w:rFonts w:hint="eastAsia"/>
                      <w:color w:val="auto"/>
                      <w:sz w:val="18"/>
                      <w:szCs w:val="18"/>
                    </w:rPr>
                    <w:t>1</w:t>
                  </w:r>
                </w:p>
              </w:tc>
              <w:tc>
                <w:tcPr>
                  <w:tcW w:w="938" w:type="dxa"/>
                  <w:noWrap w:val="0"/>
                  <w:vAlign w:val="center"/>
                </w:tcPr>
                <w:p>
                  <w:pPr>
                    <w:jc w:val="center"/>
                    <w:rPr>
                      <w:rFonts w:hint="eastAsia"/>
                      <w:color w:val="auto"/>
                      <w:sz w:val="18"/>
                      <w:szCs w:val="18"/>
                    </w:rPr>
                  </w:pPr>
                  <w:r>
                    <w:rPr>
                      <w:rFonts w:hint="eastAsia"/>
                      <w:color w:val="auto"/>
                      <w:sz w:val="18"/>
                      <w:szCs w:val="18"/>
                    </w:rPr>
                    <w:t>1</w:t>
                  </w:r>
                </w:p>
              </w:tc>
              <w:tc>
                <w:tcPr>
                  <w:tcW w:w="900" w:type="dxa"/>
                  <w:vMerge w:val="restart"/>
                  <w:noWrap w:val="0"/>
                  <w:vAlign w:val="center"/>
                </w:tcPr>
                <w:p>
                  <w:pPr>
                    <w:jc w:val="center"/>
                    <w:rPr>
                      <w:color w:val="auto"/>
                      <w:sz w:val="18"/>
                      <w:szCs w:val="18"/>
                    </w:rPr>
                  </w:pPr>
                  <w:r>
                    <w:rPr>
                      <w:color w:val="auto"/>
                      <w:sz w:val="18"/>
                      <w:szCs w:val="18"/>
                    </w:rPr>
                    <w:t>停机检查维修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981" w:type="dxa"/>
                  <w:vMerge w:val="continue"/>
                  <w:noWrap w:val="0"/>
                  <w:vAlign w:val="center"/>
                </w:tcPr>
                <w:p>
                  <w:pPr>
                    <w:pStyle w:val="49"/>
                    <w:ind w:firstLine="0" w:firstLineChars="0"/>
                    <w:jc w:val="center"/>
                    <w:rPr>
                      <w:rFonts w:hint="eastAsia"/>
                      <w:color w:val="auto"/>
                      <w:sz w:val="18"/>
                      <w:szCs w:val="18"/>
                      <w:lang w:val="en-US" w:eastAsia="zh-CN"/>
                    </w:rPr>
                  </w:pPr>
                </w:p>
              </w:tc>
              <w:tc>
                <w:tcPr>
                  <w:tcW w:w="1690" w:type="dxa"/>
                  <w:vMerge w:val="continue"/>
                  <w:noWrap w:val="0"/>
                  <w:vAlign w:val="center"/>
                </w:tcPr>
                <w:p>
                  <w:pPr>
                    <w:jc w:val="center"/>
                    <w:rPr>
                      <w:color w:val="auto"/>
                      <w:sz w:val="18"/>
                      <w:szCs w:val="18"/>
                    </w:rPr>
                  </w:pPr>
                </w:p>
              </w:tc>
              <w:tc>
                <w:tcPr>
                  <w:tcW w:w="1200" w:type="dxa"/>
                  <w:noWrap w:val="0"/>
                  <w:vAlign w:val="center"/>
                </w:tcPr>
                <w:p>
                  <w:pPr>
                    <w:pStyle w:val="49"/>
                    <w:ind w:firstLine="0" w:firstLineChars="0"/>
                    <w:jc w:val="center"/>
                    <w:rPr>
                      <w:rFonts w:hint="eastAsia" w:ascii="Times New Roman" w:hAnsi="Times New Roman" w:cs="Times New Roman"/>
                      <w:color w:val="auto"/>
                      <w:sz w:val="18"/>
                      <w:szCs w:val="18"/>
                    </w:rPr>
                  </w:pPr>
                  <w:r>
                    <w:rPr>
                      <w:rFonts w:hint="eastAsia" w:ascii="Times New Roman" w:hAnsi="Times New Roman" w:cs="Times New Roman"/>
                      <w:color w:val="auto"/>
                      <w:sz w:val="18"/>
                      <w:szCs w:val="18"/>
                    </w:rPr>
                    <w:t>NOx</w:t>
                  </w:r>
                </w:p>
              </w:tc>
              <w:tc>
                <w:tcPr>
                  <w:tcW w:w="1125" w:type="dxa"/>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auto"/>
                      <w:sz w:val="18"/>
                      <w:szCs w:val="15"/>
                      <w:lang w:val="en-US" w:eastAsia="zh-CN"/>
                    </w:rPr>
                  </w:pPr>
                  <w:r>
                    <w:rPr>
                      <w:rFonts w:hint="default" w:ascii="Times New Roman" w:hAnsi="Times New Roman" w:eastAsia="宋体" w:cs="Times New Roman"/>
                      <w:i w:val="0"/>
                      <w:iCs w:val="0"/>
                      <w:color w:val="auto"/>
                      <w:kern w:val="0"/>
                      <w:sz w:val="18"/>
                      <w:szCs w:val="18"/>
                      <w:u w:val="none"/>
                      <w:lang w:val="en-US" w:eastAsia="zh-CN" w:bidi="ar"/>
                    </w:rPr>
                    <w:t>14.8104</w:t>
                  </w:r>
                </w:p>
              </w:tc>
              <w:tc>
                <w:tcPr>
                  <w:tcW w:w="1087" w:type="dxa"/>
                  <w:noWrap w:val="0"/>
                  <w:vAlign w:val="center"/>
                </w:tcPr>
                <w:p>
                  <w:pPr>
                    <w:jc w:val="center"/>
                    <w:rPr>
                      <w:rFonts w:hint="eastAsia"/>
                      <w:color w:val="auto"/>
                      <w:sz w:val="18"/>
                      <w:szCs w:val="18"/>
                    </w:rPr>
                  </w:pPr>
                  <w:r>
                    <w:rPr>
                      <w:rFonts w:hint="eastAsia"/>
                      <w:color w:val="auto"/>
                      <w:sz w:val="18"/>
                      <w:szCs w:val="18"/>
                    </w:rPr>
                    <w:t>1</w:t>
                  </w:r>
                </w:p>
              </w:tc>
              <w:tc>
                <w:tcPr>
                  <w:tcW w:w="938" w:type="dxa"/>
                  <w:noWrap w:val="0"/>
                  <w:vAlign w:val="center"/>
                </w:tcPr>
                <w:p>
                  <w:pPr>
                    <w:jc w:val="center"/>
                    <w:rPr>
                      <w:rFonts w:hint="eastAsia"/>
                      <w:color w:val="auto"/>
                      <w:sz w:val="18"/>
                      <w:szCs w:val="18"/>
                    </w:rPr>
                  </w:pPr>
                  <w:r>
                    <w:rPr>
                      <w:rFonts w:hint="eastAsia"/>
                      <w:color w:val="auto"/>
                      <w:sz w:val="18"/>
                      <w:szCs w:val="18"/>
                    </w:rPr>
                    <w:t>1</w:t>
                  </w:r>
                </w:p>
              </w:tc>
              <w:tc>
                <w:tcPr>
                  <w:tcW w:w="900" w:type="dxa"/>
                  <w:vMerge w:val="continue"/>
                  <w:noWrap w:val="0"/>
                  <w:vAlign w:val="center"/>
                </w:tcPr>
                <w:p>
                  <w:pPr>
                    <w:jc w:val="center"/>
                    <w:rPr>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981" w:type="dxa"/>
                  <w:vMerge w:val="continue"/>
                  <w:noWrap w:val="0"/>
                  <w:vAlign w:val="center"/>
                </w:tcPr>
                <w:p>
                  <w:pPr>
                    <w:pStyle w:val="49"/>
                    <w:ind w:firstLine="0" w:firstLineChars="0"/>
                    <w:jc w:val="center"/>
                    <w:rPr>
                      <w:rFonts w:hint="eastAsia"/>
                      <w:color w:val="auto"/>
                      <w:sz w:val="18"/>
                      <w:szCs w:val="18"/>
                      <w:lang w:val="en-US" w:eastAsia="zh-CN"/>
                    </w:rPr>
                  </w:pPr>
                </w:p>
              </w:tc>
              <w:tc>
                <w:tcPr>
                  <w:tcW w:w="1690" w:type="dxa"/>
                  <w:vMerge w:val="continue"/>
                  <w:noWrap w:val="0"/>
                  <w:vAlign w:val="center"/>
                </w:tcPr>
                <w:p>
                  <w:pPr>
                    <w:jc w:val="center"/>
                    <w:rPr>
                      <w:color w:val="auto"/>
                      <w:sz w:val="18"/>
                      <w:szCs w:val="18"/>
                    </w:rPr>
                  </w:pPr>
                </w:p>
              </w:tc>
              <w:tc>
                <w:tcPr>
                  <w:tcW w:w="1200" w:type="dxa"/>
                  <w:noWrap w:val="0"/>
                  <w:vAlign w:val="center"/>
                </w:tcPr>
                <w:p>
                  <w:pPr>
                    <w:pStyle w:val="49"/>
                    <w:ind w:firstLine="0" w:firstLineChars="0"/>
                    <w:jc w:val="center"/>
                    <w:rPr>
                      <w:rFonts w:hint="eastAsia" w:ascii="Times New Roman" w:hAnsi="Times New Roman" w:cs="Times New Roman"/>
                      <w:color w:val="auto"/>
                      <w:sz w:val="18"/>
                      <w:szCs w:val="18"/>
                    </w:rPr>
                  </w:pPr>
                  <w:r>
                    <w:rPr>
                      <w:rFonts w:hint="eastAsia" w:ascii="Times New Roman" w:hAnsi="Times New Roman" w:cs="Times New Roman"/>
                      <w:color w:val="auto"/>
                      <w:sz w:val="18"/>
                      <w:szCs w:val="18"/>
                    </w:rPr>
                    <w:t>颗粒物</w:t>
                  </w:r>
                </w:p>
              </w:tc>
              <w:tc>
                <w:tcPr>
                  <w:tcW w:w="1125" w:type="dxa"/>
                  <w:noWrap w:val="0"/>
                  <w:vAlign w:val="center"/>
                </w:tcPr>
                <w:p>
                  <w:pPr>
                    <w:keepNext w:val="0"/>
                    <w:keepLines w:val="0"/>
                    <w:widowControl/>
                    <w:suppressLineNumbers w:val="0"/>
                    <w:jc w:val="center"/>
                    <w:textAlignment w:val="center"/>
                    <w:rPr>
                      <w:rFonts w:hint="eastAsia" w:ascii="Times New Roman" w:hAnsi="Times New Roman" w:eastAsia="宋体" w:cs="Times New Roman"/>
                      <w:bCs/>
                      <w:color w:val="auto"/>
                      <w:sz w:val="18"/>
                      <w:szCs w:val="15"/>
                      <w:lang w:val="en-US" w:eastAsia="zh-CN"/>
                    </w:rPr>
                  </w:pPr>
                  <w:r>
                    <w:rPr>
                      <w:rFonts w:hint="default" w:ascii="Times New Roman" w:hAnsi="Times New Roman" w:eastAsia="宋体" w:cs="Times New Roman"/>
                      <w:i w:val="0"/>
                      <w:iCs w:val="0"/>
                      <w:color w:val="auto"/>
                      <w:kern w:val="0"/>
                      <w:sz w:val="18"/>
                      <w:szCs w:val="18"/>
                      <w:u w:val="none"/>
                      <w:lang w:val="en-US" w:eastAsia="zh-CN" w:bidi="ar"/>
                    </w:rPr>
                    <w:t>2.26512</w:t>
                  </w:r>
                </w:p>
              </w:tc>
              <w:tc>
                <w:tcPr>
                  <w:tcW w:w="1087" w:type="dxa"/>
                  <w:noWrap w:val="0"/>
                  <w:vAlign w:val="center"/>
                </w:tcPr>
                <w:p>
                  <w:pPr>
                    <w:jc w:val="center"/>
                    <w:rPr>
                      <w:rFonts w:hint="eastAsia"/>
                      <w:color w:val="auto"/>
                      <w:sz w:val="18"/>
                      <w:szCs w:val="18"/>
                    </w:rPr>
                  </w:pPr>
                  <w:r>
                    <w:rPr>
                      <w:rFonts w:hint="eastAsia"/>
                      <w:color w:val="auto"/>
                      <w:sz w:val="18"/>
                      <w:szCs w:val="18"/>
                    </w:rPr>
                    <w:t>1</w:t>
                  </w:r>
                </w:p>
              </w:tc>
              <w:tc>
                <w:tcPr>
                  <w:tcW w:w="938" w:type="dxa"/>
                  <w:noWrap w:val="0"/>
                  <w:vAlign w:val="center"/>
                </w:tcPr>
                <w:p>
                  <w:pPr>
                    <w:jc w:val="center"/>
                    <w:rPr>
                      <w:rFonts w:hint="eastAsia"/>
                      <w:color w:val="auto"/>
                      <w:sz w:val="18"/>
                      <w:szCs w:val="18"/>
                    </w:rPr>
                  </w:pPr>
                  <w:r>
                    <w:rPr>
                      <w:rFonts w:hint="eastAsia"/>
                      <w:color w:val="auto"/>
                      <w:sz w:val="18"/>
                      <w:szCs w:val="18"/>
                    </w:rPr>
                    <w:t>1</w:t>
                  </w:r>
                </w:p>
              </w:tc>
              <w:tc>
                <w:tcPr>
                  <w:tcW w:w="900" w:type="dxa"/>
                  <w:vMerge w:val="continue"/>
                  <w:noWrap w:val="0"/>
                  <w:vAlign w:val="center"/>
                </w:tcPr>
                <w:p>
                  <w:pPr>
                    <w:jc w:val="center"/>
                    <w:rPr>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981" w:type="dxa"/>
                  <w:vMerge w:val="restart"/>
                  <w:shd w:val="clear" w:color="auto" w:fill="auto"/>
                  <w:noWrap w:val="0"/>
                  <w:vAlign w:val="center"/>
                </w:tcPr>
                <w:p>
                  <w:pPr>
                    <w:pStyle w:val="49"/>
                    <w:ind w:firstLine="0" w:firstLineChars="0"/>
                    <w:jc w:val="center"/>
                    <w:rPr>
                      <w:rFonts w:hint="eastAsia" w:ascii="Times New Roman" w:hAnsi="Times New Roman" w:eastAsia="宋体" w:cs="Times New Roman"/>
                      <w:bCs/>
                      <w:color w:val="auto"/>
                      <w:kern w:val="0"/>
                      <w:sz w:val="18"/>
                      <w:szCs w:val="18"/>
                      <w:lang w:val="en-US" w:eastAsia="zh-CN" w:bidi="ar-SA"/>
                    </w:rPr>
                  </w:pPr>
                  <w:r>
                    <w:rPr>
                      <w:rFonts w:hint="eastAsia" w:ascii="Times New Roman" w:hAnsi="Times New Roman" w:eastAsia="宋体" w:cs="Times New Roman"/>
                      <w:bCs/>
                      <w:color w:val="auto"/>
                      <w:sz w:val="18"/>
                      <w:szCs w:val="18"/>
                      <w:lang w:val="en-US" w:eastAsia="zh-CN"/>
                    </w:rPr>
                    <w:t>DA005</w:t>
                  </w:r>
                </w:p>
              </w:tc>
              <w:tc>
                <w:tcPr>
                  <w:tcW w:w="1690" w:type="dxa"/>
                  <w:vMerge w:val="restart"/>
                  <w:noWrap w:val="0"/>
                  <w:vAlign w:val="center"/>
                </w:tcPr>
                <w:p>
                  <w:pPr>
                    <w:jc w:val="center"/>
                    <w:rPr>
                      <w:color w:val="auto"/>
                      <w:sz w:val="18"/>
                      <w:szCs w:val="18"/>
                    </w:rPr>
                  </w:pPr>
                  <w:r>
                    <w:rPr>
                      <w:color w:val="auto"/>
                      <w:sz w:val="18"/>
                      <w:szCs w:val="18"/>
                    </w:rPr>
                    <w:t>处理装置故障</w:t>
                  </w:r>
                  <w:r>
                    <w:rPr>
                      <w:rFonts w:hint="eastAsia"/>
                      <w:color w:val="auto"/>
                      <w:sz w:val="18"/>
                      <w:szCs w:val="18"/>
                    </w:rPr>
                    <w:t>、</w:t>
                  </w:r>
                  <w:r>
                    <w:rPr>
                      <w:color w:val="auto"/>
                      <w:sz w:val="18"/>
                      <w:szCs w:val="18"/>
                    </w:rPr>
                    <w:t>处理装置</w:t>
                  </w:r>
                  <w:r>
                    <w:rPr>
                      <w:rFonts w:hint="eastAsia"/>
                      <w:color w:val="auto"/>
                      <w:sz w:val="18"/>
                      <w:szCs w:val="18"/>
                    </w:rPr>
                    <w:t>吸附效率下降至0%</w:t>
                  </w:r>
                </w:p>
              </w:tc>
              <w:tc>
                <w:tcPr>
                  <w:tcW w:w="1200" w:type="dxa"/>
                  <w:noWrap w:val="0"/>
                  <w:vAlign w:val="center"/>
                </w:tcPr>
                <w:p>
                  <w:pPr>
                    <w:pStyle w:val="49"/>
                    <w:ind w:firstLine="0" w:firstLineChars="0"/>
                    <w:jc w:val="center"/>
                    <w:rPr>
                      <w:rFonts w:hint="eastAsia" w:ascii="Times New Roman" w:hAnsi="Times New Roman" w:cs="Times New Roman"/>
                      <w:color w:val="auto"/>
                      <w:sz w:val="18"/>
                      <w:szCs w:val="18"/>
                    </w:rPr>
                  </w:pPr>
                  <w:r>
                    <w:rPr>
                      <w:rFonts w:hint="eastAsia" w:ascii="Times New Roman" w:hAnsi="Times New Roman" w:cs="Times New Roman"/>
                      <w:color w:val="auto"/>
                      <w:sz w:val="18"/>
                      <w:szCs w:val="18"/>
                    </w:rPr>
                    <w:t>SO</w:t>
                  </w:r>
                  <w:r>
                    <w:rPr>
                      <w:rFonts w:hint="eastAsia" w:ascii="Times New Roman" w:hAnsi="Times New Roman" w:cs="Times New Roman"/>
                      <w:color w:val="auto"/>
                      <w:sz w:val="18"/>
                      <w:szCs w:val="18"/>
                      <w:vertAlign w:val="subscript"/>
                    </w:rPr>
                    <w:t>2</w:t>
                  </w:r>
                </w:p>
              </w:tc>
              <w:tc>
                <w:tcPr>
                  <w:tcW w:w="1125" w:type="dxa"/>
                  <w:noWrap w:val="0"/>
                  <w:vAlign w:val="center"/>
                </w:tcPr>
                <w:p>
                  <w:pPr>
                    <w:adjustRightInd w:val="0"/>
                    <w:snapToGrid w:val="0"/>
                    <w:jc w:val="center"/>
                    <w:rPr>
                      <w:rFonts w:hint="eastAsia" w:ascii="Times New Roman" w:hAnsi="Times New Roman" w:eastAsia="宋体" w:cs="Times New Roman"/>
                      <w:bCs/>
                      <w:color w:val="auto"/>
                      <w:sz w:val="18"/>
                      <w:szCs w:val="15"/>
                      <w:lang w:val="en-US" w:eastAsia="zh-CN"/>
                    </w:rPr>
                  </w:pPr>
                  <w:r>
                    <w:rPr>
                      <w:rFonts w:hint="default" w:ascii="Times New Roman" w:hAnsi="Times New Roman" w:eastAsia="宋体" w:cs="Times New Roman"/>
                      <w:color w:val="auto"/>
                      <w:sz w:val="18"/>
                      <w:szCs w:val="18"/>
                      <w:lang w:val="en-US" w:eastAsia="zh-CN"/>
                    </w:rPr>
                    <w:t xml:space="preserve">1.2960 </w:t>
                  </w:r>
                </w:p>
              </w:tc>
              <w:tc>
                <w:tcPr>
                  <w:tcW w:w="1087" w:type="dxa"/>
                  <w:noWrap w:val="0"/>
                  <w:vAlign w:val="center"/>
                </w:tcPr>
                <w:p>
                  <w:pPr>
                    <w:jc w:val="center"/>
                    <w:rPr>
                      <w:rFonts w:hint="eastAsia"/>
                      <w:color w:val="auto"/>
                      <w:sz w:val="18"/>
                      <w:szCs w:val="18"/>
                    </w:rPr>
                  </w:pPr>
                  <w:r>
                    <w:rPr>
                      <w:rFonts w:hint="eastAsia"/>
                      <w:color w:val="auto"/>
                      <w:sz w:val="18"/>
                      <w:szCs w:val="18"/>
                    </w:rPr>
                    <w:t>1</w:t>
                  </w:r>
                </w:p>
              </w:tc>
              <w:tc>
                <w:tcPr>
                  <w:tcW w:w="938" w:type="dxa"/>
                  <w:noWrap w:val="0"/>
                  <w:vAlign w:val="center"/>
                </w:tcPr>
                <w:p>
                  <w:pPr>
                    <w:jc w:val="center"/>
                    <w:rPr>
                      <w:rFonts w:hint="eastAsia"/>
                      <w:color w:val="auto"/>
                      <w:sz w:val="18"/>
                      <w:szCs w:val="18"/>
                    </w:rPr>
                  </w:pPr>
                  <w:r>
                    <w:rPr>
                      <w:rFonts w:hint="eastAsia"/>
                      <w:color w:val="auto"/>
                      <w:sz w:val="18"/>
                      <w:szCs w:val="18"/>
                    </w:rPr>
                    <w:t>1</w:t>
                  </w:r>
                </w:p>
              </w:tc>
              <w:tc>
                <w:tcPr>
                  <w:tcW w:w="900" w:type="dxa"/>
                  <w:vMerge w:val="restart"/>
                  <w:noWrap w:val="0"/>
                  <w:vAlign w:val="center"/>
                </w:tcPr>
                <w:p>
                  <w:pPr>
                    <w:jc w:val="center"/>
                    <w:rPr>
                      <w:color w:val="auto"/>
                      <w:sz w:val="18"/>
                      <w:szCs w:val="18"/>
                    </w:rPr>
                  </w:pPr>
                  <w:r>
                    <w:rPr>
                      <w:color w:val="auto"/>
                      <w:sz w:val="18"/>
                      <w:szCs w:val="18"/>
                    </w:rPr>
                    <w:t>停机检查维修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981" w:type="dxa"/>
                  <w:vMerge w:val="continue"/>
                  <w:noWrap w:val="0"/>
                  <w:vAlign w:val="center"/>
                </w:tcPr>
                <w:p>
                  <w:pPr>
                    <w:pStyle w:val="49"/>
                    <w:ind w:firstLine="0" w:firstLineChars="0"/>
                    <w:jc w:val="center"/>
                    <w:rPr>
                      <w:rFonts w:hint="eastAsia"/>
                      <w:color w:val="auto"/>
                      <w:sz w:val="18"/>
                      <w:szCs w:val="18"/>
                      <w:lang w:val="en-US" w:eastAsia="zh-CN"/>
                    </w:rPr>
                  </w:pPr>
                </w:p>
              </w:tc>
              <w:tc>
                <w:tcPr>
                  <w:tcW w:w="1690" w:type="dxa"/>
                  <w:vMerge w:val="continue"/>
                  <w:noWrap w:val="0"/>
                  <w:vAlign w:val="center"/>
                </w:tcPr>
                <w:p>
                  <w:pPr>
                    <w:jc w:val="center"/>
                    <w:rPr>
                      <w:color w:val="auto"/>
                      <w:sz w:val="18"/>
                      <w:szCs w:val="18"/>
                    </w:rPr>
                  </w:pPr>
                </w:p>
              </w:tc>
              <w:tc>
                <w:tcPr>
                  <w:tcW w:w="1200" w:type="dxa"/>
                  <w:noWrap w:val="0"/>
                  <w:vAlign w:val="center"/>
                </w:tcPr>
                <w:p>
                  <w:pPr>
                    <w:pStyle w:val="49"/>
                    <w:ind w:firstLine="0" w:firstLineChars="0"/>
                    <w:jc w:val="center"/>
                    <w:rPr>
                      <w:rFonts w:hint="eastAsia" w:ascii="Times New Roman" w:hAnsi="Times New Roman" w:cs="Times New Roman"/>
                      <w:color w:val="auto"/>
                      <w:sz w:val="18"/>
                      <w:szCs w:val="18"/>
                    </w:rPr>
                  </w:pPr>
                  <w:r>
                    <w:rPr>
                      <w:rFonts w:hint="eastAsia" w:ascii="Times New Roman" w:hAnsi="Times New Roman" w:cs="Times New Roman"/>
                      <w:color w:val="auto"/>
                      <w:sz w:val="18"/>
                      <w:szCs w:val="18"/>
                    </w:rPr>
                    <w:t>NOx</w:t>
                  </w:r>
                </w:p>
              </w:tc>
              <w:tc>
                <w:tcPr>
                  <w:tcW w:w="1125" w:type="dxa"/>
                  <w:noWrap w:val="0"/>
                  <w:vAlign w:val="center"/>
                </w:tcPr>
                <w:p>
                  <w:pPr>
                    <w:adjustRightInd w:val="0"/>
                    <w:snapToGrid w:val="0"/>
                    <w:jc w:val="center"/>
                    <w:rPr>
                      <w:rFonts w:hint="eastAsia" w:ascii="Times New Roman" w:hAnsi="Times New Roman" w:eastAsia="宋体" w:cs="Times New Roman"/>
                      <w:bCs/>
                      <w:color w:val="auto"/>
                      <w:sz w:val="18"/>
                      <w:szCs w:val="15"/>
                      <w:lang w:val="en-US" w:eastAsia="zh-CN"/>
                    </w:rPr>
                  </w:pPr>
                  <w:r>
                    <w:rPr>
                      <w:rFonts w:hint="default" w:ascii="Times New Roman" w:hAnsi="Times New Roman" w:eastAsia="宋体" w:cs="Times New Roman"/>
                      <w:color w:val="auto"/>
                      <w:sz w:val="18"/>
                      <w:szCs w:val="18"/>
                      <w:lang w:val="en-US" w:eastAsia="zh-CN"/>
                    </w:rPr>
                    <w:t xml:space="preserve">12.1176 </w:t>
                  </w:r>
                </w:p>
              </w:tc>
              <w:tc>
                <w:tcPr>
                  <w:tcW w:w="1087" w:type="dxa"/>
                  <w:noWrap w:val="0"/>
                  <w:vAlign w:val="center"/>
                </w:tcPr>
                <w:p>
                  <w:pPr>
                    <w:jc w:val="center"/>
                    <w:rPr>
                      <w:rFonts w:hint="eastAsia"/>
                      <w:color w:val="auto"/>
                      <w:sz w:val="18"/>
                      <w:szCs w:val="18"/>
                    </w:rPr>
                  </w:pPr>
                  <w:r>
                    <w:rPr>
                      <w:rFonts w:hint="eastAsia"/>
                      <w:color w:val="auto"/>
                      <w:sz w:val="18"/>
                      <w:szCs w:val="18"/>
                    </w:rPr>
                    <w:t>1</w:t>
                  </w:r>
                </w:p>
              </w:tc>
              <w:tc>
                <w:tcPr>
                  <w:tcW w:w="938" w:type="dxa"/>
                  <w:noWrap w:val="0"/>
                  <w:vAlign w:val="center"/>
                </w:tcPr>
                <w:p>
                  <w:pPr>
                    <w:jc w:val="center"/>
                    <w:rPr>
                      <w:rFonts w:hint="eastAsia"/>
                      <w:color w:val="auto"/>
                      <w:sz w:val="18"/>
                      <w:szCs w:val="18"/>
                    </w:rPr>
                  </w:pPr>
                  <w:r>
                    <w:rPr>
                      <w:rFonts w:hint="eastAsia"/>
                      <w:color w:val="auto"/>
                      <w:sz w:val="18"/>
                      <w:szCs w:val="18"/>
                    </w:rPr>
                    <w:t>1</w:t>
                  </w:r>
                </w:p>
              </w:tc>
              <w:tc>
                <w:tcPr>
                  <w:tcW w:w="900" w:type="dxa"/>
                  <w:vMerge w:val="continue"/>
                  <w:noWrap w:val="0"/>
                  <w:vAlign w:val="center"/>
                </w:tcPr>
                <w:p>
                  <w:pPr>
                    <w:jc w:val="center"/>
                    <w:rPr>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981" w:type="dxa"/>
                  <w:vMerge w:val="continue"/>
                  <w:noWrap w:val="0"/>
                  <w:vAlign w:val="center"/>
                </w:tcPr>
                <w:p>
                  <w:pPr>
                    <w:pStyle w:val="49"/>
                    <w:ind w:firstLine="0" w:firstLineChars="0"/>
                    <w:jc w:val="center"/>
                    <w:rPr>
                      <w:rFonts w:hint="eastAsia"/>
                      <w:color w:val="auto"/>
                      <w:sz w:val="18"/>
                      <w:szCs w:val="18"/>
                      <w:lang w:val="en-US" w:eastAsia="zh-CN"/>
                    </w:rPr>
                  </w:pPr>
                </w:p>
              </w:tc>
              <w:tc>
                <w:tcPr>
                  <w:tcW w:w="1690" w:type="dxa"/>
                  <w:vMerge w:val="continue"/>
                  <w:noWrap w:val="0"/>
                  <w:vAlign w:val="center"/>
                </w:tcPr>
                <w:p>
                  <w:pPr>
                    <w:jc w:val="center"/>
                    <w:rPr>
                      <w:color w:val="auto"/>
                      <w:sz w:val="18"/>
                      <w:szCs w:val="18"/>
                    </w:rPr>
                  </w:pPr>
                </w:p>
              </w:tc>
              <w:tc>
                <w:tcPr>
                  <w:tcW w:w="1200" w:type="dxa"/>
                  <w:noWrap w:val="0"/>
                  <w:vAlign w:val="center"/>
                </w:tcPr>
                <w:p>
                  <w:pPr>
                    <w:pStyle w:val="49"/>
                    <w:ind w:firstLine="0" w:firstLineChars="0"/>
                    <w:jc w:val="center"/>
                    <w:rPr>
                      <w:rFonts w:hint="eastAsia" w:ascii="Times New Roman" w:hAnsi="Times New Roman" w:cs="Times New Roman"/>
                      <w:color w:val="auto"/>
                      <w:sz w:val="18"/>
                      <w:szCs w:val="18"/>
                    </w:rPr>
                  </w:pPr>
                  <w:r>
                    <w:rPr>
                      <w:rFonts w:hint="eastAsia" w:ascii="Times New Roman" w:hAnsi="Times New Roman" w:cs="Times New Roman"/>
                      <w:color w:val="auto"/>
                      <w:sz w:val="18"/>
                      <w:szCs w:val="18"/>
                    </w:rPr>
                    <w:t>颗粒物</w:t>
                  </w:r>
                </w:p>
              </w:tc>
              <w:tc>
                <w:tcPr>
                  <w:tcW w:w="1125" w:type="dxa"/>
                  <w:noWrap w:val="0"/>
                  <w:vAlign w:val="center"/>
                </w:tcPr>
                <w:p>
                  <w:pPr>
                    <w:adjustRightInd w:val="0"/>
                    <w:snapToGrid w:val="0"/>
                    <w:jc w:val="center"/>
                    <w:rPr>
                      <w:rFonts w:hint="eastAsia" w:ascii="Times New Roman" w:hAnsi="Times New Roman" w:eastAsia="宋体" w:cs="Times New Roman"/>
                      <w:bCs/>
                      <w:color w:val="auto"/>
                      <w:sz w:val="18"/>
                      <w:szCs w:val="15"/>
                      <w:lang w:val="en-US" w:eastAsia="zh-CN"/>
                    </w:rPr>
                  </w:pPr>
                  <w:r>
                    <w:rPr>
                      <w:rFonts w:hint="default" w:ascii="Times New Roman" w:hAnsi="Times New Roman" w:eastAsia="宋体" w:cs="Times New Roman"/>
                      <w:color w:val="auto"/>
                      <w:sz w:val="18"/>
                      <w:szCs w:val="18"/>
                      <w:lang w:val="en-US" w:eastAsia="zh-CN"/>
                    </w:rPr>
                    <w:t xml:space="preserve">1.8533 </w:t>
                  </w:r>
                </w:p>
              </w:tc>
              <w:tc>
                <w:tcPr>
                  <w:tcW w:w="1087" w:type="dxa"/>
                  <w:noWrap w:val="0"/>
                  <w:vAlign w:val="center"/>
                </w:tcPr>
                <w:p>
                  <w:pPr>
                    <w:jc w:val="center"/>
                    <w:rPr>
                      <w:rFonts w:hint="eastAsia"/>
                      <w:color w:val="auto"/>
                      <w:sz w:val="18"/>
                      <w:szCs w:val="18"/>
                    </w:rPr>
                  </w:pPr>
                  <w:r>
                    <w:rPr>
                      <w:rFonts w:hint="eastAsia"/>
                      <w:color w:val="auto"/>
                      <w:sz w:val="18"/>
                      <w:szCs w:val="18"/>
                    </w:rPr>
                    <w:t>1</w:t>
                  </w:r>
                </w:p>
              </w:tc>
              <w:tc>
                <w:tcPr>
                  <w:tcW w:w="938" w:type="dxa"/>
                  <w:noWrap w:val="0"/>
                  <w:vAlign w:val="center"/>
                </w:tcPr>
                <w:p>
                  <w:pPr>
                    <w:jc w:val="center"/>
                    <w:rPr>
                      <w:rFonts w:hint="eastAsia"/>
                      <w:color w:val="auto"/>
                      <w:sz w:val="18"/>
                      <w:szCs w:val="18"/>
                    </w:rPr>
                  </w:pPr>
                  <w:r>
                    <w:rPr>
                      <w:rFonts w:hint="eastAsia"/>
                      <w:color w:val="auto"/>
                      <w:sz w:val="18"/>
                      <w:szCs w:val="18"/>
                    </w:rPr>
                    <w:t>1</w:t>
                  </w:r>
                </w:p>
              </w:tc>
              <w:tc>
                <w:tcPr>
                  <w:tcW w:w="900" w:type="dxa"/>
                  <w:vMerge w:val="continue"/>
                  <w:noWrap w:val="0"/>
                  <w:vAlign w:val="center"/>
                </w:tcPr>
                <w:p>
                  <w:pPr>
                    <w:jc w:val="center"/>
                    <w:rPr>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981" w:type="dxa"/>
                  <w:noWrap w:val="0"/>
                  <w:vAlign w:val="center"/>
                </w:tcPr>
                <w:p>
                  <w:pPr>
                    <w:pStyle w:val="49"/>
                    <w:ind w:firstLine="0" w:firstLineChars="0"/>
                    <w:jc w:val="center"/>
                    <w:rPr>
                      <w:rFonts w:hint="default"/>
                      <w:color w:val="auto"/>
                      <w:sz w:val="18"/>
                      <w:szCs w:val="18"/>
                      <w:lang w:val="en-US" w:eastAsia="zh-CN"/>
                    </w:rPr>
                  </w:pPr>
                  <w:r>
                    <w:rPr>
                      <w:rFonts w:hint="eastAsia" w:ascii="Times New Roman" w:hAnsi="Times New Roman" w:eastAsia="宋体" w:cs="Times New Roman"/>
                      <w:bCs/>
                      <w:color w:val="auto"/>
                      <w:sz w:val="18"/>
                      <w:szCs w:val="18"/>
                      <w:lang w:val="en-US" w:eastAsia="zh-CN"/>
                    </w:rPr>
                    <w:t>DA009</w:t>
                  </w:r>
                </w:p>
              </w:tc>
              <w:tc>
                <w:tcPr>
                  <w:tcW w:w="1690" w:type="dxa"/>
                  <w:noWrap w:val="0"/>
                  <w:vAlign w:val="center"/>
                </w:tcPr>
                <w:p>
                  <w:pPr>
                    <w:jc w:val="center"/>
                    <w:rPr>
                      <w:color w:val="auto"/>
                      <w:sz w:val="18"/>
                      <w:szCs w:val="18"/>
                    </w:rPr>
                  </w:pPr>
                  <w:r>
                    <w:rPr>
                      <w:color w:val="auto"/>
                      <w:sz w:val="18"/>
                      <w:szCs w:val="18"/>
                    </w:rPr>
                    <w:t>处理装置故障</w:t>
                  </w:r>
                  <w:r>
                    <w:rPr>
                      <w:rFonts w:hint="eastAsia"/>
                      <w:color w:val="auto"/>
                      <w:sz w:val="18"/>
                      <w:szCs w:val="18"/>
                    </w:rPr>
                    <w:t>、</w:t>
                  </w:r>
                  <w:r>
                    <w:rPr>
                      <w:color w:val="auto"/>
                      <w:sz w:val="18"/>
                      <w:szCs w:val="18"/>
                    </w:rPr>
                    <w:t>处理装置</w:t>
                  </w:r>
                  <w:r>
                    <w:rPr>
                      <w:rFonts w:hint="eastAsia"/>
                      <w:color w:val="auto"/>
                      <w:sz w:val="18"/>
                      <w:szCs w:val="18"/>
                    </w:rPr>
                    <w:t>吸附效率下降至0%</w:t>
                  </w:r>
                </w:p>
              </w:tc>
              <w:tc>
                <w:tcPr>
                  <w:tcW w:w="1200" w:type="dxa"/>
                  <w:noWrap w:val="0"/>
                  <w:vAlign w:val="center"/>
                </w:tcPr>
                <w:p>
                  <w:pPr>
                    <w:pStyle w:val="49"/>
                    <w:ind w:firstLine="0" w:firstLineChars="0"/>
                    <w:jc w:val="center"/>
                    <w:rPr>
                      <w:rFonts w:hint="eastAsia" w:ascii="Times New Roman" w:hAnsi="Times New Roman" w:cs="Times New Roman"/>
                      <w:color w:val="auto"/>
                      <w:sz w:val="18"/>
                      <w:szCs w:val="18"/>
                    </w:rPr>
                  </w:pPr>
                  <w:r>
                    <w:rPr>
                      <w:rFonts w:hint="eastAsia" w:ascii="Times New Roman" w:hAnsi="Times New Roman" w:cs="Times New Roman"/>
                      <w:color w:val="auto"/>
                      <w:sz w:val="18"/>
                      <w:szCs w:val="18"/>
                    </w:rPr>
                    <w:t>颗粒物</w:t>
                  </w:r>
                </w:p>
              </w:tc>
              <w:tc>
                <w:tcPr>
                  <w:tcW w:w="1125" w:type="dxa"/>
                  <w:noWrap w:val="0"/>
                  <w:vAlign w:val="center"/>
                </w:tcPr>
                <w:p>
                  <w:pPr>
                    <w:pStyle w:val="49"/>
                    <w:ind w:firstLine="0" w:firstLineChars="0"/>
                    <w:jc w:val="center"/>
                    <w:rPr>
                      <w:rFonts w:hint="eastAsia" w:ascii="Times New Roman" w:hAnsi="Times New Roman" w:eastAsia="宋体" w:cs="Times New Roman"/>
                      <w:bCs/>
                      <w:color w:val="auto"/>
                      <w:sz w:val="18"/>
                      <w:szCs w:val="15"/>
                      <w:lang w:val="en-US" w:eastAsia="zh-CN"/>
                    </w:rPr>
                  </w:pPr>
                  <w:r>
                    <w:rPr>
                      <w:rFonts w:hint="eastAsia" w:cs="Times New Roman"/>
                      <w:color w:val="auto"/>
                      <w:sz w:val="18"/>
                      <w:szCs w:val="18"/>
                      <w:lang w:val="en-US" w:eastAsia="zh-CN"/>
                    </w:rPr>
                    <w:t>23.85</w:t>
                  </w:r>
                </w:p>
              </w:tc>
              <w:tc>
                <w:tcPr>
                  <w:tcW w:w="1087" w:type="dxa"/>
                  <w:noWrap w:val="0"/>
                  <w:vAlign w:val="center"/>
                </w:tcPr>
                <w:p>
                  <w:pPr>
                    <w:jc w:val="center"/>
                    <w:rPr>
                      <w:rFonts w:hint="eastAsia"/>
                      <w:color w:val="auto"/>
                      <w:sz w:val="18"/>
                      <w:szCs w:val="18"/>
                    </w:rPr>
                  </w:pPr>
                  <w:r>
                    <w:rPr>
                      <w:rFonts w:hint="eastAsia"/>
                      <w:color w:val="auto"/>
                      <w:sz w:val="18"/>
                      <w:szCs w:val="18"/>
                    </w:rPr>
                    <w:t>1</w:t>
                  </w:r>
                </w:p>
              </w:tc>
              <w:tc>
                <w:tcPr>
                  <w:tcW w:w="938" w:type="dxa"/>
                  <w:noWrap w:val="0"/>
                  <w:vAlign w:val="center"/>
                </w:tcPr>
                <w:p>
                  <w:pPr>
                    <w:jc w:val="center"/>
                    <w:rPr>
                      <w:rFonts w:hint="eastAsia"/>
                      <w:color w:val="auto"/>
                      <w:sz w:val="18"/>
                      <w:szCs w:val="18"/>
                    </w:rPr>
                  </w:pPr>
                  <w:r>
                    <w:rPr>
                      <w:rFonts w:hint="eastAsia"/>
                      <w:color w:val="auto"/>
                      <w:sz w:val="18"/>
                      <w:szCs w:val="18"/>
                    </w:rPr>
                    <w:t>1</w:t>
                  </w:r>
                </w:p>
              </w:tc>
              <w:tc>
                <w:tcPr>
                  <w:tcW w:w="900" w:type="dxa"/>
                  <w:noWrap w:val="0"/>
                  <w:vAlign w:val="center"/>
                </w:tcPr>
                <w:p>
                  <w:pPr>
                    <w:jc w:val="center"/>
                    <w:rPr>
                      <w:color w:val="auto"/>
                      <w:sz w:val="18"/>
                      <w:szCs w:val="18"/>
                    </w:rPr>
                  </w:pPr>
                  <w:r>
                    <w:rPr>
                      <w:color w:val="auto"/>
                      <w:sz w:val="18"/>
                      <w:szCs w:val="18"/>
                    </w:rPr>
                    <w:t>停机检查维修</w:t>
                  </w:r>
                </w:p>
              </w:tc>
            </w:tr>
          </w:tbl>
          <w:p>
            <w:pPr>
              <w:autoSpaceDE w:val="0"/>
              <w:autoSpaceDN w:val="0"/>
              <w:adjustRightInd w:val="0"/>
              <w:spacing w:line="500" w:lineRule="exact"/>
              <w:jc w:val="center"/>
              <w:rPr>
                <w:b/>
                <w:bCs/>
                <w:color w:val="auto"/>
                <w:szCs w:val="21"/>
              </w:rPr>
            </w:pPr>
            <w:r>
              <w:rPr>
                <w:b/>
                <w:bCs/>
                <w:color w:val="auto"/>
                <w:szCs w:val="21"/>
              </w:rPr>
              <w:t>表</w:t>
            </w:r>
            <w:r>
              <w:rPr>
                <w:rFonts w:hint="eastAsia"/>
                <w:b/>
                <w:bCs/>
                <w:color w:val="auto"/>
                <w:szCs w:val="21"/>
              </w:rPr>
              <w:t>4-</w:t>
            </w:r>
            <w:r>
              <w:rPr>
                <w:rFonts w:hint="eastAsia"/>
                <w:b/>
                <w:bCs/>
                <w:color w:val="auto"/>
                <w:szCs w:val="21"/>
                <w:lang w:val="en-US" w:eastAsia="zh-CN"/>
              </w:rPr>
              <w:t>5</w:t>
            </w:r>
            <w:r>
              <w:rPr>
                <w:b/>
                <w:bCs/>
                <w:color w:val="auto"/>
                <w:szCs w:val="21"/>
              </w:rPr>
              <w:t xml:space="preserve"> 项目废气排放口基本情况</w:t>
            </w:r>
          </w:p>
          <w:tbl>
            <w:tblPr>
              <w:tblStyle w:val="21"/>
              <w:tblW w:w="791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63"/>
              <w:gridCol w:w="835"/>
              <w:gridCol w:w="1133"/>
              <w:gridCol w:w="805"/>
              <w:gridCol w:w="920"/>
              <w:gridCol w:w="613"/>
              <w:gridCol w:w="653"/>
              <w:gridCol w:w="734"/>
              <w:gridCol w:w="626"/>
              <w:gridCol w:w="72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863" w:type="dxa"/>
                  <w:vMerge w:val="restart"/>
                  <w:noWrap w:val="0"/>
                  <w:vAlign w:val="center"/>
                </w:tcPr>
                <w:p>
                  <w:pPr>
                    <w:jc w:val="center"/>
                    <w:rPr>
                      <w:color w:val="auto"/>
                      <w:sz w:val="18"/>
                      <w:szCs w:val="18"/>
                    </w:rPr>
                  </w:pPr>
                  <w:r>
                    <w:rPr>
                      <w:color w:val="auto"/>
                      <w:sz w:val="18"/>
                      <w:szCs w:val="18"/>
                    </w:rPr>
                    <w:t>编号</w:t>
                  </w:r>
                </w:p>
              </w:tc>
              <w:tc>
                <w:tcPr>
                  <w:tcW w:w="835" w:type="dxa"/>
                  <w:vMerge w:val="restart"/>
                  <w:noWrap w:val="0"/>
                  <w:vAlign w:val="center"/>
                </w:tcPr>
                <w:p>
                  <w:pPr>
                    <w:jc w:val="center"/>
                    <w:rPr>
                      <w:color w:val="auto"/>
                      <w:sz w:val="18"/>
                      <w:szCs w:val="18"/>
                    </w:rPr>
                  </w:pPr>
                  <w:r>
                    <w:rPr>
                      <w:color w:val="auto"/>
                      <w:sz w:val="18"/>
                      <w:szCs w:val="18"/>
                    </w:rPr>
                    <w:t>名称</w:t>
                  </w:r>
                </w:p>
              </w:tc>
              <w:tc>
                <w:tcPr>
                  <w:tcW w:w="1133" w:type="dxa"/>
                  <w:vMerge w:val="restart"/>
                  <w:noWrap w:val="0"/>
                  <w:vAlign w:val="center"/>
                </w:tcPr>
                <w:p>
                  <w:pPr>
                    <w:jc w:val="center"/>
                    <w:rPr>
                      <w:color w:val="auto"/>
                      <w:sz w:val="18"/>
                      <w:szCs w:val="18"/>
                    </w:rPr>
                  </w:pPr>
                  <w:r>
                    <w:rPr>
                      <w:color w:val="auto"/>
                      <w:sz w:val="18"/>
                      <w:szCs w:val="18"/>
                    </w:rPr>
                    <w:t>类型</w:t>
                  </w:r>
                </w:p>
              </w:tc>
              <w:tc>
                <w:tcPr>
                  <w:tcW w:w="1725" w:type="dxa"/>
                  <w:gridSpan w:val="2"/>
                  <w:noWrap w:val="0"/>
                  <w:vAlign w:val="center"/>
                </w:tcPr>
                <w:p>
                  <w:pPr>
                    <w:jc w:val="center"/>
                    <w:rPr>
                      <w:color w:val="auto"/>
                      <w:sz w:val="18"/>
                      <w:szCs w:val="18"/>
                    </w:rPr>
                  </w:pPr>
                  <w:r>
                    <w:rPr>
                      <w:color w:val="auto"/>
                      <w:sz w:val="18"/>
                      <w:szCs w:val="18"/>
                    </w:rPr>
                    <w:t>地理坐标（°）</w:t>
                  </w:r>
                </w:p>
              </w:tc>
              <w:tc>
                <w:tcPr>
                  <w:tcW w:w="613" w:type="dxa"/>
                  <w:vMerge w:val="restart"/>
                  <w:noWrap w:val="0"/>
                  <w:vAlign w:val="center"/>
                </w:tcPr>
                <w:p>
                  <w:pPr>
                    <w:jc w:val="center"/>
                    <w:rPr>
                      <w:rFonts w:hint="eastAsia"/>
                      <w:color w:val="auto"/>
                      <w:sz w:val="18"/>
                      <w:szCs w:val="18"/>
                    </w:rPr>
                  </w:pPr>
                  <w:r>
                    <w:rPr>
                      <w:color w:val="auto"/>
                      <w:sz w:val="18"/>
                      <w:szCs w:val="18"/>
                    </w:rPr>
                    <w:t>高度</w:t>
                  </w:r>
                </w:p>
                <w:p>
                  <w:pPr>
                    <w:jc w:val="center"/>
                    <w:rPr>
                      <w:color w:val="auto"/>
                      <w:sz w:val="18"/>
                      <w:szCs w:val="18"/>
                    </w:rPr>
                  </w:pPr>
                  <w:r>
                    <w:rPr>
                      <w:rFonts w:hint="eastAsia"/>
                      <w:color w:val="auto"/>
                      <w:sz w:val="18"/>
                      <w:szCs w:val="18"/>
                    </w:rPr>
                    <w:t>（m）</w:t>
                  </w:r>
                </w:p>
              </w:tc>
              <w:tc>
                <w:tcPr>
                  <w:tcW w:w="653" w:type="dxa"/>
                  <w:vMerge w:val="restart"/>
                  <w:noWrap w:val="0"/>
                  <w:vAlign w:val="center"/>
                </w:tcPr>
                <w:p>
                  <w:pPr>
                    <w:jc w:val="center"/>
                    <w:rPr>
                      <w:rFonts w:hint="eastAsia"/>
                      <w:color w:val="auto"/>
                      <w:sz w:val="18"/>
                      <w:szCs w:val="18"/>
                    </w:rPr>
                  </w:pPr>
                  <w:r>
                    <w:rPr>
                      <w:color w:val="auto"/>
                      <w:sz w:val="18"/>
                      <w:szCs w:val="18"/>
                    </w:rPr>
                    <w:t>内径</w:t>
                  </w:r>
                </w:p>
                <w:p>
                  <w:pPr>
                    <w:jc w:val="center"/>
                    <w:rPr>
                      <w:color w:val="auto"/>
                      <w:sz w:val="18"/>
                      <w:szCs w:val="18"/>
                    </w:rPr>
                  </w:pPr>
                  <w:r>
                    <w:rPr>
                      <w:rFonts w:hint="eastAsia"/>
                      <w:color w:val="auto"/>
                      <w:sz w:val="18"/>
                      <w:szCs w:val="18"/>
                    </w:rPr>
                    <w:t>（m）</w:t>
                  </w:r>
                </w:p>
              </w:tc>
              <w:tc>
                <w:tcPr>
                  <w:tcW w:w="734" w:type="dxa"/>
                  <w:vMerge w:val="restart"/>
                  <w:noWrap w:val="0"/>
                  <w:vAlign w:val="center"/>
                </w:tcPr>
                <w:p>
                  <w:pPr>
                    <w:jc w:val="center"/>
                    <w:rPr>
                      <w:rFonts w:hint="eastAsia"/>
                      <w:color w:val="auto"/>
                      <w:sz w:val="18"/>
                      <w:szCs w:val="18"/>
                    </w:rPr>
                  </w:pPr>
                  <w:r>
                    <w:rPr>
                      <w:color w:val="auto"/>
                      <w:sz w:val="18"/>
                      <w:szCs w:val="18"/>
                    </w:rPr>
                    <w:t>温度</w:t>
                  </w:r>
                </w:p>
                <w:p>
                  <w:pPr>
                    <w:jc w:val="center"/>
                    <w:rPr>
                      <w:color w:val="auto"/>
                      <w:sz w:val="18"/>
                      <w:szCs w:val="18"/>
                    </w:rPr>
                  </w:pPr>
                  <w:r>
                    <w:rPr>
                      <w:rFonts w:hint="eastAsia"/>
                      <w:color w:val="auto"/>
                      <w:sz w:val="18"/>
                      <w:szCs w:val="18"/>
                    </w:rPr>
                    <w:t>（℃）</w:t>
                  </w:r>
                </w:p>
              </w:tc>
              <w:tc>
                <w:tcPr>
                  <w:tcW w:w="626" w:type="dxa"/>
                  <w:vMerge w:val="restart"/>
                  <w:noWrap w:val="0"/>
                  <w:vAlign w:val="center"/>
                </w:tcPr>
                <w:p>
                  <w:pPr>
                    <w:jc w:val="center"/>
                    <w:rPr>
                      <w:rFonts w:hint="eastAsia"/>
                      <w:color w:val="auto"/>
                      <w:sz w:val="18"/>
                      <w:szCs w:val="18"/>
                    </w:rPr>
                  </w:pPr>
                  <w:r>
                    <w:rPr>
                      <w:rFonts w:hint="eastAsia"/>
                      <w:color w:val="auto"/>
                      <w:sz w:val="18"/>
                      <w:szCs w:val="18"/>
                    </w:rPr>
                    <w:t>排放</w:t>
                  </w:r>
                </w:p>
                <w:p>
                  <w:pPr>
                    <w:jc w:val="center"/>
                    <w:rPr>
                      <w:rFonts w:hint="eastAsia"/>
                      <w:color w:val="auto"/>
                      <w:sz w:val="18"/>
                      <w:szCs w:val="18"/>
                    </w:rPr>
                  </w:pPr>
                  <w:r>
                    <w:rPr>
                      <w:rFonts w:hint="eastAsia"/>
                      <w:color w:val="auto"/>
                      <w:sz w:val="18"/>
                      <w:szCs w:val="18"/>
                    </w:rPr>
                    <w:t>工况</w:t>
                  </w:r>
                  <w:r>
                    <w:rPr>
                      <w:rFonts w:hint="eastAsia"/>
                      <w:color w:val="auto"/>
                      <w:sz w:val="18"/>
                      <w:szCs w:val="18"/>
                      <w:lang w:val="en-US" w:eastAsia="zh-CN"/>
                    </w:rPr>
                    <w:t>h</w:t>
                  </w:r>
                </w:p>
              </w:tc>
              <w:tc>
                <w:tcPr>
                  <w:tcW w:w="729" w:type="dxa"/>
                  <w:vMerge w:val="restart"/>
                  <w:noWrap w:val="0"/>
                  <w:vAlign w:val="center"/>
                </w:tcPr>
                <w:p>
                  <w:pPr>
                    <w:jc w:val="center"/>
                    <w:rPr>
                      <w:rFonts w:hint="eastAsia"/>
                      <w:color w:val="auto"/>
                      <w:sz w:val="18"/>
                      <w:szCs w:val="18"/>
                    </w:rPr>
                  </w:pPr>
                  <w:r>
                    <w:rPr>
                      <w:rFonts w:hint="eastAsia"/>
                      <w:color w:val="auto"/>
                      <w:sz w:val="18"/>
                      <w:szCs w:val="18"/>
                    </w:rPr>
                    <w:t>流速m/s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863" w:type="dxa"/>
                  <w:vMerge w:val="continue"/>
                  <w:noWrap w:val="0"/>
                  <w:vAlign w:val="center"/>
                </w:tcPr>
                <w:p>
                  <w:pPr>
                    <w:jc w:val="center"/>
                    <w:rPr>
                      <w:color w:val="auto"/>
                      <w:sz w:val="18"/>
                      <w:szCs w:val="18"/>
                    </w:rPr>
                  </w:pPr>
                </w:p>
              </w:tc>
              <w:tc>
                <w:tcPr>
                  <w:tcW w:w="835" w:type="dxa"/>
                  <w:vMerge w:val="continue"/>
                  <w:noWrap w:val="0"/>
                  <w:vAlign w:val="center"/>
                </w:tcPr>
                <w:p>
                  <w:pPr>
                    <w:jc w:val="center"/>
                    <w:rPr>
                      <w:color w:val="auto"/>
                      <w:sz w:val="18"/>
                      <w:szCs w:val="18"/>
                    </w:rPr>
                  </w:pPr>
                </w:p>
              </w:tc>
              <w:tc>
                <w:tcPr>
                  <w:tcW w:w="1133" w:type="dxa"/>
                  <w:vMerge w:val="continue"/>
                  <w:noWrap w:val="0"/>
                  <w:vAlign w:val="center"/>
                </w:tcPr>
                <w:p>
                  <w:pPr>
                    <w:jc w:val="center"/>
                    <w:rPr>
                      <w:color w:val="auto"/>
                      <w:sz w:val="18"/>
                      <w:szCs w:val="18"/>
                    </w:rPr>
                  </w:pPr>
                </w:p>
              </w:tc>
              <w:tc>
                <w:tcPr>
                  <w:tcW w:w="805" w:type="dxa"/>
                  <w:noWrap w:val="0"/>
                  <w:vAlign w:val="center"/>
                </w:tcPr>
                <w:p>
                  <w:pPr>
                    <w:jc w:val="center"/>
                    <w:rPr>
                      <w:color w:val="auto"/>
                      <w:sz w:val="18"/>
                      <w:szCs w:val="18"/>
                    </w:rPr>
                  </w:pPr>
                  <w:r>
                    <w:rPr>
                      <w:color w:val="auto"/>
                      <w:sz w:val="18"/>
                      <w:szCs w:val="18"/>
                    </w:rPr>
                    <w:t>纬度</w:t>
                  </w:r>
                </w:p>
              </w:tc>
              <w:tc>
                <w:tcPr>
                  <w:tcW w:w="920" w:type="dxa"/>
                  <w:noWrap w:val="0"/>
                  <w:vAlign w:val="center"/>
                </w:tcPr>
                <w:p>
                  <w:pPr>
                    <w:jc w:val="center"/>
                    <w:rPr>
                      <w:color w:val="auto"/>
                      <w:sz w:val="18"/>
                      <w:szCs w:val="18"/>
                    </w:rPr>
                  </w:pPr>
                  <w:r>
                    <w:rPr>
                      <w:color w:val="auto"/>
                      <w:sz w:val="18"/>
                      <w:szCs w:val="18"/>
                    </w:rPr>
                    <w:t>经度</w:t>
                  </w:r>
                </w:p>
              </w:tc>
              <w:tc>
                <w:tcPr>
                  <w:tcW w:w="613" w:type="dxa"/>
                  <w:vMerge w:val="continue"/>
                  <w:noWrap w:val="0"/>
                  <w:vAlign w:val="center"/>
                </w:tcPr>
                <w:p>
                  <w:pPr>
                    <w:jc w:val="center"/>
                    <w:rPr>
                      <w:color w:val="auto"/>
                      <w:sz w:val="18"/>
                      <w:szCs w:val="18"/>
                    </w:rPr>
                  </w:pPr>
                </w:p>
              </w:tc>
              <w:tc>
                <w:tcPr>
                  <w:tcW w:w="653" w:type="dxa"/>
                  <w:vMerge w:val="continue"/>
                  <w:noWrap w:val="0"/>
                  <w:vAlign w:val="center"/>
                </w:tcPr>
                <w:p>
                  <w:pPr>
                    <w:jc w:val="center"/>
                    <w:rPr>
                      <w:color w:val="auto"/>
                      <w:sz w:val="18"/>
                      <w:szCs w:val="18"/>
                    </w:rPr>
                  </w:pPr>
                </w:p>
              </w:tc>
              <w:tc>
                <w:tcPr>
                  <w:tcW w:w="734" w:type="dxa"/>
                  <w:vMerge w:val="continue"/>
                  <w:noWrap w:val="0"/>
                  <w:vAlign w:val="center"/>
                </w:tcPr>
                <w:p>
                  <w:pPr>
                    <w:jc w:val="center"/>
                    <w:rPr>
                      <w:color w:val="auto"/>
                      <w:sz w:val="18"/>
                      <w:szCs w:val="18"/>
                    </w:rPr>
                  </w:pPr>
                </w:p>
              </w:tc>
              <w:tc>
                <w:tcPr>
                  <w:tcW w:w="626" w:type="dxa"/>
                  <w:vMerge w:val="continue"/>
                  <w:noWrap w:val="0"/>
                  <w:vAlign w:val="center"/>
                </w:tcPr>
                <w:p>
                  <w:pPr>
                    <w:jc w:val="center"/>
                    <w:rPr>
                      <w:color w:val="auto"/>
                      <w:sz w:val="18"/>
                      <w:szCs w:val="18"/>
                    </w:rPr>
                  </w:pPr>
                </w:p>
              </w:tc>
              <w:tc>
                <w:tcPr>
                  <w:tcW w:w="729" w:type="dxa"/>
                  <w:vMerge w:val="continue"/>
                  <w:noWrap w:val="0"/>
                  <w:vAlign w:val="center"/>
                </w:tcPr>
                <w:p>
                  <w:pPr>
                    <w:jc w:val="center"/>
                    <w:rPr>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863" w:type="dxa"/>
                  <w:noWrap w:val="0"/>
                  <w:vAlign w:val="center"/>
                </w:tcPr>
                <w:p>
                  <w:pPr>
                    <w:adjustRightInd w:val="0"/>
                    <w:snapToGrid w:val="0"/>
                    <w:jc w:val="center"/>
                    <w:rPr>
                      <w:rFonts w:hint="default"/>
                      <w:color w:val="auto"/>
                      <w:sz w:val="18"/>
                      <w:szCs w:val="18"/>
                      <w:lang w:val="en-US"/>
                    </w:rPr>
                  </w:pPr>
                  <w:r>
                    <w:rPr>
                      <w:rFonts w:hint="eastAsia" w:ascii="Times New Roman" w:hAnsi="Times New Roman"/>
                      <w:color w:val="auto"/>
                      <w:sz w:val="18"/>
                      <w:szCs w:val="18"/>
                      <w:lang w:val="en-US" w:eastAsia="zh-CN"/>
                    </w:rPr>
                    <w:t>DA001</w:t>
                  </w:r>
                </w:p>
              </w:tc>
              <w:tc>
                <w:tcPr>
                  <w:tcW w:w="835" w:type="dxa"/>
                  <w:noWrap w:val="0"/>
                  <w:vAlign w:val="center"/>
                </w:tcPr>
                <w:p>
                  <w:pPr>
                    <w:jc w:val="center"/>
                    <w:rPr>
                      <w:rFonts w:hint="eastAsia"/>
                      <w:color w:val="auto"/>
                      <w:sz w:val="18"/>
                      <w:szCs w:val="18"/>
                    </w:rPr>
                  </w:pPr>
                  <w:r>
                    <w:rPr>
                      <w:rFonts w:hint="eastAsia"/>
                      <w:color w:val="auto"/>
                      <w:sz w:val="18"/>
                      <w:szCs w:val="18"/>
                    </w:rPr>
                    <w:t>排气筒</w:t>
                  </w:r>
                </w:p>
              </w:tc>
              <w:tc>
                <w:tcPr>
                  <w:tcW w:w="1133" w:type="dxa"/>
                  <w:noWrap w:val="0"/>
                  <w:vAlign w:val="center"/>
                </w:tcPr>
                <w:p>
                  <w:pPr>
                    <w:jc w:val="center"/>
                    <w:rPr>
                      <w:color w:val="auto"/>
                      <w:sz w:val="18"/>
                      <w:szCs w:val="18"/>
                    </w:rPr>
                  </w:pPr>
                  <w:r>
                    <w:rPr>
                      <w:color w:val="auto"/>
                      <w:sz w:val="18"/>
                      <w:szCs w:val="18"/>
                    </w:rPr>
                    <w:t>一般排放口</w:t>
                  </w:r>
                </w:p>
              </w:tc>
              <w:tc>
                <w:tcPr>
                  <w:tcW w:w="805" w:type="dxa"/>
                  <w:noWrap w:val="0"/>
                  <w:vAlign w:val="center"/>
                </w:tcPr>
                <w:p>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32.10</w:t>
                  </w:r>
                </w:p>
              </w:tc>
              <w:tc>
                <w:tcPr>
                  <w:tcW w:w="920" w:type="dxa"/>
                  <w:noWrap w:val="0"/>
                  <w:vAlign w:val="center"/>
                </w:tcPr>
                <w:p>
                  <w:pPr>
                    <w:jc w:val="center"/>
                    <w:rPr>
                      <w:rFonts w:hint="default" w:ascii="Times New Roman" w:hAnsi="Times New Roman" w:eastAsia="宋体" w:cs="Times New Roman"/>
                      <w:color w:val="auto"/>
                      <w:sz w:val="18"/>
                      <w:szCs w:val="18"/>
                      <w:lang w:val="en-US" w:eastAsia="zh-CN"/>
                    </w:rPr>
                  </w:pPr>
                  <w:r>
                    <w:rPr>
                      <w:rFonts w:ascii="Times New Roman" w:hAnsi="Times New Roman" w:eastAsia="宋体" w:cs="Times New Roman"/>
                      <w:color w:val="auto"/>
                      <w:sz w:val="18"/>
                      <w:szCs w:val="18"/>
                    </w:rPr>
                    <w:t>120.55</w:t>
                  </w:r>
                </w:p>
              </w:tc>
              <w:tc>
                <w:tcPr>
                  <w:tcW w:w="613" w:type="dxa"/>
                  <w:noWrap w:val="0"/>
                  <w:vAlign w:val="center"/>
                </w:tcPr>
                <w:p>
                  <w:pPr>
                    <w:jc w:val="center"/>
                    <w:rPr>
                      <w:rFonts w:hint="default" w:eastAsia="宋体"/>
                      <w:color w:val="auto"/>
                      <w:sz w:val="18"/>
                      <w:szCs w:val="18"/>
                      <w:lang w:val="en-US" w:eastAsia="zh-CN"/>
                    </w:rPr>
                  </w:pPr>
                  <w:r>
                    <w:rPr>
                      <w:rFonts w:hint="eastAsia" w:cs="Times New Roman"/>
                      <w:color w:val="auto"/>
                      <w:sz w:val="18"/>
                      <w:szCs w:val="18"/>
                      <w:lang w:val="en-US" w:eastAsia="zh-CN"/>
                    </w:rPr>
                    <w:t>20</w:t>
                  </w:r>
                </w:p>
              </w:tc>
              <w:tc>
                <w:tcPr>
                  <w:tcW w:w="653" w:type="dxa"/>
                  <w:noWrap w:val="0"/>
                  <w:vAlign w:val="center"/>
                </w:tcPr>
                <w:p>
                  <w:pPr>
                    <w:jc w:val="center"/>
                    <w:rPr>
                      <w:rFonts w:hint="default" w:eastAsia="宋体"/>
                      <w:color w:val="auto"/>
                      <w:sz w:val="18"/>
                      <w:szCs w:val="18"/>
                      <w:lang w:val="en-US" w:eastAsia="zh-CN"/>
                    </w:rPr>
                  </w:pPr>
                  <w:r>
                    <w:rPr>
                      <w:rFonts w:ascii="Times New Roman" w:hAnsi="Times New Roman" w:cs="Times New Roman"/>
                      <w:color w:val="auto"/>
                      <w:sz w:val="18"/>
                      <w:szCs w:val="18"/>
                    </w:rPr>
                    <w:t>0.</w:t>
                  </w:r>
                  <w:r>
                    <w:rPr>
                      <w:rFonts w:hint="eastAsia" w:ascii="Times New Roman" w:hAnsi="Times New Roman" w:cs="Times New Roman"/>
                      <w:color w:val="auto"/>
                      <w:sz w:val="18"/>
                      <w:szCs w:val="18"/>
                      <w:lang w:val="en-US" w:eastAsia="zh-CN"/>
                    </w:rPr>
                    <w:t>52</w:t>
                  </w:r>
                </w:p>
              </w:tc>
              <w:tc>
                <w:tcPr>
                  <w:tcW w:w="734" w:type="dxa"/>
                  <w:noWrap w:val="0"/>
                  <w:vAlign w:val="center"/>
                </w:tcPr>
                <w:p>
                  <w:pPr>
                    <w:jc w:val="center"/>
                    <w:rPr>
                      <w:rFonts w:hint="default" w:eastAsia="宋体"/>
                      <w:color w:val="auto"/>
                      <w:sz w:val="18"/>
                      <w:szCs w:val="18"/>
                      <w:lang w:val="en-US" w:eastAsia="zh-CN"/>
                    </w:rPr>
                  </w:pPr>
                  <w:r>
                    <w:rPr>
                      <w:rFonts w:hint="eastAsia"/>
                      <w:color w:val="auto"/>
                      <w:sz w:val="18"/>
                      <w:szCs w:val="18"/>
                      <w:lang w:val="en-US" w:eastAsia="zh-CN"/>
                    </w:rPr>
                    <w:t>50</w:t>
                  </w:r>
                </w:p>
              </w:tc>
              <w:tc>
                <w:tcPr>
                  <w:tcW w:w="626" w:type="dxa"/>
                  <w:noWrap w:val="0"/>
                  <w:vAlign w:val="center"/>
                </w:tcPr>
                <w:p>
                  <w:pPr>
                    <w:jc w:val="center"/>
                    <w:rPr>
                      <w:rFonts w:hint="default" w:eastAsia="宋体"/>
                      <w:color w:val="auto"/>
                      <w:sz w:val="18"/>
                      <w:szCs w:val="18"/>
                      <w:lang w:val="en-US" w:eastAsia="zh-CN"/>
                    </w:rPr>
                  </w:pPr>
                  <w:r>
                    <w:rPr>
                      <w:rFonts w:hint="eastAsia"/>
                      <w:color w:val="auto"/>
                      <w:sz w:val="18"/>
                      <w:szCs w:val="18"/>
                      <w:lang w:val="en-US" w:eastAsia="zh-CN"/>
                    </w:rPr>
                    <w:t>7200</w:t>
                  </w:r>
                </w:p>
              </w:tc>
              <w:tc>
                <w:tcPr>
                  <w:tcW w:w="729" w:type="dxa"/>
                  <w:noWrap w:val="0"/>
                  <w:vAlign w:val="center"/>
                </w:tcPr>
                <w:p>
                  <w:pPr>
                    <w:jc w:val="center"/>
                    <w:rPr>
                      <w:rFonts w:hint="default" w:eastAsia="宋体"/>
                      <w:color w:val="auto"/>
                      <w:sz w:val="18"/>
                      <w:szCs w:val="18"/>
                      <w:lang w:val="en-US" w:eastAsia="zh-CN"/>
                    </w:rPr>
                  </w:pPr>
                  <w:r>
                    <w:rPr>
                      <w:rFonts w:hint="eastAsia" w:ascii="Times New Roman" w:hAnsi="Times New Roman" w:cs="Times New Roman"/>
                      <w:color w:val="auto"/>
                      <w:sz w:val="18"/>
                      <w:szCs w:val="18"/>
                      <w:lang w:val="en-US" w:eastAsia="zh-CN"/>
                    </w:rPr>
                    <w:t>15.70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863" w:type="dxa"/>
                  <w:noWrap w:val="0"/>
                  <w:vAlign w:val="center"/>
                </w:tcPr>
                <w:p>
                  <w:pPr>
                    <w:adjustRightInd w:val="0"/>
                    <w:snapToGrid w:val="0"/>
                    <w:jc w:val="center"/>
                    <w:rPr>
                      <w:rFonts w:hint="default"/>
                      <w:color w:val="auto"/>
                      <w:sz w:val="18"/>
                      <w:szCs w:val="18"/>
                      <w:lang w:val="en-US"/>
                    </w:rPr>
                  </w:pPr>
                  <w:r>
                    <w:rPr>
                      <w:rFonts w:hint="eastAsia" w:ascii="Times New Roman" w:hAnsi="Times New Roman"/>
                      <w:color w:val="auto"/>
                      <w:sz w:val="18"/>
                      <w:szCs w:val="18"/>
                      <w:lang w:val="en-US" w:eastAsia="zh-CN"/>
                    </w:rPr>
                    <w:t>DA007</w:t>
                  </w:r>
                </w:p>
              </w:tc>
              <w:tc>
                <w:tcPr>
                  <w:tcW w:w="835" w:type="dxa"/>
                  <w:noWrap w:val="0"/>
                  <w:vAlign w:val="center"/>
                </w:tcPr>
                <w:p>
                  <w:pPr>
                    <w:jc w:val="center"/>
                    <w:rPr>
                      <w:rFonts w:hint="eastAsia"/>
                      <w:color w:val="auto"/>
                      <w:sz w:val="18"/>
                      <w:szCs w:val="18"/>
                    </w:rPr>
                  </w:pPr>
                  <w:r>
                    <w:rPr>
                      <w:rFonts w:hint="eastAsia"/>
                      <w:color w:val="auto"/>
                      <w:sz w:val="18"/>
                      <w:szCs w:val="18"/>
                    </w:rPr>
                    <w:t>排气筒</w:t>
                  </w:r>
                </w:p>
              </w:tc>
              <w:tc>
                <w:tcPr>
                  <w:tcW w:w="1133" w:type="dxa"/>
                  <w:noWrap w:val="0"/>
                  <w:vAlign w:val="center"/>
                </w:tcPr>
                <w:p>
                  <w:pPr>
                    <w:jc w:val="center"/>
                    <w:rPr>
                      <w:color w:val="auto"/>
                      <w:sz w:val="18"/>
                      <w:szCs w:val="18"/>
                    </w:rPr>
                  </w:pPr>
                  <w:r>
                    <w:rPr>
                      <w:color w:val="auto"/>
                      <w:sz w:val="18"/>
                      <w:szCs w:val="18"/>
                    </w:rPr>
                    <w:t>一般排放口</w:t>
                  </w:r>
                </w:p>
              </w:tc>
              <w:tc>
                <w:tcPr>
                  <w:tcW w:w="805" w:type="dxa"/>
                  <w:noWrap w:val="0"/>
                  <w:vAlign w:val="center"/>
                </w:tcPr>
                <w:p>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32.10</w:t>
                  </w:r>
                </w:p>
              </w:tc>
              <w:tc>
                <w:tcPr>
                  <w:tcW w:w="920" w:type="dxa"/>
                  <w:noWrap w:val="0"/>
                  <w:vAlign w:val="center"/>
                </w:tcPr>
                <w:p>
                  <w:pPr>
                    <w:jc w:val="center"/>
                    <w:rPr>
                      <w:rFonts w:hint="default" w:ascii="Times New Roman" w:hAnsi="Times New Roman" w:eastAsia="宋体" w:cs="Times New Roman"/>
                      <w:color w:val="auto"/>
                      <w:sz w:val="18"/>
                      <w:szCs w:val="18"/>
                      <w:lang w:val="en-US" w:eastAsia="zh-CN"/>
                    </w:rPr>
                  </w:pPr>
                  <w:r>
                    <w:rPr>
                      <w:rFonts w:ascii="Times New Roman" w:hAnsi="Times New Roman" w:eastAsia="宋体" w:cs="Times New Roman"/>
                      <w:color w:val="auto"/>
                      <w:sz w:val="18"/>
                      <w:szCs w:val="18"/>
                    </w:rPr>
                    <w:t>120.55</w:t>
                  </w:r>
                </w:p>
              </w:tc>
              <w:tc>
                <w:tcPr>
                  <w:tcW w:w="613" w:type="dxa"/>
                  <w:noWrap w:val="0"/>
                  <w:vAlign w:val="center"/>
                </w:tcPr>
                <w:p>
                  <w:pPr>
                    <w:jc w:val="center"/>
                    <w:rPr>
                      <w:rFonts w:hint="default"/>
                      <w:color w:val="auto"/>
                      <w:sz w:val="18"/>
                      <w:szCs w:val="18"/>
                      <w:lang w:val="en-US" w:eastAsia="zh-CN"/>
                    </w:rPr>
                  </w:pPr>
                  <w:r>
                    <w:rPr>
                      <w:rFonts w:hint="eastAsia" w:cs="Times New Roman"/>
                      <w:color w:val="auto"/>
                      <w:sz w:val="18"/>
                      <w:szCs w:val="18"/>
                      <w:lang w:val="en-US" w:eastAsia="zh-CN"/>
                    </w:rPr>
                    <w:t>16</w:t>
                  </w:r>
                </w:p>
              </w:tc>
              <w:tc>
                <w:tcPr>
                  <w:tcW w:w="653" w:type="dxa"/>
                  <w:noWrap w:val="0"/>
                  <w:vAlign w:val="center"/>
                </w:tcPr>
                <w:p>
                  <w:pPr>
                    <w:jc w:val="center"/>
                    <w:rPr>
                      <w:rFonts w:hint="default" w:eastAsia="宋体"/>
                      <w:color w:val="auto"/>
                      <w:sz w:val="18"/>
                      <w:szCs w:val="18"/>
                      <w:lang w:val="en-US" w:eastAsia="zh-CN"/>
                    </w:rPr>
                  </w:pPr>
                  <w:r>
                    <w:rPr>
                      <w:rFonts w:hint="eastAsia" w:eastAsia="宋体"/>
                      <w:color w:val="auto"/>
                      <w:sz w:val="18"/>
                      <w:szCs w:val="18"/>
                      <w:lang w:val="en-US" w:eastAsia="zh-CN"/>
                    </w:rPr>
                    <w:t>0.6</w:t>
                  </w:r>
                </w:p>
              </w:tc>
              <w:tc>
                <w:tcPr>
                  <w:tcW w:w="734" w:type="dxa"/>
                  <w:noWrap w:val="0"/>
                  <w:vAlign w:val="center"/>
                </w:tcPr>
                <w:p>
                  <w:pPr>
                    <w:jc w:val="center"/>
                    <w:rPr>
                      <w:rFonts w:hint="eastAsia"/>
                      <w:color w:val="auto"/>
                      <w:sz w:val="18"/>
                      <w:szCs w:val="18"/>
                    </w:rPr>
                  </w:pPr>
                  <w:r>
                    <w:rPr>
                      <w:rFonts w:hint="eastAsia"/>
                      <w:color w:val="auto"/>
                      <w:sz w:val="18"/>
                      <w:szCs w:val="18"/>
                      <w:lang w:val="en-US" w:eastAsia="zh-CN"/>
                    </w:rPr>
                    <w:t>50</w:t>
                  </w:r>
                </w:p>
              </w:tc>
              <w:tc>
                <w:tcPr>
                  <w:tcW w:w="626" w:type="dxa"/>
                  <w:noWrap w:val="0"/>
                  <w:vAlign w:val="center"/>
                </w:tcPr>
                <w:p>
                  <w:pPr>
                    <w:jc w:val="center"/>
                    <w:rPr>
                      <w:rFonts w:hint="eastAsia"/>
                      <w:color w:val="auto"/>
                      <w:sz w:val="18"/>
                      <w:szCs w:val="18"/>
                    </w:rPr>
                  </w:pPr>
                  <w:r>
                    <w:rPr>
                      <w:rFonts w:hint="eastAsia"/>
                      <w:color w:val="auto"/>
                      <w:sz w:val="18"/>
                      <w:szCs w:val="18"/>
                      <w:lang w:val="en-US" w:eastAsia="zh-CN"/>
                    </w:rPr>
                    <w:t>7200</w:t>
                  </w:r>
                </w:p>
              </w:tc>
              <w:tc>
                <w:tcPr>
                  <w:tcW w:w="729" w:type="dxa"/>
                  <w:noWrap w:val="0"/>
                  <w:vAlign w:val="center"/>
                </w:tcPr>
                <w:p>
                  <w:pPr>
                    <w:jc w:val="center"/>
                    <w:rPr>
                      <w:rFonts w:hint="default" w:eastAsia="宋体"/>
                      <w:color w:val="auto"/>
                      <w:sz w:val="18"/>
                      <w:szCs w:val="18"/>
                      <w:lang w:val="en-US" w:eastAsia="zh-CN"/>
                    </w:rPr>
                  </w:pPr>
                  <w:r>
                    <w:rPr>
                      <w:rFonts w:hint="eastAsia" w:eastAsia="宋体"/>
                      <w:color w:val="auto"/>
                      <w:sz w:val="18"/>
                      <w:szCs w:val="18"/>
                      <w:lang w:val="en-US" w:eastAsia="zh-CN"/>
                    </w:rPr>
                    <w:t>14.74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863" w:type="dxa"/>
                  <w:noWrap w:val="0"/>
                  <w:vAlign w:val="center"/>
                </w:tcPr>
                <w:p>
                  <w:pPr>
                    <w:adjustRightInd w:val="0"/>
                    <w:snapToGrid w:val="0"/>
                    <w:jc w:val="center"/>
                    <w:rPr>
                      <w:rFonts w:hint="default"/>
                      <w:color w:val="auto"/>
                      <w:sz w:val="18"/>
                      <w:szCs w:val="18"/>
                      <w:lang w:val="en-US"/>
                    </w:rPr>
                  </w:pPr>
                  <w:r>
                    <w:rPr>
                      <w:rFonts w:hint="eastAsia" w:ascii="Times New Roman" w:hAnsi="Times New Roman"/>
                      <w:color w:val="auto"/>
                      <w:sz w:val="18"/>
                      <w:szCs w:val="18"/>
                      <w:lang w:val="en-US" w:eastAsia="zh-CN"/>
                    </w:rPr>
                    <w:t>DA003</w:t>
                  </w:r>
                </w:p>
              </w:tc>
              <w:tc>
                <w:tcPr>
                  <w:tcW w:w="835" w:type="dxa"/>
                  <w:noWrap w:val="0"/>
                  <w:vAlign w:val="center"/>
                </w:tcPr>
                <w:p>
                  <w:pPr>
                    <w:jc w:val="center"/>
                    <w:rPr>
                      <w:rFonts w:hint="eastAsia"/>
                      <w:color w:val="auto"/>
                      <w:sz w:val="18"/>
                      <w:szCs w:val="18"/>
                    </w:rPr>
                  </w:pPr>
                  <w:r>
                    <w:rPr>
                      <w:rFonts w:hint="eastAsia"/>
                      <w:color w:val="auto"/>
                      <w:sz w:val="18"/>
                      <w:szCs w:val="18"/>
                    </w:rPr>
                    <w:t>排气筒</w:t>
                  </w:r>
                </w:p>
              </w:tc>
              <w:tc>
                <w:tcPr>
                  <w:tcW w:w="1133" w:type="dxa"/>
                  <w:noWrap w:val="0"/>
                  <w:vAlign w:val="center"/>
                </w:tcPr>
                <w:p>
                  <w:pPr>
                    <w:jc w:val="center"/>
                    <w:rPr>
                      <w:color w:val="auto"/>
                      <w:sz w:val="18"/>
                      <w:szCs w:val="18"/>
                    </w:rPr>
                  </w:pPr>
                  <w:r>
                    <w:rPr>
                      <w:color w:val="auto"/>
                      <w:sz w:val="18"/>
                      <w:szCs w:val="18"/>
                    </w:rPr>
                    <w:t>一般排放口</w:t>
                  </w:r>
                </w:p>
              </w:tc>
              <w:tc>
                <w:tcPr>
                  <w:tcW w:w="805" w:type="dxa"/>
                  <w:noWrap w:val="0"/>
                  <w:vAlign w:val="center"/>
                </w:tcPr>
                <w:p>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32.10</w:t>
                  </w:r>
                </w:p>
              </w:tc>
              <w:tc>
                <w:tcPr>
                  <w:tcW w:w="920" w:type="dxa"/>
                  <w:noWrap w:val="0"/>
                  <w:vAlign w:val="center"/>
                </w:tcPr>
                <w:p>
                  <w:pPr>
                    <w:jc w:val="center"/>
                    <w:rPr>
                      <w:rFonts w:hint="default" w:ascii="Times New Roman" w:hAnsi="Times New Roman" w:eastAsia="宋体" w:cs="Times New Roman"/>
                      <w:color w:val="auto"/>
                      <w:sz w:val="18"/>
                      <w:szCs w:val="18"/>
                      <w:lang w:val="en-US" w:eastAsia="zh-CN"/>
                    </w:rPr>
                  </w:pPr>
                  <w:r>
                    <w:rPr>
                      <w:rFonts w:ascii="Times New Roman" w:hAnsi="Times New Roman" w:eastAsia="宋体" w:cs="Times New Roman"/>
                      <w:color w:val="auto"/>
                      <w:sz w:val="18"/>
                      <w:szCs w:val="18"/>
                    </w:rPr>
                    <w:t>120.55</w:t>
                  </w:r>
                </w:p>
              </w:tc>
              <w:tc>
                <w:tcPr>
                  <w:tcW w:w="613" w:type="dxa"/>
                  <w:noWrap w:val="0"/>
                  <w:vAlign w:val="center"/>
                </w:tcPr>
                <w:p>
                  <w:pPr>
                    <w:jc w:val="center"/>
                    <w:rPr>
                      <w:rFonts w:hint="default"/>
                      <w:color w:val="auto"/>
                      <w:sz w:val="18"/>
                      <w:szCs w:val="18"/>
                      <w:lang w:val="en-US" w:eastAsia="zh-CN"/>
                    </w:rPr>
                  </w:pPr>
                  <w:r>
                    <w:rPr>
                      <w:rFonts w:hint="eastAsia" w:cs="Times New Roman"/>
                      <w:color w:val="auto"/>
                      <w:sz w:val="18"/>
                      <w:szCs w:val="18"/>
                      <w:lang w:val="en-US" w:eastAsia="zh-CN"/>
                    </w:rPr>
                    <w:t>16</w:t>
                  </w:r>
                </w:p>
              </w:tc>
              <w:tc>
                <w:tcPr>
                  <w:tcW w:w="653" w:type="dxa"/>
                  <w:noWrap w:val="0"/>
                  <w:vAlign w:val="center"/>
                </w:tcPr>
                <w:p>
                  <w:pPr>
                    <w:jc w:val="center"/>
                    <w:rPr>
                      <w:rFonts w:hint="default" w:eastAsia="宋体"/>
                      <w:color w:val="auto"/>
                      <w:sz w:val="18"/>
                      <w:szCs w:val="18"/>
                      <w:lang w:val="en-US" w:eastAsia="zh-CN"/>
                    </w:rPr>
                  </w:pPr>
                  <w:r>
                    <w:rPr>
                      <w:rFonts w:hint="eastAsia" w:eastAsia="宋体"/>
                      <w:color w:val="auto"/>
                      <w:sz w:val="18"/>
                      <w:szCs w:val="18"/>
                      <w:lang w:val="en-US" w:eastAsia="zh-CN"/>
                    </w:rPr>
                    <w:t>0.8</w:t>
                  </w:r>
                </w:p>
              </w:tc>
              <w:tc>
                <w:tcPr>
                  <w:tcW w:w="734" w:type="dxa"/>
                  <w:noWrap w:val="0"/>
                  <w:vAlign w:val="center"/>
                </w:tcPr>
                <w:p>
                  <w:pPr>
                    <w:jc w:val="center"/>
                    <w:rPr>
                      <w:rFonts w:hint="eastAsia"/>
                      <w:color w:val="auto"/>
                      <w:sz w:val="18"/>
                      <w:szCs w:val="18"/>
                    </w:rPr>
                  </w:pPr>
                  <w:r>
                    <w:rPr>
                      <w:rFonts w:hint="eastAsia"/>
                      <w:color w:val="auto"/>
                      <w:sz w:val="18"/>
                      <w:szCs w:val="18"/>
                      <w:lang w:val="en-US" w:eastAsia="zh-CN"/>
                    </w:rPr>
                    <w:t>50</w:t>
                  </w:r>
                </w:p>
              </w:tc>
              <w:tc>
                <w:tcPr>
                  <w:tcW w:w="626" w:type="dxa"/>
                  <w:noWrap w:val="0"/>
                  <w:vAlign w:val="center"/>
                </w:tcPr>
                <w:p>
                  <w:pPr>
                    <w:jc w:val="center"/>
                    <w:rPr>
                      <w:rFonts w:hint="eastAsia"/>
                      <w:color w:val="auto"/>
                      <w:sz w:val="18"/>
                      <w:szCs w:val="18"/>
                    </w:rPr>
                  </w:pPr>
                  <w:r>
                    <w:rPr>
                      <w:rFonts w:hint="eastAsia"/>
                      <w:color w:val="auto"/>
                      <w:sz w:val="18"/>
                      <w:szCs w:val="18"/>
                      <w:lang w:val="en-US" w:eastAsia="zh-CN"/>
                    </w:rPr>
                    <w:t>7200</w:t>
                  </w:r>
                </w:p>
              </w:tc>
              <w:tc>
                <w:tcPr>
                  <w:tcW w:w="729" w:type="dxa"/>
                  <w:noWrap w:val="0"/>
                  <w:vAlign w:val="center"/>
                </w:tcPr>
                <w:p>
                  <w:pPr>
                    <w:jc w:val="center"/>
                    <w:rPr>
                      <w:rFonts w:hint="default" w:eastAsia="宋体"/>
                      <w:color w:val="auto"/>
                      <w:sz w:val="18"/>
                      <w:szCs w:val="18"/>
                      <w:lang w:val="en-US" w:eastAsia="zh-CN"/>
                    </w:rPr>
                  </w:pPr>
                  <w:r>
                    <w:rPr>
                      <w:rFonts w:hint="eastAsia" w:eastAsia="宋体"/>
                      <w:color w:val="auto"/>
                      <w:sz w:val="18"/>
                      <w:szCs w:val="18"/>
                      <w:lang w:val="en-US" w:eastAsia="zh-CN"/>
                    </w:rPr>
                    <w:t>15.48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863" w:type="dxa"/>
                  <w:noWrap w:val="0"/>
                  <w:vAlign w:val="center"/>
                </w:tcPr>
                <w:p>
                  <w:pPr>
                    <w:adjustRightInd w:val="0"/>
                    <w:snapToGrid w:val="0"/>
                    <w:jc w:val="center"/>
                    <w:rPr>
                      <w:rFonts w:hint="default"/>
                      <w:color w:val="auto"/>
                      <w:sz w:val="18"/>
                      <w:szCs w:val="18"/>
                      <w:lang w:val="en-US" w:eastAsia="zh-CN"/>
                    </w:rPr>
                  </w:pPr>
                  <w:r>
                    <w:rPr>
                      <w:rFonts w:hint="eastAsia" w:ascii="Times New Roman" w:hAnsi="Times New Roman"/>
                      <w:color w:val="auto"/>
                      <w:sz w:val="18"/>
                      <w:szCs w:val="18"/>
                      <w:lang w:val="en-US" w:eastAsia="zh-CN"/>
                    </w:rPr>
                    <w:t>DA008</w:t>
                  </w:r>
                </w:p>
              </w:tc>
              <w:tc>
                <w:tcPr>
                  <w:tcW w:w="835" w:type="dxa"/>
                  <w:noWrap w:val="0"/>
                  <w:vAlign w:val="center"/>
                </w:tcPr>
                <w:p>
                  <w:pPr>
                    <w:jc w:val="center"/>
                    <w:rPr>
                      <w:rFonts w:hint="eastAsia"/>
                      <w:color w:val="auto"/>
                      <w:sz w:val="18"/>
                      <w:szCs w:val="18"/>
                    </w:rPr>
                  </w:pPr>
                  <w:r>
                    <w:rPr>
                      <w:rFonts w:hint="eastAsia"/>
                      <w:color w:val="auto"/>
                      <w:sz w:val="18"/>
                      <w:szCs w:val="18"/>
                    </w:rPr>
                    <w:t>排气筒</w:t>
                  </w:r>
                </w:p>
              </w:tc>
              <w:tc>
                <w:tcPr>
                  <w:tcW w:w="1133" w:type="dxa"/>
                  <w:noWrap w:val="0"/>
                  <w:vAlign w:val="center"/>
                </w:tcPr>
                <w:p>
                  <w:pPr>
                    <w:jc w:val="center"/>
                    <w:rPr>
                      <w:color w:val="auto"/>
                      <w:sz w:val="18"/>
                      <w:szCs w:val="18"/>
                    </w:rPr>
                  </w:pPr>
                  <w:r>
                    <w:rPr>
                      <w:color w:val="auto"/>
                      <w:sz w:val="18"/>
                      <w:szCs w:val="18"/>
                    </w:rPr>
                    <w:t>一般排放口</w:t>
                  </w:r>
                </w:p>
              </w:tc>
              <w:tc>
                <w:tcPr>
                  <w:tcW w:w="805" w:type="dxa"/>
                  <w:noWrap w:val="0"/>
                  <w:vAlign w:val="center"/>
                </w:tcPr>
                <w:p>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32.10</w:t>
                  </w:r>
                </w:p>
              </w:tc>
              <w:tc>
                <w:tcPr>
                  <w:tcW w:w="920" w:type="dxa"/>
                  <w:noWrap w:val="0"/>
                  <w:vAlign w:val="center"/>
                </w:tcPr>
                <w:p>
                  <w:pPr>
                    <w:jc w:val="center"/>
                    <w:rPr>
                      <w:rFonts w:hint="default" w:ascii="Times New Roman" w:hAnsi="Times New Roman" w:eastAsia="宋体" w:cs="Times New Roman"/>
                      <w:color w:val="auto"/>
                      <w:sz w:val="18"/>
                      <w:szCs w:val="18"/>
                      <w:lang w:val="en-US" w:eastAsia="zh-CN"/>
                    </w:rPr>
                  </w:pPr>
                  <w:r>
                    <w:rPr>
                      <w:rFonts w:ascii="Times New Roman" w:hAnsi="Times New Roman" w:eastAsia="宋体" w:cs="Times New Roman"/>
                      <w:color w:val="auto"/>
                      <w:sz w:val="18"/>
                      <w:szCs w:val="18"/>
                    </w:rPr>
                    <w:t>120.55</w:t>
                  </w:r>
                </w:p>
              </w:tc>
              <w:tc>
                <w:tcPr>
                  <w:tcW w:w="613" w:type="dxa"/>
                  <w:noWrap w:val="0"/>
                  <w:vAlign w:val="center"/>
                </w:tcPr>
                <w:p>
                  <w:pPr>
                    <w:jc w:val="center"/>
                    <w:rPr>
                      <w:rFonts w:hint="eastAsia"/>
                      <w:color w:val="auto"/>
                      <w:sz w:val="18"/>
                      <w:szCs w:val="18"/>
                      <w:lang w:val="en-US" w:eastAsia="zh-CN"/>
                    </w:rPr>
                  </w:pPr>
                  <w:r>
                    <w:rPr>
                      <w:rFonts w:hint="eastAsia" w:cs="Times New Roman"/>
                      <w:color w:val="auto"/>
                      <w:sz w:val="18"/>
                      <w:szCs w:val="18"/>
                      <w:lang w:val="en-US" w:eastAsia="zh-CN"/>
                    </w:rPr>
                    <w:t>16</w:t>
                  </w:r>
                </w:p>
              </w:tc>
              <w:tc>
                <w:tcPr>
                  <w:tcW w:w="653" w:type="dxa"/>
                  <w:noWrap w:val="0"/>
                  <w:vAlign w:val="center"/>
                </w:tcPr>
                <w:p>
                  <w:pPr>
                    <w:jc w:val="center"/>
                    <w:rPr>
                      <w:rFonts w:hint="default"/>
                      <w:color w:val="auto"/>
                      <w:sz w:val="18"/>
                      <w:szCs w:val="18"/>
                      <w:lang w:val="en-US" w:eastAsia="zh-CN"/>
                    </w:rPr>
                  </w:pPr>
                  <w:r>
                    <w:rPr>
                      <w:rFonts w:hint="eastAsia"/>
                      <w:color w:val="auto"/>
                      <w:sz w:val="18"/>
                      <w:szCs w:val="18"/>
                      <w:lang w:val="en-US" w:eastAsia="zh-CN"/>
                    </w:rPr>
                    <w:t>0.52</w:t>
                  </w:r>
                </w:p>
              </w:tc>
              <w:tc>
                <w:tcPr>
                  <w:tcW w:w="734" w:type="dxa"/>
                  <w:noWrap w:val="0"/>
                  <w:vAlign w:val="center"/>
                </w:tcPr>
                <w:p>
                  <w:pPr>
                    <w:jc w:val="center"/>
                    <w:rPr>
                      <w:rFonts w:hint="eastAsia"/>
                      <w:color w:val="auto"/>
                      <w:sz w:val="18"/>
                      <w:szCs w:val="18"/>
                    </w:rPr>
                  </w:pPr>
                  <w:r>
                    <w:rPr>
                      <w:rFonts w:hint="eastAsia"/>
                      <w:color w:val="auto"/>
                      <w:sz w:val="18"/>
                      <w:szCs w:val="18"/>
                      <w:lang w:val="en-US" w:eastAsia="zh-CN"/>
                    </w:rPr>
                    <w:t>50</w:t>
                  </w:r>
                </w:p>
              </w:tc>
              <w:tc>
                <w:tcPr>
                  <w:tcW w:w="626" w:type="dxa"/>
                  <w:noWrap w:val="0"/>
                  <w:vAlign w:val="center"/>
                </w:tcPr>
                <w:p>
                  <w:pPr>
                    <w:jc w:val="center"/>
                    <w:rPr>
                      <w:rFonts w:hint="eastAsia"/>
                      <w:color w:val="auto"/>
                      <w:sz w:val="18"/>
                      <w:szCs w:val="18"/>
                    </w:rPr>
                  </w:pPr>
                  <w:r>
                    <w:rPr>
                      <w:rFonts w:hint="eastAsia"/>
                      <w:color w:val="auto"/>
                      <w:sz w:val="18"/>
                      <w:szCs w:val="18"/>
                      <w:lang w:val="en-US" w:eastAsia="zh-CN"/>
                    </w:rPr>
                    <w:t>7200</w:t>
                  </w:r>
                </w:p>
              </w:tc>
              <w:tc>
                <w:tcPr>
                  <w:tcW w:w="729" w:type="dxa"/>
                  <w:noWrap w:val="0"/>
                  <w:vAlign w:val="center"/>
                </w:tcPr>
                <w:p>
                  <w:pPr>
                    <w:jc w:val="center"/>
                    <w:rPr>
                      <w:rFonts w:hint="default" w:eastAsia="宋体"/>
                      <w:color w:val="auto"/>
                      <w:sz w:val="18"/>
                      <w:szCs w:val="18"/>
                      <w:lang w:val="en-US" w:eastAsia="zh-CN"/>
                    </w:rPr>
                  </w:pPr>
                  <w:r>
                    <w:rPr>
                      <w:rFonts w:hint="eastAsia" w:ascii="Times New Roman" w:hAnsi="Times New Roman" w:cs="Times New Roman"/>
                      <w:color w:val="auto"/>
                      <w:sz w:val="18"/>
                      <w:szCs w:val="18"/>
                      <w:lang w:val="en-US" w:eastAsia="zh-CN"/>
                    </w:rPr>
                    <w:t>15.70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863" w:type="dxa"/>
                  <w:noWrap w:val="0"/>
                  <w:vAlign w:val="center"/>
                </w:tcPr>
                <w:p>
                  <w:pPr>
                    <w:adjustRightInd w:val="0"/>
                    <w:snapToGrid w:val="0"/>
                    <w:jc w:val="center"/>
                    <w:rPr>
                      <w:rFonts w:hint="default" w:ascii="Times New Roman" w:hAnsi="Times New Roman"/>
                      <w:color w:val="auto"/>
                      <w:sz w:val="18"/>
                      <w:szCs w:val="18"/>
                      <w:lang w:val="en-US" w:eastAsia="zh-CN"/>
                    </w:rPr>
                  </w:pPr>
                  <w:r>
                    <w:rPr>
                      <w:rFonts w:hint="eastAsia" w:ascii="Times New Roman" w:hAnsi="Times New Roman"/>
                      <w:color w:val="auto"/>
                      <w:sz w:val="18"/>
                      <w:szCs w:val="18"/>
                      <w:lang w:val="en-US" w:eastAsia="zh-CN"/>
                    </w:rPr>
                    <w:t>DA004</w:t>
                  </w:r>
                </w:p>
              </w:tc>
              <w:tc>
                <w:tcPr>
                  <w:tcW w:w="835" w:type="dxa"/>
                  <w:noWrap w:val="0"/>
                  <w:vAlign w:val="center"/>
                </w:tcPr>
                <w:p>
                  <w:pPr>
                    <w:jc w:val="center"/>
                    <w:rPr>
                      <w:rFonts w:hint="eastAsia"/>
                      <w:color w:val="auto"/>
                      <w:sz w:val="18"/>
                      <w:szCs w:val="18"/>
                    </w:rPr>
                  </w:pPr>
                  <w:r>
                    <w:rPr>
                      <w:rFonts w:hint="eastAsia"/>
                      <w:color w:val="auto"/>
                      <w:sz w:val="18"/>
                      <w:szCs w:val="18"/>
                    </w:rPr>
                    <w:t>排气筒</w:t>
                  </w:r>
                </w:p>
              </w:tc>
              <w:tc>
                <w:tcPr>
                  <w:tcW w:w="1133" w:type="dxa"/>
                  <w:noWrap w:val="0"/>
                  <w:vAlign w:val="center"/>
                </w:tcPr>
                <w:p>
                  <w:pPr>
                    <w:jc w:val="center"/>
                    <w:rPr>
                      <w:color w:val="auto"/>
                      <w:sz w:val="18"/>
                      <w:szCs w:val="18"/>
                    </w:rPr>
                  </w:pPr>
                  <w:r>
                    <w:rPr>
                      <w:color w:val="auto"/>
                      <w:sz w:val="18"/>
                      <w:szCs w:val="18"/>
                    </w:rPr>
                    <w:t>一般排放口</w:t>
                  </w:r>
                </w:p>
              </w:tc>
              <w:tc>
                <w:tcPr>
                  <w:tcW w:w="805" w:type="dxa"/>
                  <w:noWrap w:val="0"/>
                  <w:vAlign w:val="center"/>
                </w:tcPr>
                <w:p>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32.10</w:t>
                  </w:r>
                </w:p>
              </w:tc>
              <w:tc>
                <w:tcPr>
                  <w:tcW w:w="920" w:type="dxa"/>
                  <w:noWrap w:val="0"/>
                  <w:vAlign w:val="center"/>
                </w:tcPr>
                <w:p>
                  <w:pPr>
                    <w:jc w:val="center"/>
                    <w:rPr>
                      <w:rFonts w:hint="eastAsia" w:ascii="Times New Roman" w:hAnsi="Times New Roman" w:eastAsia="宋体" w:cs="Times New Roman"/>
                      <w:color w:val="auto"/>
                      <w:sz w:val="18"/>
                      <w:szCs w:val="18"/>
                      <w:lang w:val="en-US" w:eastAsia="zh-CN"/>
                    </w:rPr>
                  </w:pPr>
                  <w:r>
                    <w:rPr>
                      <w:rFonts w:ascii="Times New Roman" w:hAnsi="Times New Roman" w:eastAsia="宋体" w:cs="Times New Roman"/>
                      <w:color w:val="auto"/>
                      <w:sz w:val="18"/>
                      <w:szCs w:val="18"/>
                    </w:rPr>
                    <w:t>120.55</w:t>
                  </w:r>
                </w:p>
              </w:tc>
              <w:tc>
                <w:tcPr>
                  <w:tcW w:w="613" w:type="dxa"/>
                  <w:noWrap w:val="0"/>
                  <w:vAlign w:val="center"/>
                </w:tcPr>
                <w:p>
                  <w:pPr>
                    <w:jc w:val="center"/>
                    <w:rPr>
                      <w:rFonts w:hint="eastAsia" w:ascii="Times New Roman" w:hAnsi="Times New Roman" w:cs="Times New Roman"/>
                      <w:color w:val="auto"/>
                      <w:sz w:val="18"/>
                      <w:szCs w:val="18"/>
                      <w:lang w:val="en-US" w:eastAsia="zh-CN"/>
                    </w:rPr>
                  </w:pPr>
                  <w:r>
                    <w:rPr>
                      <w:rFonts w:hint="eastAsia" w:cs="Times New Roman"/>
                      <w:color w:val="auto"/>
                      <w:sz w:val="18"/>
                      <w:szCs w:val="18"/>
                      <w:lang w:val="en-US" w:eastAsia="zh-CN"/>
                    </w:rPr>
                    <w:t>16</w:t>
                  </w:r>
                </w:p>
              </w:tc>
              <w:tc>
                <w:tcPr>
                  <w:tcW w:w="653" w:type="dxa"/>
                  <w:noWrap w:val="0"/>
                  <w:vAlign w:val="center"/>
                </w:tcPr>
                <w:p>
                  <w:pPr>
                    <w:jc w:val="center"/>
                    <w:rPr>
                      <w:rFonts w:hint="default" w:ascii="Times New Roman" w:hAnsi="Times New Roman" w:cs="Times New Roman"/>
                      <w:color w:val="auto"/>
                      <w:sz w:val="18"/>
                      <w:szCs w:val="18"/>
                      <w:lang w:val="en-US" w:eastAsia="zh-CN"/>
                    </w:rPr>
                  </w:pPr>
                  <w:r>
                    <w:rPr>
                      <w:rFonts w:hint="eastAsia" w:eastAsia="宋体"/>
                      <w:color w:val="auto"/>
                      <w:sz w:val="18"/>
                      <w:szCs w:val="18"/>
                      <w:lang w:val="en-US" w:eastAsia="zh-CN"/>
                    </w:rPr>
                    <w:t>0.</w:t>
                  </w:r>
                  <w:r>
                    <w:rPr>
                      <w:rFonts w:hint="eastAsia"/>
                      <w:color w:val="auto"/>
                      <w:sz w:val="18"/>
                      <w:szCs w:val="18"/>
                      <w:lang w:val="en-US" w:eastAsia="zh-CN"/>
                    </w:rPr>
                    <w:t>64</w:t>
                  </w:r>
                </w:p>
              </w:tc>
              <w:tc>
                <w:tcPr>
                  <w:tcW w:w="734" w:type="dxa"/>
                  <w:noWrap w:val="0"/>
                  <w:vAlign w:val="center"/>
                </w:tcPr>
                <w:p>
                  <w:pPr>
                    <w:jc w:val="center"/>
                    <w:rPr>
                      <w:rFonts w:hint="eastAsia"/>
                      <w:color w:val="auto"/>
                      <w:sz w:val="18"/>
                      <w:szCs w:val="18"/>
                    </w:rPr>
                  </w:pPr>
                  <w:r>
                    <w:rPr>
                      <w:rFonts w:hint="eastAsia"/>
                      <w:color w:val="auto"/>
                      <w:sz w:val="18"/>
                      <w:szCs w:val="18"/>
                      <w:lang w:val="en-US" w:eastAsia="zh-CN"/>
                    </w:rPr>
                    <w:t>50</w:t>
                  </w:r>
                </w:p>
              </w:tc>
              <w:tc>
                <w:tcPr>
                  <w:tcW w:w="626" w:type="dxa"/>
                  <w:noWrap w:val="0"/>
                  <w:vAlign w:val="center"/>
                </w:tcPr>
                <w:p>
                  <w:pPr>
                    <w:jc w:val="center"/>
                    <w:rPr>
                      <w:rFonts w:hint="eastAsia"/>
                      <w:color w:val="auto"/>
                      <w:sz w:val="18"/>
                      <w:szCs w:val="18"/>
                    </w:rPr>
                  </w:pPr>
                  <w:r>
                    <w:rPr>
                      <w:rFonts w:hint="eastAsia"/>
                      <w:color w:val="auto"/>
                      <w:sz w:val="18"/>
                      <w:szCs w:val="18"/>
                      <w:lang w:val="en-US" w:eastAsia="zh-CN"/>
                    </w:rPr>
                    <w:t>7200</w:t>
                  </w:r>
                </w:p>
              </w:tc>
              <w:tc>
                <w:tcPr>
                  <w:tcW w:w="729" w:type="dxa"/>
                  <w:noWrap w:val="0"/>
                  <w:vAlign w:val="center"/>
                </w:tcPr>
                <w:p>
                  <w:pPr>
                    <w:jc w:val="center"/>
                    <w:rPr>
                      <w:rFonts w:hint="default" w:ascii="Times New Roman" w:hAnsi="Times New Roman" w:cs="Times New Roman"/>
                      <w:color w:val="auto"/>
                      <w:sz w:val="18"/>
                      <w:szCs w:val="18"/>
                      <w:lang w:val="en-US" w:eastAsia="zh-CN"/>
                    </w:rPr>
                  </w:pPr>
                  <w:r>
                    <w:rPr>
                      <w:rFonts w:hint="eastAsia" w:eastAsia="宋体"/>
                      <w:color w:val="auto"/>
                      <w:sz w:val="18"/>
                      <w:szCs w:val="18"/>
                      <w:lang w:val="en-US" w:eastAsia="zh-CN"/>
                    </w:rPr>
                    <w:t>15.</w:t>
                  </w:r>
                  <w:r>
                    <w:rPr>
                      <w:rFonts w:hint="eastAsia"/>
                      <w:color w:val="auto"/>
                      <w:sz w:val="18"/>
                      <w:szCs w:val="18"/>
                      <w:lang w:val="en-US" w:eastAsia="zh-CN"/>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863" w:type="dxa"/>
                  <w:noWrap w:val="0"/>
                  <w:vAlign w:val="center"/>
                </w:tcPr>
                <w:p>
                  <w:pPr>
                    <w:adjustRightInd w:val="0"/>
                    <w:snapToGrid w:val="0"/>
                    <w:jc w:val="center"/>
                    <w:rPr>
                      <w:rFonts w:hint="default" w:ascii="Times New Roman" w:hAnsi="Times New Roman"/>
                      <w:color w:val="auto"/>
                      <w:sz w:val="18"/>
                      <w:szCs w:val="18"/>
                      <w:lang w:val="en-US" w:eastAsia="zh-CN"/>
                    </w:rPr>
                  </w:pPr>
                  <w:r>
                    <w:rPr>
                      <w:rFonts w:hint="eastAsia" w:ascii="Times New Roman" w:hAnsi="Times New Roman"/>
                      <w:color w:val="auto"/>
                      <w:sz w:val="18"/>
                      <w:szCs w:val="18"/>
                      <w:lang w:val="en-US" w:eastAsia="zh-CN"/>
                    </w:rPr>
                    <w:t>DA005</w:t>
                  </w:r>
                </w:p>
              </w:tc>
              <w:tc>
                <w:tcPr>
                  <w:tcW w:w="835" w:type="dxa"/>
                  <w:noWrap w:val="0"/>
                  <w:vAlign w:val="center"/>
                </w:tcPr>
                <w:p>
                  <w:pPr>
                    <w:jc w:val="center"/>
                    <w:rPr>
                      <w:rFonts w:hint="eastAsia"/>
                      <w:color w:val="auto"/>
                      <w:sz w:val="18"/>
                      <w:szCs w:val="18"/>
                    </w:rPr>
                  </w:pPr>
                  <w:r>
                    <w:rPr>
                      <w:rFonts w:hint="eastAsia"/>
                      <w:color w:val="auto"/>
                      <w:sz w:val="18"/>
                      <w:szCs w:val="18"/>
                    </w:rPr>
                    <w:t>排气筒</w:t>
                  </w:r>
                </w:p>
              </w:tc>
              <w:tc>
                <w:tcPr>
                  <w:tcW w:w="1133" w:type="dxa"/>
                  <w:noWrap w:val="0"/>
                  <w:vAlign w:val="center"/>
                </w:tcPr>
                <w:p>
                  <w:pPr>
                    <w:jc w:val="center"/>
                    <w:rPr>
                      <w:color w:val="auto"/>
                      <w:sz w:val="18"/>
                      <w:szCs w:val="18"/>
                    </w:rPr>
                  </w:pPr>
                  <w:r>
                    <w:rPr>
                      <w:color w:val="auto"/>
                      <w:sz w:val="18"/>
                      <w:szCs w:val="18"/>
                    </w:rPr>
                    <w:t>一般排放口</w:t>
                  </w:r>
                </w:p>
              </w:tc>
              <w:tc>
                <w:tcPr>
                  <w:tcW w:w="805" w:type="dxa"/>
                  <w:noWrap w:val="0"/>
                  <w:vAlign w:val="center"/>
                </w:tcPr>
                <w:p>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32.10</w:t>
                  </w:r>
                </w:p>
              </w:tc>
              <w:tc>
                <w:tcPr>
                  <w:tcW w:w="920" w:type="dxa"/>
                  <w:noWrap w:val="0"/>
                  <w:vAlign w:val="center"/>
                </w:tcPr>
                <w:p>
                  <w:pPr>
                    <w:jc w:val="center"/>
                    <w:rPr>
                      <w:rFonts w:hint="eastAsia" w:ascii="Times New Roman" w:hAnsi="Times New Roman" w:eastAsia="宋体" w:cs="Times New Roman"/>
                      <w:color w:val="auto"/>
                      <w:sz w:val="18"/>
                      <w:szCs w:val="18"/>
                      <w:lang w:val="en-US" w:eastAsia="zh-CN"/>
                    </w:rPr>
                  </w:pPr>
                  <w:r>
                    <w:rPr>
                      <w:rFonts w:ascii="Times New Roman" w:hAnsi="Times New Roman" w:eastAsia="宋体" w:cs="Times New Roman"/>
                      <w:color w:val="auto"/>
                      <w:sz w:val="18"/>
                      <w:szCs w:val="18"/>
                    </w:rPr>
                    <w:t>120.55</w:t>
                  </w:r>
                </w:p>
              </w:tc>
              <w:tc>
                <w:tcPr>
                  <w:tcW w:w="613" w:type="dxa"/>
                  <w:noWrap w:val="0"/>
                  <w:vAlign w:val="center"/>
                </w:tcPr>
                <w:p>
                  <w:pPr>
                    <w:jc w:val="center"/>
                    <w:rPr>
                      <w:rFonts w:hint="eastAsia" w:ascii="Times New Roman" w:hAnsi="Times New Roman" w:cs="Times New Roman"/>
                      <w:color w:val="auto"/>
                      <w:sz w:val="18"/>
                      <w:szCs w:val="18"/>
                      <w:lang w:val="en-US" w:eastAsia="zh-CN"/>
                    </w:rPr>
                  </w:pPr>
                  <w:r>
                    <w:rPr>
                      <w:rFonts w:hint="eastAsia" w:cs="Times New Roman"/>
                      <w:color w:val="auto"/>
                      <w:sz w:val="18"/>
                      <w:szCs w:val="18"/>
                      <w:lang w:val="en-US" w:eastAsia="zh-CN"/>
                    </w:rPr>
                    <w:t>16</w:t>
                  </w:r>
                </w:p>
              </w:tc>
              <w:tc>
                <w:tcPr>
                  <w:tcW w:w="653" w:type="dxa"/>
                  <w:noWrap w:val="0"/>
                  <w:vAlign w:val="center"/>
                </w:tcPr>
                <w:p>
                  <w:pPr>
                    <w:jc w:val="center"/>
                    <w:rPr>
                      <w:rFonts w:hint="eastAsia" w:ascii="Times New Roman" w:hAnsi="Times New Roman" w:cs="Times New Roman"/>
                      <w:color w:val="auto"/>
                      <w:sz w:val="18"/>
                      <w:szCs w:val="18"/>
                      <w:lang w:val="en-US" w:eastAsia="zh-CN"/>
                    </w:rPr>
                  </w:pPr>
                  <w:r>
                    <w:rPr>
                      <w:rFonts w:hint="eastAsia" w:eastAsia="宋体"/>
                      <w:color w:val="auto"/>
                      <w:sz w:val="18"/>
                      <w:szCs w:val="18"/>
                      <w:lang w:val="en-US" w:eastAsia="zh-CN"/>
                    </w:rPr>
                    <w:t>0.6</w:t>
                  </w:r>
                </w:p>
              </w:tc>
              <w:tc>
                <w:tcPr>
                  <w:tcW w:w="734" w:type="dxa"/>
                  <w:noWrap w:val="0"/>
                  <w:vAlign w:val="center"/>
                </w:tcPr>
                <w:p>
                  <w:pPr>
                    <w:jc w:val="center"/>
                    <w:rPr>
                      <w:rFonts w:hint="eastAsia"/>
                      <w:color w:val="auto"/>
                      <w:sz w:val="18"/>
                      <w:szCs w:val="18"/>
                    </w:rPr>
                  </w:pPr>
                  <w:r>
                    <w:rPr>
                      <w:rFonts w:hint="eastAsia"/>
                      <w:color w:val="auto"/>
                      <w:sz w:val="18"/>
                      <w:szCs w:val="18"/>
                      <w:lang w:val="en-US" w:eastAsia="zh-CN"/>
                    </w:rPr>
                    <w:t>50</w:t>
                  </w:r>
                </w:p>
              </w:tc>
              <w:tc>
                <w:tcPr>
                  <w:tcW w:w="626" w:type="dxa"/>
                  <w:noWrap w:val="0"/>
                  <w:vAlign w:val="center"/>
                </w:tcPr>
                <w:p>
                  <w:pPr>
                    <w:jc w:val="center"/>
                    <w:rPr>
                      <w:rFonts w:hint="eastAsia"/>
                      <w:color w:val="auto"/>
                      <w:sz w:val="18"/>
                      <w:szCs w:val="18"/>
                    </w:rPr>
                  </w:pPr>
                  <w:r>
                    <w:rPr>
                      <w:rFonts w:hint="eastAsia"/>
                      <w:color w:val="auto"/>
                      <w:sz w:val="18"/>
                      <w:szCs w:val="18"/>
                      <w:lang w:val="en-US" w:eastAsia="zh-CN"/>
                    </w:rPr>
                    <w:t>7200</w:t>
                  </w:r>
                </w:p>
              </w:tc>
              <w:tc>
                <w:tcPr>
                  <w:tcW w:w="729" w:type="dxa"/>
                  <w:noWrap w:val="0"/>
                  <w:vAlign w:val="center"/>
                </w:tcPr>
                <w:p>
                  <w:pPr>
                    <w:jc w:val="center"/>
                    <w:rPr>
                      <w:rFonts w:hint="eastAsia" w:ascii="Times New Roman" w:hAnsi="Times New Roman" w:cs="Times New Roman"/>
                      <w:color w:val="auto"/>
                      <w:sz w:val="18"/>
                      <w:szCs w:val="18"/>
                      <w:lang w:val="en-US" w:eastAsia="zh-CN"/>
                    </w:rPr>
                  </w:pPr>
                  <w:r>
                    <w:rPr>
                      <w:rFonts w:hint="eastAsia" w:eastAsia="宋体"/>
                      <w:color w:val="auto"/>
                      <w:sz w:val="18"/>
                      <w:szCs w:val="18"/>
                      <w:lang w:val="en-US" w:eastAsia="zh-CN"/>
                    </w:rPr>
                    <w:t>14.74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863" w:type="dxa"/>
                  <w:noWrap w:val="0"/>
                  <w:vAlign w:val="center"/>
                </w:tcPr>
                <w:p>
                  <w:pPr>
                    <w:adjustRightInd w:val="0"/>
                    <w:snapToGrid w:val="0"/>
                    <w:jc w:val="center"/>
                    <w:rPr>
                      <w:rFonts w:hint="eastAsia" w:ascii="Times New Roman" w:hAnsi="Times New Roman"/>
                      <w:color w:val="auto"/>
                      <w:sz w:val="18"/>
                      <w:szCs w:val="18"/>
                      <w:lang w:val="en-US" w:eastAsia="zh-CN"/>
                    </w:rPr>
                  </w:pPr>
                  <w:r>
                    <w:rPr>
                      <w:rFonts w:hint="eastAsia" w:ascii="Times New Roman" w:hAnsi="Times New Roman"/>
                      <w:color w:val="auto"/>
                      <w:sz w:val="18"/>
                      <w:szCs w:val="18"/>
                      <w:lang w:val="en-US" w:eastAsia="zh-CN"/>
                    </w:rPr>
                    <w:t>DA009</w:t>
                  </w:r>
                </w:p>
              </w:tc>
              <w:tc>
                <w:tcPr>
                  <w:tcW w:w="835" w:type="dxa"/>
                  <w:noWrap w:val="0"/>
                  <w:vAlign w:val="center"/>
                </w:tcPr>
                <w:p>
                  <w:pPr>
                    <w:jc w:val="center"/>
                    <w:rPr>
                      <w:rFonts w:hint="eastAsia"/>
                      <w:color w:val="auto"/>
                      <w:sz w:val="18"/>
                      <w:szCs w:val="18"/>
                    </w:rPr>
                  </w:pPr>
                  <w:r>
                    <w:rPr>
                      <w:rFonts w:hint="eastAsia"/>
                      <w:color w:val="auto"/>
                      <w:sz w:val="18"/>
                      <w:szCs w:val="18"/>
                    </w:rPr>
                    <w:t>排气筒</w:t>
                  </w:r>
                </w:p>
              </w:tc>
              <w:tc>
                <w:tcPr>
                  <w:tcW w:w="1133" w:type="dxa"/>
                  <w:noWrap w:val="0"/>
                  <w:vAlign w:val="center"/>
                </w:tcPr>
                <w:p>
                  <w:pPr>
                    <w:jc w:val="center"/>
                    <w:rPr>
                      <w:color w:val="auto"/>
                      <w:sz w:val="18"/>
                      <w:szCs w:val="18"/>
                    </w:rPr>
                  </w:pPr>
                  <w:r>
                    <w:rPr>
                      <w:color w:val="auto"/>
                      <w:sz w:val="18"/>
                      <w:szCs w:val="18"/>
                    </w:rPr>
                    <w:t>一般排放口</w:t>
                  </w:r>
                </w:p>
              </w:tc>
              <w:tc>
                <w:tcPr>
                  <w:tcW w:w="805" w:type="dxa"/>
                  <w:noWrap w:val="0"/>
                  <w:vAlign w:val="center"/>
                </w:tcPr>
                <w:p>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32.10</w:t>
                  </w:r>
                </w:p>
              </w:tc>
              <w:tc>
                <w:tcPr>
                  <w:tcW w:w="920" w:type="dxa"/>
                  <w:noWrap w:val="0"/>
                  <w:vAlign w:val="center"/>
                </w:tcPr>
                <w:p>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120.55</w:t>
                  </w:r>
                </w:p>
              </w:tc>
              <w:tc>
                <w:tcPr>
                  <w:tcW w:w="613" w:type="dxa"/>
                  <w:noWrap w:val="0"/>
                  <w:vAlign w:val="center"/>
                </w:tcPr>
                <w:p>
                  <w:pPr>
                    <w:jc w:val="center"/>
                    <w:rPr>
                      <w:rFonts w:hint="eastAsia" w:ascii="Times New Roman" w:hAnsi="Times New Roman" w:cs="Times New Roman"/>
                      <w:color w:val="auto"/>
                      <w:sz w:val="18"/>
                      <w:szCs w:val="18"/>
                      <w:lang w:val="en-US" w:eastAsia="zh-CN"/>
                    </w:rPr>
                  </w:pPr>
                  <w:r>
                    <w:rPr>
                      <w:rFonts w:hint="eastAsia" w:cs="Times New Roman"/>
                      <w:color w:val="auto"/>
                      <w:sz w:val="18"/>
                      <w:szCs w:val="18"/>
                      <w:lang w:val="en-US" w:eastAsia="zh-CN"/>
                    </w:rPr>
                    <w:t>16</w:t>
                  </w:r>
                </w:p>
              </w:tc>
              <w:tc>
                <w:tcPr>
                  <w:tcW w:w="653" w:type="dxa"/>
                  <w:noWrap w:val="0"/>
                  <w:vAlign w:val="center"/>
                </w:tcPr>
                <w:p>
                  <w:pPr>
                    <w:jc w:val="center"/>
                    <w:rPr>
                      <w:rFonts w:hint="default" w:eastAsia="宋体"/>
                      <w:color w:val="auto"/>
                      <w:sz w:val="18"/>
                      <w:szCs w:val="18"/>
                      <w:lang w:val="en-US" w:eastAsia="zh-CN"/>
                    </w:rPr>
                  </w:pPr>
                  <w:r>
                    <w:rPr>
                      <w:rFonts w:hint="eastAsia"/>
                      <w:color w:val="auto"/>
                      <w:sz w:val="18"/>
                      <w:szCs w:val="18"/>
                      <w:lang w:val="en-US" w:eastAsia="zh-CN"/>
                    </w:rPr>
                    <w:t>0.68</w:t>
                  </w:r>
                </w:p>
              </w:tc>
              <w:tc>
                <w:tcPr>
                  <w:tcW w:w="734" w:type="dxa"/>
                  <w:noWrap w:val="0"/>
                  <w:vAlign w:val="center"/>
                </w:tcPr>
                <w:p>
                  <w:pPr>
                    <w:jc w:val="center"/>
                    <w:rPr>
                      <w:rFonts w:hint="default"/>
                      <w:color w:val="auto"/>
                      <w:sz w:val="18"/>
                      <w:szCs w:val="18"/>
                      <w:lang w:val="en-US" w:eastAsia="zh-CN"/>
                    </w:rPr>
                  </w:pPr>
                  <w:r>
                    <w:rPr>
                      <w:rFonts w:hint="eastAsia"/>
                      <w:color w:val="auto"/>
                      <w:sz w:val="18"/>
                      <w:szCs w:val="18"/>
                      <w:lang w:val="en-US" w:eastAsia="zh-CN"/>
                    </w:rPr>
                    <w:t>25</w:t>
                  </w:r>
                </w:p>
              </w:tc>
              <w:tc>
                <w:tcPr>
                  <w:tcW w:w="626" w:type="dxa"/>
                  <w:noWrap w:val="0"/>
                  <w:vAlign w:val="center"/>
                </w:tcPr>
                <w:p>
                  <w:pPr>
                    <w:jc w:val="center"/>
                    <w:rPr>
                      <w:rFonts w:hint="eastAsia"/>
                      <w:color w:val="auto"/>
                      <w:sz w:val="18"/>
                      <w:szCs w:val="18"/>
                      <w:lang w:val="en-US" w:eastAsia="zh-CN"/>
                    </w:rPr>
                  </w:pPr>
                  <w:r>
                    <w:rPr>
                      <w:rFonts w:hint="eastAsia"/>
                      <w:color w:val="auto"/>
                      <w:sz w:val="18"/>
                      <w:szCs w:val="18"/>
                      <w:lang w:val="en-US" w:eastAsia="zh-CN"/>
                    </w:rPr>
                    <w:t>7200</w:t>
                  </w:r>
                </w:p>
              </w:tc>
              <w:tc>
                <w:tcPr>
                  <w:tcW w:w="729" w:type="dxa"/>
                  <w:noWrap w:val="0"/>
                  <w:vAlign w:val="center"/>
                </w:tcPr>
                <w:p>
                  <w:pPr>
                    <w:jc w:val="center"/>
                    <w:rPr>
                      <w:rFonts w:hint="default" w:eastAsia="宋体"/>
                      <w:color w:val="auto"/>
                      <w:sz w:val="18"/>
                      <w:szCs w:val="18"/>
                      <w:lang w:val="en-US" w:eastAsia="zh-CN"/>
                    </w:rPr>
                  </w:pPr>
                  <w:r>
                    <w:rPr>
                      <w:rFonts w:hint="eastAsia"/>
                      <w:color w:val="auto"/>
                      <w:sz w:val="18"/>
                      <w:szCs w:val="18"/>
                      <w:lang w:val="en-US" w:eastAsia="zh-CN"/>
                    </w:rPr>
                    <w:t>15.30</w:t>
                  </w:r>
                </w:p>
              </w:tc>
            </w:tr>
          </w:tbl>
          <w:p>
            <w:pPr>
              <w:spacing w:line="500" w:lineRule="exact"/>
              <w:ind w:firstLine="422" w:firstLineChars="200"/>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3、废气处理措施</w:t>
            </w:r>
          </w:p>
          <w:p>
            <w:pPr>
              <w:adjustRightInd w:val="0"/>
              <w:snapToGrid w:val="0"/>
              <w:spacing w:line="500" w:lineRule="exact"/>
              <w:ind w:firstLine="420" w:firstLineChars="200"/>
              <w:rPr>
                <w:color w:val="auto"/>
              </w:rPr>
            </w:pPr>
            <w:r>
              <w:rPr>
                <w:rFonts w:hint="eastAsia" w:ascii="Times New Roman" w:hAnsi="Times New Roman" w:eastAsia="宋体" w:cs="Times New Roman"/>
                <w:bCs/>
                <w:color w:val="auto"/>
                <w:szCs w:val="21"/>
                <w:lang w:val="en-US" w:eastAsia="zh-CN"/>
              </w:rPr>
              <w:t>布袋除尘器：</w:t>
            </w:r>
            <w:r>
              <w:rPr>
                <w:rFonts w:hint="eastAsia" w:ascii="Times New Roman" w:hAnsi="Times New Roman" w:eastAsia="宋体" w:cs="Times New Roman"/>
                <w:bCs/>
                <w:color w:val="auto"/>
                <w:szCs w:val="21"/>
                <w:highlight w:val="none"/>
                <w:lang w:val="en-US" w:eastAsia="zh-CN"/>
              </w:rPr>
              <w:t>本项目设备使</w:t>
            </w:r>
            <w:r>
              <w:rPr>
                <w:rFonts w:hint="eastAsia" w:ascii="Times New Roman" w:hAnsi="Times New Roman" w:eastAsia="宋体" w:cs="Times New Roman"/>
                <w:bCs/>
                <w:color w:val="auto"/>
                <w:szCs w:val="21"/>
                <w:lang w:val="en-US" w:eastAsia="zh-CN"/>
              </w:rPr>
              <w:t>用除尘设备均为布袋除尘器（含移动式除尘器），均采用布袋过滤工艺。布袋除尘器是一种干式滤尘装置。它适用于捕集细小、干燥的粉尘。滤袋采用纺织的滤布或非纺织的</w:t>
            </w:r>
            <w:r>
              <w:rPr>
                <w:rFonts w:hint="eastAsia" w:ascii="Times New Roman" w:hAnsi="Times New Roman" w:eastAsia="宋体" w:cs="Times New Roman"/>
                <w:bCs/>
                <w:color w:val="auto"/>
                <w:szCs w:val="21"/>
                <w:highlight w:val="none"/>
                <w:lang w:val="en-US" w:eastAsia="zh-CN"/>
              </w:rPr>
              <w:t>毡制成，利用纤维织物的过滤作用对含尘气体进行过滤，当含尘气体进入袋式除尘器内时，颗粒大、比重大的粉尘，由于重力的作用沉降下来，落入灰斗，含有较细小粉尘的气体在通过滤料时，粉尘被阻留，使气体得到净化。具有除尘效率高（一般在98%以上，除尘器出口气体含尘浓度在数十mg/m</w:t>
            </w:r>
            <w:r>
              <w:rPr>
                <w:rFonts w:hint="eastAsia" w:ascii="Times New Roman" w:hAnsi="Times New Roman" w:eastAsia="宋体" w:cs="Times New Roman"/>
                <w:bCs/>
                <w:color w:val="auto"/>
                <w:szCs w:val="21"/>
                <w:highlight w:val="none"/>
                <w:vertAlign w:val="superscript"/>
                <w:lang w:val="en-US" w:eastAsia="zh-CN"/>
              </w:rPr>
              <w:t>3</w:t>
            </w:r>
            <w:r>
              <w:rPr>
                <w:rFonts w:hint="eastAsia" w:ascii="Times New Roman" w:hAnsi="Times New Roman" w:eastAsia="宋体" w:cs="Times New Roman"/>
                <w:bCs/>
                <w:color w:val="auto"/>
                <w:szCs w:val="21"/>
                <w:highlight w:val="none"/>
                <w:lang w:val="en-US" w:eastAsia="zh-CN"/>
              </w:rPr>
              <w:t>之内，对亚微米粒径的细尘有较高的分级效率），处理风量的范围广，结构简单，维护操作方便，对粉尘的特性不敏感，不受粉尘及电阻的影响等优点。根据《袋式除尘器的除尘效率研究》（西南交通大学，周军）中对于国内外工业企业袋式除尘器除尘效率的研究，普通袋式除尘器对1微米以上的尘粒，其稳态过滤效率可达99%以上，对0.4微米~1微米的微细粉尘的稳态过滤效率可达98%以上。本项目保守起见，布袋除尘器除尘效率取95%。</w:t>
            </w:r>
          </w:p>
          <w:p>
            <w:pPr>
              <w:wordWrap w:val="0"/>
              <w:adjustRightInd w:val="0"/>
              <w:snapToGrid w:val="0"/>
              <w:spacing w:line="500" w:lineRule="exact"/>
              <w:ind w:firstLine="422" w:firstLineChars="200"/>
              <w:rPr>
                <w:rFonts w:hint="eastAsia"/>
                <w:b/>
                <w:bCs w:val="0"/>
                <w:color w:val="auto"/>
                <w:szCs w:val="21"/>
                <w:highlight w:val="none"/>
                <w:lang w:val="en-US" w:eastAsia="zh-CN"/>
              </w:rPr>
            </w:pPr>
            <w:r>
              <w:rPr>
                <w:rFonts w:hint="eastAsia"/>
                <w:b/>
                <w:bCs w:val="0"/>
                <w:color w:val="auto"/>
                <w:szCs w:val="21"/>
                <w:highlight w:val="none"/>
                <w:lang w:val="en-US" w:eastAsia="zh-CN"/>
              </w:rPr>
              <w:t>废气处理设施可行性分析</w:t>
            </w:r>
          </w:p>
          <w:p>
            <w:pPr>
              <w:keepNext w:val="0"/>
              <w:keepLines w:val="0"/>
              <w:pageBreakBefore w:val="0"/>
              <w:widowControl/>
              <w:kinsoku/>
              <w:wordWrap/>
              <w:overflowPunct/>
              <w:topLinePunct w:val="0"/>
              <w:autoSpaceDE/>
              <w:autoSpaceDN/>
              <w:bidi w:val="0"/>
              <w:adjustRightInd/>
              <w:snapToGrid/>
              <w:spacing w:line="500" w:lineRule="exact"/>
              <w:ind w:firstLine="420" w:firstLineChars="200"/>
              <w:jc w:val="left"/>
              <w:textAlignment w:val="auto"/>
              <w:rPr>
                <w:rFonts w:hint="eastAsia" w:ascii="Times New Roman" w:hAnsi="Times New Roman" w:eastAsia="宋体" w:cs="Times New Roman"/>
                <w:color w:val="auto"/>
                <w:lang w:val="en-US" w:eastAsia="zh-CN"/>
              </w:rPr>
            </w:pPr>
            <w:r>
              <w:rPr>
                <w:rFonts w:hint="eastAsia"/>
                <w:bCs/>
                <w:color w:val="auto"/>
                <w:szCs w:val="21"/>
                <w:highlight w:val="none"/>
                <w:lang w:val="en-US" w:eastAsia="zh-CN"/>
              </w:rPr>
              <w:t>燃烧废气：项目燃烧废气采用</w:t>
            </w:r>
            <w:r>
              <w:rPr>
                <w:rFonts w:hint="eastAsia" w:ascii="Times New Roman" w:hAnsi="Times New Roman" w:eastAsia="宋体" w:cs="Times New Roman"/>
                <w:bCs/>
                <w:color w:val="auto"/>
                <w:szCs w:val="21"/>
                <w:highlight w:val="none"/>
                <w:lang w:val="en-US" w:eastAsia="zh-CN"/>
              </w:rPr>
              <w:t>低氮燃</w:t>
            </w:r>
            <w:r>
              <w:rPr>
                <w:rFonts w:hint="eastAsia" w:ascii="Times New Roman" w:hAnsi="Times New Roman" w:eastAsia="宋体" w:cs="Times New Roman"/>
                <w:color w:val="auto"/>
                <w:lang w:eastAsia="zh-CN"/>
              </w:rPr>
              <w:t>烧</w:t>
            </w:r>
            <w:r>
              <w:rPr>
                <w:rFonts w:hint="eastAsia" w:ascii="Times New Roman" w:hAnsi="Times New Roman" w:eastAsia="宋体" w:cs="Times New Roman"/>
                <w:color w:val="auto"/>
                <w:lang w:val="en-US" w:eastAsia="zh-CN"/>
              </w:rPr>
              <w:t>处理，属于</w:t>
            </w:r>
            <w:r>
              <w:rPr>
                <w:rFonts w:hint="eastAsia" w:ascii="Times New Roman" w:hAnsi="Times New Roman" w:eastAsia="宋体" w:cs="Times New Roman"/>
                <w:color w:val="auto"/>
                <w:lang w:eastAsia="zh-CN"/>
              </w:rPr>
              <w:t>《排污许可证申请与核发技术规范 工业炉窑》（HJ1121-2020）加热</w:t>
            </w:r>
            <w:r>
              <w:rPr>
                <w:rFonts w:hint="eastAsia" w:ascii="Times New Roman" w:hAnsi="Times New Roman" w:eastAsia="宋体" w:cs="Times New Roman"/>
                <w:color w:val="auto"/>
                <w:lang w:val="en-US" w:eastAsia="zh-CN"/>
              </w:rPr>
              <w:t>工艺采用的可行技术中“</w:t>
            </w:r>
            <w:r>
              <w:rPr>
                <w:rFonts w:hint="eastAsia" w:ascii="Times New Roman" w:hAnsi="Times New Roman" w:eastAsia="宋体" w:cs="Times New Roman"/>
                <w:color w:val="auto"/>
                <w:lang w:eastAsia="zh-CN"/>
              </w:rPr>
              <w:t>低氮燃烧</w:t>
            </w:r>
            <w:r>
              <w:rPr>
                <w:rFonts w:hint="eastAsia" w:ascii="Times New Roman" w:hAnsi="Times New Roman" w:eastAsia="宋体" w:cs="Times New Roman"/>
                <w:color w:val="auto"/>
                <w:lang w:val="en-US" w:eastAsia="zh-CN"/>
              </w:rPr>
              <w:t>”，属于可行技术。</w:t>
            </w:r>
          </w:p>
          <w:p>
            <w:pPr>
              <w:keepNext w:val="0"/>
              <w:keepLines w:val="0"/>
              <w:pageBreakBefore w:val="0"/>
              <w:widowControl/>
              <w:kinsoku/>
              <w:wordWrap/>
              <w:overflowPunct/>
              <w:topLinePunct w:val="0"/>
              <w:autoSpaceDE/>
              <w:autoSpaceDN/>
              <w:bidi w:val="0"/>
              <w:adjustRightInd/>
              <w:snapToGrid/>
              <w:spacing w:line="500" w:lineRule="exact"/>
              <w:ind w:firstLine="420" w:firstLineChars="200"/>
              <w:jc w:val="left"/>
              <w:textAlignment w:val="auto"/>
              <w:rPr>
                <w:rFonts w:hint="eastAsia" w:ascii="Times New Roman" w:hAnsi="Times New Roman" w:eastAsia="宋体" w:cs="Times New Roman"/>
                <w:color w:val="auto"/>
                <w:lang w:val="en-US" w:eastAsia="zh-CN"/>
              </w:rPr>
            </w:pPr>
            <w:r>
              <w:rPr>
                <w:rFonts w:hint="eastAsia" w:ascii="Times New Roman" w:eastAsia="宋体" w:cs="Times New Roman"/>
                <w:b w:val="0"/>
                <w:bCs/>
                <w:color w:val="auto"/>
                <w:kern w:val="2"/>
                <w:sz w:val="21"/>
                <w:szCs w:val="21"/>
                <w:lang w:eastAsia="zh-CN"/>
              </w:rPr>
              <w:t>下料</w:t>
            </w:r>
            <w:r>
              <w:rPr>
                <w:rFonts w:hint="eastAsia" w:ascii="Times New Roman" w:hAnsi="Times New Roman" w:eastAsia="宋体" w:cs="Times New Roman"/>
                <w:b w:val="0"/>
                <w:bCs w:val="0"/>
                <w:color w:val="auto"/>
                <w:kern w:val="2"/>
                <w:sz w:val="21"/>
                <w:szCs w:val="24"/>
                <w:lang w:val="en-US" w:eastAsia="zh-CN" w:bidi="ar-SA"/>
              </w:rPr>
              <w:t>切割粉尘</w:t>
            </w:r>
            <w:r>
              <w:rPr>
                <w:rFonts w:hint="eastAsia" w:ascii="Times New Roman" w:hAnsi="Times New Roman" w:eastAsia="宋体" w:cs="Times New Roman"/>
                <w:color w:val="auto"/>
                <w:lang w:val="en-US" w:eastAsia="zh-CN"/>
              </w:rPr>
              <w:t>：项目</w:t>
            </w:r>
            <w:r>
              <w:rPr>
                <w:rFonts w:hint="eastAsia" w:ascii="Times New Roman" w:eastAsia="宋体" w:cs="Times New Roman"/>
                <w:b w:val="0"/>
                <w:bCs/>
                <w:color w:val="auto"/>
                <w:kern w:val="2"/>
                <w:sz w:val="21"/>
                <w:szCs w:val="21"/>
                <w:lang w:eastAsia="zh-CN"/>
              </w:rPr>
              <w:t>下料</w:t>
            </w:r>
            <w:r>
              <w:rPr>
                <w:rFonts w:hint="eastAsia" w:ascii="Times New Roman" w:hAnsi="Times New Roman" w:eastAsia="宋体" w:cs="Times New Roman"/>
                <w:b w:val="0"/>
                <w:bCs w:val="0"/>
                <w:color w:val="auto"/>
                <w:kern w:val="2"/>
                <w:sz w:val="21"/>
                <w:szCs w:val="24"/>
                <w:lang w:val="en-US" w:eastAsia="zh-CN" w:bidi="ar-SA"/>
              </w:rPr>
              <w:t>切割粉尘</w:t>
            </w:r>
            <w:r>
              <w:rPr>
                <w:rFonts w:hint="eastAsia" w:ascii="Times New Roman" w:hAnsi="Times New Roman" w:eastAsia="宋体" w:cs="Times New Roman"/>
                <w:color w:val="auto"/>
                <w:lang w:val="en-US" w:eastAsia="zh-CN"/>
              </w:rPr>
              <w:t>采用</w:t>
            </w:r>
            <w:r>
              <w:rPr>
                <w:rFonts w:hint="eastAsia" w:ascii="Times New Roman" w:hAnsi="Times New Roman" w:cs="Times New Roman"/>
                <w:color w:val="auto"/>
                <w:kern w:val="0"/>
                <w:sz w:val="21"/>
                <w:szCs w:val="21"/>
              </w:rPr>
              <w:t>布袋除尘器</w:t>
            </w:r>
            <w:r>
              <w:rPr>
                <w:rFonts w:hint="eastAsia" w:ascii="Times New Roman" w:hAnsi="Times New Roman" w:eastAsia="宋体" w:cs="Times New Roman"/>
                <w:color w:val="auto"/>
                <w:lang w:val="en-US" w:eastAsia="zh-CN"/>
              </w:rPr>
              <w:t>处理，属于</w:t>
            </w:r>
            <w:r>
              <w:rPr>
                <w:rFonts w:ascii="Times New Roman" w:hAnsi="Times New Roman" w:eastAsia="宋体" w:cs="Times New Roman"/>
                <w:color w:val="auto"/>
              </w:rPr>
              <w:t>《</w:t>
            </w:r>
            <w:r>
              <w:rPr>
                <w:rFonts w:hint="eastAsia" w:ascii="Times New Roman" w:hAnsi="Times New Roman" w:eastAsia="宋体" w:cs="Times New Roman"/>
                <w:color w:val="auto"/>
                <w:lang w:eastAsia="zh-CN"/>
              </w:rPr>
              <w:t>排污许可证申请与核发技术规范</w:t>
            </w:r>
            <w:r>
              <w:rPr>
                <w:rFonts w:hint="eastAsia" w:ascii="Times New Roman" w:hAnsi="Times New Roman" w:eastAsia="宋体" w:cs="Times New Roman"/>
                <w:color w:val="auto"/>
                <w:lang w:val="en-US" w:eastAsia="zh-CN"/>
              </w:rPr>
              <w:t xml:space="preserve"> 总则</w:t>
            </w:r>
            <w:r>
              <w:rPr>
                <w:rFonts w:ascii="Times New Roman" w:hAnsi="Times New Roman" w:eastAsia="宋体" w:cs="Times New Roman"/>
                <w:color w:val="auto"/>
              </w:rPr>
              <w:t>》</w:t>
            </w:r>
            <w:r>
              <w:rPr>
                <w:rFonts w:hint="eastAsia" w:ascii="Times New Roman" w:hAnsi="Times New Roman" w:eastAsia="宋体" w:cs="Times New Roman"/>
                <w:color w:val="auto"/>
              </w:rPr>
              <w:t>（HJ</w:t>
            </w:r>
            <w:r>
              <w:rPr>
                <w:rFonts w:hint="eastAsia" w:ascii="Times New Roman" w:hAnsi="Times New Roman" w:eastAsia="宋体" w:cs="Times New Roman"/>
                <w:color w:val="auto"/>
                <w:lang w:val="en-US" w:eastAsia="zh-CN"/>
              </w:rPr>
              <w:t>942</w:t>
            </w:r>
            <w:r>
              <w:rPr>
                <w:rFonts w:hint="eastAsia" w:ascii="Times New Roman" w:hAnsi="Times New Roman" w:eastAsia="宋体" w:cs="Times New Roman"/>
                <w:color w:val="auto"/>
              </w:rPr>
              <w:t>-2017）</w:t>
            </w:r>
            <w:r>
              <w:rPr>
                <w:rFonts w:ascii="Times New Roman" w:hAnsi="Times New Roman" w:eastAsia="宋体" w:cs="Times New Roman"/>
                <w:color w:val="auto"/>
              </w:rPr>
              <w:t>除尘设施</w:t>
            </w:r>
            <w:r>
              <w:rPr>
                <w:rFonts w:hint="eastAsia" w:ascii="Times New Roman" w:hAnsi="Times New Roman" w:eastAsia="宋体" w:cs="Times New Roman"/>
                <w:color w:val="auto"/>
                <w:lang w:val="en-US" w:eastAsia="zh-CN"/>
              </w:rPr>
              <w:t>工艺采用的可行技术中“</w:t>
            </w:r>
            <w:r>
              <w:rPr>
                <w:rFonts w:ascii="Times New Roman" w:hAnsi="Times New Roman" w:eastAsia="宋体" w:cs="Times New Roman"/>
                <w:color w:val="auto"/>
              </w:rPr>
              <w:t>袋式除尘器</w:t>
            </w:r>
            <w:r>
              <w:rPr>
                <w:rFonts w:hint="eastAsia" w:ascii="Times New Roman" w:hAnsi="Times New Roman" w:eastAsia="宋体" w:cs="Times New Roman"/>
                <w:color w:val="auto"/>
                <w:lang w:val="en-US" w:eastAsia="zh-CN"/>
              </w:rPr>
              <w:t>”，属于可行</w:t>
            </w:r>
            <w:r>
              <w:rPr>
                <w:rFonts w:hint="eastAsia"/>
                <w:bCs/>
                <w:color w:val="auto"/>
                <w:szCs w:val="21"/>
                <w:highlight w:val="none"/>
                <w:lang w:val="en-US" w:eastAsia="zh-CN"/>
              </w:rPr>
              <w:t>技术。</w:t>
            </w:r>
          </w:p>
          <w:p>
            <w:pPr>
              <w:keepNext w:val="0"/>
              <w:keepLines w:val="0"/>
              <w:pageBreakBefore w:val="0"/>
              <w:widowControl/>
              <w:kinsoku/>
              <w:wordWrap/>
              <w:overflowPunct/>
              <w:topLinePunct w:val="0"/>
              <w:autoSpaceDE/>
              <w:autoSpaceDN/>
              <w:bidi w:val="0"/>
              <w:adjustRightInd/>
              <w:snapToGrid/>
              <w:spacing w:line="500" w:lineRule="exact"/>
              <w:ind w:firstLine="420" w:firstLineChars="200"/>
              <w:jc w:val="left"/>
              <w:textAlignment w:val="auto"/>
              <w:rPr>
                <w:rFonts w:hint="eastAsia"/>
                <w:bCs/>
                <w:color w:val="auto"/>
                <w:szCs w:val="21"/>
                <w:highlight w:val="none"/>
                <w:lang w:val="en-US" w:eastAsia="zh-CN"/>
              </w:rPr>
            </w:pPr>
            <w:r>
              <w:rPr>
                <w:rFonts w:hint="default" w:ascii="Times New Roman" w:hAnsi="Times New Roman" w:eastAsia="宋体" w:cs="Times New Roman"/>
                <w:b w:val="0"/>
                <w:bCs w:val="0"/>
                <w:color w:val="auto"/>
                <w:kern w:val="2"/>
                <w:sz w:val="21"/>
                <w:szCs w:val="24"/>
                <w:lang w:val="en-US" w:eastAsia="zh-CN" w:bidi="ar-SA"/>
              </w:rPr>
              <w:t>维修</w:t>
            </w:r>
            <w:r>
              <w:rPr>
                <w:rFonts w:hint="eastAsia" w:ascii="Times New Roman" w:hAnsi="Times New Roman" w:eastAsia="宋体" w:cs="Times New Roman"/>
                <w:b w:val="0"/>
                <w:bCs w:val="0"/>
                <w:color w:val="auto"/>
                <w:kern w:val="2"/>
                <w:sz w:val="21"/>
                <w:szCs w:val="24"/>
                <w:lang w:val="en-US" w:eastAsia="zh-CN" w:bidi="ar-SA"/>
              </w:rPr>
              <w:t>切割粉尘</w:t>
            </w:r>
            <w:r>
              <w:rPr>
                <w:rFonts w:hint="eastAsia" w:ascii="Times New Roman" w:hAnsi="Times New Roman" w:eastAsia="宋体" w:cs="Times New Roman"/>
                <w:color w:val="auto"/>
                <w:lang w:val="en-US" w:eastAsia="zh-CN"/>
              </w:rPr>
              <w:t>：项目</w:t>
            </w:r>
            <w:r>
              <w:rPr>
                <w:rFonts w:hint="default" w:ascii="Times New Roman" w:hAnsi="Times New Roman" w:eastAsia="宋体" w:cs="Times New Roman"/>
                <w:b w:val="0"/>
                <w:bCs w:val="0"/>
                <w:color w:val="auto"/>
                <w:kern w:val="2"/>
                <w:sz w:val="21"/>
                <w:szCs w:val="24"/>
                <w:lang w:val="en-US" w:eastAsia="zh-CN" w:bidi="ar-SA"/>
              </w:rPr>
              <w:t>维修</w:t>
            </w:r>
            <w:r>
              <w:rPr>
                <w:rFonts w:hint="eastAsia" w:ascii="Times New Roman" w:hAnsi="Times New Roman" w:eastAsia="宋体" w:cs="Times New Roman"/>
                <w:b w:val="0"/>
                <w:bCs w:val="0"/>
                <w:color w:val="auto"/>
                <w:kern w:val="2"/>
                <w:sz w:val="21"/>
                <w:szCs w:val="24"/>
                <w:lang w:val="en-US" w:eastAsia="zh-CN" w:bidi="ar-SA"/>
              </w:rPr>
              <w:t>切割粉尘</w:t>
            </w:r>
            <w:r>
              <w:rPr>
                <w:rFonts w:hint="eastAsia" w:ascii="Times New Roman" w:hAnsi="Times New Roman" w:eastAsia="宋体" w:cs="Times New Roman"/>
                <w:color w:val="auto"/>
                <w:lang w:val="en-US" w:eastAsia="zh-CN"/>
              </w:rPr>
              <w:t>采用</w:t>
            </w:r>
            <w:r>
              <w:rPr>
                <w:rFonts w:ascii="Times New Roman" w:hAnsi="Times New Roman" w:eastAsia="宋体" w:cs="Times New Roman"/>
                <w:color w:val="auto"/>
              </w:rPr>
              <w:t>移动式除尘器</w:t>
            </w:r>
            <w:r>
              <w:rPr>
                <w:rFonts w:hint="eastAsia" w:ascii="Times New Roman" w:hAnsi="Times New Roman" w:eastAsia="宋体" w:cs="Times New Roman"/>
                <w:color w:val="auto"/>
                <w:lang w:val="en-US" w:eastAsia="zh-CN"/>
              </w:rPr>
              <w:t>处理，属于</w:t>
            </w:r>
            <w:r>
              <w:rPr>
                <w:rFonts w:ascii="Times New Roman" w:hAnsi="Times New Roman" w:eastAsia="宋体" w:cs="Times New Roman"/>
                <w:color w:val="auto"/>
              </w:rPr>
              <w:t>《</w:t>
            </w:r>
            <w:r>
              <w:rPr>
                <w:rFonts w:hint="eastAsia" w:ascii="Times New Roman" w:hAnsi="Times New Roman" w:eastAsia="宋体" w:cs="Times New Roman"/>
                <w:color w:val="auto"/>
                <w:lang w:eastAsia="zh-CN"/>
              </w:rPr>
              <w:t>排污许可证申请与核发技术规范</w:t>
            </w:r>
            <w:r>
              <w:rPr>
                <w:rFonts w:hint="eastAsia" w:ascii="Times New Roman" w:hAnsi="Times New Roman" w:eastAsia="宋体" w:cs="Times New Roman"/>
                <w:color w:val="auto"/>
                <w:lang w:val="en-US" w:eastAsia="zh-CN"/>
              </w:rPr>
              <w:t xml:space="preserve"> 总则</w:t>
            </w:r>
            <w:r>
              <w:rPr>
                <w:rFonts w:ascii="Times New Roman" w:hAnsi="Times New Roman" w:eastAsia="宋体" w:cs="Times New Roman"/>
                <w:color w:val="auto"/>
              </w:rPr>
              <w:t>》</w:t>
            </w:r>
            <w:r>
              <w:rPr>
                <w:rFonts w:hint="eastAsia" w:ascii="Times New Roman" w:hAnsi="Times New Roman" w:eastAsia="宋体" w:cs="Times New Roman"/>
                <w:color w:val="auto"/>
              </w:rPr>
              <w:t>（HJ</w:t>
            </w:r>
            <w:r>
              <w:rPr>
                <w:rFonts w:hint="eastAsia" w:ascii="Times New Roman" w:hAnsi="Times New Roman" w:eastAsia="宋体" w:cs="Times New Roman"/>
                <w:color w:val="auto"/>
                <w:lang w:val="en-US" w:eastAsia="zh-CN"/>
              </w:rPr>
              <w:t>942</w:t>
            </w:r>
            <w:r>
              <w:rPr>
                <w:rFonts w:hint="eastAsia" w:ascii="Times New Roman" w:hAnsi="Times New Roman" w:eastAsia="宋体" w:cs="Times New Roman"/>
                <w:color w:val="auto"/>
              </w:rPr>
              <w:t>-2017）</w:t>
            </w:r>
            <w:r>
              <w:rPr>
                <w:rFonts w:ascii="Times New Roman" w:hAnsi="Times New Roman" w:eastAsia="宋体" w:cs="Times New Roman"/>
                <w:color w:val="auto"/>
              </w:rPr>
              <w:t>除尘设施</w:t>
            </w:r>
            <w:r>
              <w:rPr>
                <w:rFonts w:hint="eastAsia" w:ascii="Times New Roman" w:hAnsi="Times New Roman" w:eastAsia="宋体" w:cs="Times New Roman"/>
                <w:color w:val="auto"/>
                <w:lang w:val="en-US" w:eastAsia="zh-CN"/>
              </w:rPr>
              <w:t>工艺采用的可行技术中“</w:t>
            </w:r>
            <w:r>
              <w:rPr>
                <w:rFonts w:ascii="Times New Roman" w:hAnsi="Times New Roman" w:eastAsia="宋体" w:cs="Times New Roman"/>
                <w:color w:val="auto"/>
              </w:rPr>
              <w:t>袋式除尘器</w:t>
            </w:r>
            <w:r>
              <w:rPr>
                <w:rFonts w:hint="eastAsia" w:ascii="Times New Roman" w:hAnsi="Times New Roman" w:eastAsia="宋体" w:cs="Times New Roman"/>
                <w:color w:val="auto"/>
                <w:lang w:val="en-US" w:eastAsia="zh-CN"/>
              </w:rPr>
              <w:t>”，属于可行</w:t>
            </w:r>
            <w:r>
              <w:rPr>
                <w:rFonts w:hint="eastAsia"/>
                <w:bCs/>
                <w:color w:val="auto"/>
                <w:szCs w:val="21"/>
                <w:highlight w:val="none"/>
                <w:lang w:val="en-US" w:eastAsia="zh-CN"/>
              </w:rPr>
              <w:t>技术。</w:t>
            </w:r>
          </w:p>
          <w:p>
            <w:pPr>
              <w:keepNext w:val="0"/>
              <w:keepLines w:val="0"/>
              <w:pageBreakBefore w:val="0"/>
              <w:widowControl/>
              <w:kinsoku/>
              <w:wordWrap/>
              <w:overflowPunct/>
              <w:topLinePunct w:val="0"/>
              <w:autoSpaceDE/>
              <w:autoSpaceDN/>
              <w:bidi w:val="0"/>
              <w:adjustRightInd/>
              <w:snapToGrid/>
              <w:spacing w:line="500" w:lineRule="exact"/>
              <w:ind w:firstLine="420" w:firstLineChars="200"/>
              <w:jc w:val="left"/>
              <w:textAlignment w:val="auto"/>
              <w:rPr>
                <w:rFonts w:hint="eastAsia"/>
                <w:bCs/>
                <w:color w:val="auto"/>
                <w:szCs w:val="21"/>
                <w:highlight w:val="none"/>
                <w:lang w:val="en-US" w:eastAsia="zh-CN"/>
              </w:rPr>
            </w:pPr>
            <w:r>
              <w:rPr>
                <w:rFonts w:hint="eastAsia"/>
                <w:bCs/>
                <w:color w:val="auto"/>
                <w:szCs w:val="21"/>
                <w:lang w:eastAsia="zh-CN"/>
              </w:rPr>
              <w:t>打磨</w:t>
            </w:r>
            <w:r>
              <w:rPr>
                <w:rFonts w:hint="eastAsia"/>
                <w:bCs/>
                <w:color w:val="auto"/>
                <w:szCs w:val="21"/>
              </w:rPr>
              <w:t>粉尘</w:t>
            </w:r>
            <w:r>
              <w:rPr>
                <w:rFonts w:hint="eastAsia" w:ascii="Times New Roman" w:hAnsi="Times New Roman" w:eastAsia="宋体" w:cs="Times New Roman"/>
                <w:color w:val="auto"/>
                <w:lang w:val="en-US" w:eastAsia="zh-CN"/>
              </w:rPr>
              <w:t>：项目</w:t>
            </w:r>
            <w:r>
              <w:rPr>
                <w:rFonts w:hint="eastAsia"/>
                <w:bCs/>
                <w:color w:val="auto"/>
                <w:szCs w:val="21"/>
                <w:lang w:eastAsia="zh-CN"/>
              </w:rPr>
              <w:t>打磨</w:t>
            </w:r>
            <w:r>
              <w:rPr>
                <w:rFonts w:hint="eastAsia"/>
                <w:bCs/>
                <w:color w:val="auto"/>
                <w:szCs w:val="21"/>
              </w:rPr>
              <w:t>粉尘</w:t>
            </w:r>
            <w:r>
              <w:rPr>
                <w:rFonts w:hint="eastAsia" w:ascii="Times New Roman" w:hAnsi="Times New Roman" w:eastAsia="宋体" w:cs="Times New Roman"/>
                <w:color w:val="auto"/>
                <w:lang w:val="en-US" w:eastAsia="zh-CN"/>
              </w:rPr>
              <w:t>采用</w:t>
            </w:r>
            <w:r>
              <w:rPr>
                <w:rFonts w:ascii="Times New Roman" w:hAnsi="Times New Roman" w:eastAsia="宋体" w:cs="Times New Roman"/>
                <w:color w:val="auto"/>
              </w:rPr>
              <w:t>移动式除尘器</w:t>
            </w:r>
            <w:r>
              <w:rPr>
                <w:rFonts w:hint="eastAsia" w:ascii="Times New Roman" w:hAnsi="Times New Roman" w:eastAsia="宋体" w:cs="Times New Roman"/>
                <w:color w:val="auto"/>
                <w:lang w:val="en-US" w:eastAsia="zh-CN"/>
              </w:rPr>
              <w:t>处理，属于</w:t>
            </w:r>
            <w:r>
              <w:rPr>
                <w:rFonts w:ascii="Times New Roman" w:hAnsi="Times New Roman" w:eastAsia="宋体" w:cs="Times New Roman"/>
                <w:color w:val="auto"/>
              </w:rPr>
              <w:t>《</w:t>
            </w:r>
            <w:r>
              <w:rPr>
                <w:rFonts w:hint="eastAsia" w:ascii="Times New Roman" w:hAnsi="Times New Roman" w:eastAsia="宋体" w:cs="Times New Roman"/>
                <w:color w:val="auto"/>
                <w:lang w:eastAsia="zh-CN"/>
              </w:rPr>
              <w:t>排污许可证申请与核发技术规范</w:t>
            </w:r>
            <w:r>
              <w:rPr>
                <w:rFonts w:hint="eastAsia" w:ascii="Times New Roman" w:hAnsi="Times New Roman" w:eastAsia="宋体" w:cs="Times New Roman"/>
                <w:color w:val="auto"/>
                <w:lang w:val="en-US" w:eastAsia="zh-CN"/>
              </w:rPr>
              <w:t xml:space="preserve"> 总则</w:t>
            </w:r>
            <w:r>
              <w:rPr>
                <w:rFonts w:ascii="Times New Roman" w:hAnsi="Times New Roman" w:eastAsia="宋体" w:cs="Times New Roman"/>
                <w:color w:val="auto"/>
              </w:rPr>
              <w:t>》</w:t>
            </w:r>
            <w:r>
              <w:rPr>
                <w:rFonts w:hint="eastAsia" w:ascii="Times New Roman" w:hAnsi="Times New Roman" w:eastAsia="宋体" w:cs="Times New Roman"/>
                <w:color w:val="auto"/>
              </w:rPr>
              <w:t>（HJ</w:t>
            </w:r>
            <w:r>
              <w:rPr>
                <w:rFonts w:hint="eastAsia" w:ascii="Times New Roman" w:hAnsi="Times New Roman" w:eastAsia="宋体" w:cs="Times New Roman"/>
                <w:color w:val="auto"/>
                <w:lang w:val="en-US" w:eastAsia="zh-CN"/>
              </w:rPr>
              <w:t>942</w:t>
            </w:r>
            <w:r>
              <w:rPr>
                <w:rFonts w:hint="eastAsia" w:ascii="Times New Roman" w:hAnsi="Times New Roman" w:eastAsia="宋体" w:cs="Times New Roman"/>
                <w:color w:val="auto"/>
              </w:rPr>
              <w:t>-2017）</w:t>
            </w:r>
            <w:r>
              <w:rPr>
                <w:rFonts w:ascii="Times New Roman" w:hAnsi="Times New Roman" w:eastAsia="宋体" w:cs="Times New Roman"/>
                <w:color w:val="auto"/>
              </w:rPr>
              <w:t>除尘设施</w:t>
            </w:r>
            <w:r>
              <w:rPr>
                <w:rFonts w:hint="eastAsia" w:ascii="Times New Roman" w:hAnsi="Times New Roman" w:eastAsia="宋体" w:cs="Times New Roman"/>
                <w:color w:val="auto"/>
                <w:lang w:val="en-US" w:eastAsia="zh-CN"/>
              </w:rPr>
              <w:t>工艺采用的可行技术中“</w:t>
            </w:r>
            <w:r>
              <w:rPr>
                <w:rFonts w:ascii="Times New Roman" w:hAnsi="Times New Roman" w:eastAsia="宋体" w:cs="Times New Roman"/>
                <w:color w:val="auto"/>
              </w:rPr>
              <w:t>袋式除尘器</w:t>
            </w:r>
            <w:r>
              <w:rPr>
                <w:rFonts w:hint="eastAsia" w:ascii="Times New Roman" w:hAnsi="Times New Roman" w:eastAsia="宋体" w:cs="Times New Roman"/>
                <w:color w:val="auto"/>
                <w:lang w:val="en-US" w:eastAsia="zh-CN"/>
              </w:rPr>
              <w:t>”，属于可行</w:t>
            </w:r>
            <w:r>
              <w:rPr>
                <w:rFonts w:hint="eastAsia"/>
                <w:bCs/>
                <w:color w:val="auto"/>
                <w:szCs w:val="21"/>
                <w:highlight w:val="none"/>
                <w:lang w:val="en-US" w:eastAsia="zh-CN"/>
              </w:rPr>
              <w:t>技术。</w:t>
            </w:r>
          </w:p>
          <w:p>
            <w:pPr>
              <w:keepNext w:val="0"/>
              <w:keepLines w:val="0"/>
              <w:pageBreakBefore w:val="0"/>
              <w:widowControl/>
              <w:kinsoku/>
              <w:wordWrap/>
              <w:overflowPunct/>
              <w:topLinePunct w:val="0"/>
              <w:autoSpaceDE/>
              <w:autoSpaceDN/>
              <w:bidi w:val="0"/>
              <w:adjustRightInd/>
              <w:snapToGrid/>
              <w:spacing w:line="500" w:lineRule="exact"/>
              <w:ind w:firstLine="420" w:firstLineChars="200"/>
              <w:jc w:val="left"/>
              <w:textAlignment w:val="auto"/>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本项目处理工艺属于</w:t>
            </w:r>
            <w:r>
              <w:rPr>
                <w:rFonts w:hint="eastAsia" w:ascii="Times New Roman" w:hAnsi="Times New Roman" w:eastAsia="宋体" w:cs="Times New Roman"/>
                <w:bCs/>
                <w:color w:val="auto"/>
                <w:szCs w:val="21"/>
                <w:lang w:eastAsia="zh-CN"/>
              </w:rPr>
              <w:t>《排污许可证申请与核发技术规范 工业炉窑》（HJ1121-2020）及《排污单位自行监测技术指南</w:t>
            </w:r>
            <w:r>
              <w:rPr>
                <w:rFonts w:hint="eastAsia" w:ascii="Times New Roman" w:hAnsi="Times New Roman" w:eastAsia="宋体" w:cs="Times New Roman"/>
                <w:bCs/>
                <w:color w:val="auto"/>
                <w:szCs w:val="21"/>
                <w:lang w:val="en-US" w:eastAsia="zh-CN"/>
              </w:rPr>
              <w:t xml:space="preserve"> 总则</w:t>
            </w:r>
            <w:r>
              <w:rPr>
                <w:rFonts w:hint="eastAsia" w:ascii="Times New Roman" w:hAnsi="Times New Roman" w:eastAsia="宋体" w:cs="Times New Roman"/>
                <w:bCs/>
                <w:color w:val="auto"/>
                <w:szCs w:val="21"/>
                <w:lang w:eastAsia="zh-CN"/>
              </w:rPr>
              <w:t>》（HJ819-2017）规定的可行技术要求，且未被列入</w:t>
            </w:r>
            <w:r>
              <w:rPr>
                <w:rFonts w:hint="eastAsia" w:ascii="Times New Roman" w:hAnsi="Times New Roman" w:eastAsia="宋体" w:cs="Times New Roman"/>
                <w:bCs/>
                <w:color w:val="auto"/>
                <w:szCs w:val="21"/>
                <w:lang w:val="en-US" w:eastAsia="zh-CN"/>
              </w:rPr>
              <w:t>《国家污染防治技术指导目录》（202</w:t>
            </w:r>
            <w:r>
              <w:rPr>
                <w:rFonts w:hint="eastAsia" w:cs="Times New Roman"/>
                <w:bCs/>
                <w:color w:val="auto"/>
                <w:szCs w:val="21"/>
                <w:lang w:val="en-US" w:eastAsia="zh-CN"/>
              </w:rPr>
              <w:t>5</w:t>
            </w:r>
            <w:r>
              <w:rPr>
                <w:rFonts w:hint="eastAsia" w:ascii="Times New Roman" w:hAnsi="Times New Roman" w:eastAsia="宋体" w:cs="Times New Roman"/>
                <w:bCs/>
                <w:color w:val="auto"/>
                <w:szCs w:val="21"/>
                <w:lang w:val="en-US" w:eastAsia="zh-CN"/>
              </w:rPr>
              <w:t>年）</w:t>
            </w:r>
            <w:r>
              <w:rPr>
                <w:rFonts w:hint="eastAsia" w:ascii="Times New Roman" w:hAnsi="Times New Roman" w:cs="Times New Roman"/>
                <w:bCs/>
                <w:color w:val="auto"/>
                <w:szCs w:val="21"/>
                <w:highlight w:val="none"/>
                <w:lang w:val="en-US" w:eastAsia="zh-CN"/>
              </w:rPr>
              <w:t>中低效类技术</w:t>
            </w:r>
            <w:r>
              <w:rPr>
                <w:rFonts w:hint="eastAsia" w:ascii="Times New Roman" w:hAnsi="Times New Roman" w:eastAsia="宋体" w:cs="Times New Roman"/>
                <w:bCs/>
                <w:color w:val="auto"/>
                <w:szCs w:val="21"/>
                <w:lang w:val="en-US" w:eastAsia="zh-CN"/>
              </w:rPr>
              <w:t>范畴。</w:t>
            </w:r>
          </w:p>
          <w:p>
            <w:pPr>
              <w:spacing w:line="500" w:lineRule="exact"/>
              <w:ind w:firstLine="422" w:firstLineChars="200"/>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4、废气处理流程</w:t>
            </w:r>
          </w:p>
          <w:p>
            <w:pPr>
              <w:spacing w:line="500" w:lineRule="exact"/>
              <w:ind w:firstLine="422" w:firstLineChars="200"/>
              <w:jc w:val="center"/>
              <w:rPr>
                <w:b/>
                <w:bCs/>
                <w:color w:val="auto"/>
              </w:rPr>
            </w:pPr>
            <w:r>
              <w:rPr>
                <w:rFonts w:hint="eastAsia" w:ascii="Times New Roman" w:hAnsi="Times New Roman" w:eastAsia="宋体" w:cs="Times New Roman"/>
                <w:b/>
                <w:bCs/>
                <w:color w:val="auto"/>
                <w:lang w:val="en-US" w:eastAsia="zh-CN"/>
              </w:rPr>
              <w:pict>
                <v:shape id="_x0000_s2053" o:spid="_x0000_s2053" o:spt="75" type="#_x0000_t75" style="position:absolute;left:0pt;margin-left:5.75pt;margin-top:8.55pt;height:393.5pt;width:407.95pt;mso-wrap-distance-bottom:0pt;mso-wrap-distance-top:0pt;z-index:251662336;mso-width-relative:page;mso-height-relative:page;" o:ole="t" filled="f" o:preferrelative="t" stroked="f" coordsize="21600,21600">
                  <v:path/>
                  <v:fill on="f" focussize="0,0"/>
                  <v:stroke on="f"/>
                  <v:imagedata r:id="rId10" o:title=""/>
                  <o:lock v:ext="edit" aspectratio="f"/>
                  <w10:wrap type="topAndBottom"/>
                </v:shape>
                <o:OLEObject Type="Embed" ProgID="Visio.Drawing.15" ShapeID="_x0000_s2053" DrawAspect="Content" ObjectID="_1468075725" r:id="rId9">
                  <o:LockedField>false</o:LockedField>
                </o:OLEObject>
              </w:pict>
            </w:r>
            <w:r>
              <w:rPr>
                <w:b/>
                <w:bCs/>
                <w:color w:val="auto"/>
                <w:kern w:val="0"/>
                <w:szCs w:val="21"/>
                <w:lang w:bidi="ar"/>
              </w:rPr>
              <w:t>图 4-1 废气流向</w:t>
            </w:r>
            <w:r>
              <w:rPr>
                <w:rFonts w:hint="eastAsia"/>
                <w:b/>
                <w:bCs/>
                <w:color w:val="auto"/>
                <w:kern w:val="0"/>
                <w:szCs w:val="21"/>
                <w:lang w:eastAsia="zh-CN" w:bidi="ar"/>
              </w:rPr>
              <w:t>示意</w:t>
            </w:r>
            <w:r>
              <w:rPr>
                <w:b/>
                <w:bCs/>
                <w:color w:val="auto"/>
                <w:kern w:val="0"/>
                <w:szCs w:val="21"/>
                <w:lang w:bidi="ar"/>
              </w:rPr>
              <w:t>图</w:t>
            </w:r>
          </w:p>
          <w:p>
            <w:pPr>
              <w:adjustRightInd w:val="0"/>
              <w:snapToGrid w:val="0"/>
              <w:spacing w:line="500" w:lineRule="exact"/>
              <w:ind w:firstLine="420" w:firstLineChars="200"/>
              <w:rPr>
                <w:color w:val="auto"/>
              </w:rPr>
            </w:pPr>
            <w:r>
              <w:rPr>
                <w:rFonts w:hint="eastAsia"/>
                <w:color w:val="auto"/>
                <w:kern w:val="0"/>
                <w:szCs w:val="21"/>
              </w:rPr>
              <w:t>（</w:t>
            </w:r>
            <w:r>
              <w:rPr>
                <w:rFonts w:hint="eastAsia"/>
                <w:color w:val="auto"/>
                <w:kern w:val="0"/>
                <w:szCs w:val="21"/>
                <w:lang w:val="en-US" w:eastAsia="zh-CN"/>
              </w:rPr>
              <w:t>4</w:t>
            </w:r>
            <w:r>
              <w:rPr>
                <w:rFonts w:hint="eastAsia"/>
                <w:color w:val="auto"/>
                <w:kern w:val="0"/>
                <w:szCs w:val="21"/>
              </w:rPr>
              <w:t>）废气处理风量</w:t>
            </w:r>
            <w:r>
              <w:rPr>
                <w:rFonts w:hint="default" w:ascii="Times New Roman" w:hAnsi="Times New Roman" w:eastAsia="宋体" w:cs="Times New Roman"/>
                <w:color w:val="auto"/>
                <w:highlight w:val="none"/>
              </w:rPr>
              <w:t>可行性</w:t>
            </w:r>
          </w:p>
          <w:p>
            <w:pPr>
              <w:adjustRightInd w:val="0"/>
              <w:snapToGrid w:val="0"/>
              <w:spacing w:line="480" w:lineRule="exact"/>
              <w:ind w:firstLine="420" w:firstLineChars="20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①全厂天然气燃烧废气由密闭管道收集，参考《环境工程设计手册》（魏先勋主编）密闭罩的设计计算方法，具体如下：</w:t>
            </w:r>
          </w:p>
          <w:p>
            <w:pPr>
              <w:adjustRightInd w:val="0"/>
              <w:snapToGrid w:val="0"/>
              <w:spacing w:line="360" w:lineRule="auto"/>
              <w:ind w:firstLine="420" w:firstLineChars="200"/>
              <w:jc w:val="center"/>
              <w:rPr>
                <w:color w:val="auto"/>
              </w:rPr>
            </w:pPr>
            <w:r>
              <w:rPr>
                <w:color w:val="auto"/>
              </w:rPr>
              <w:t>L=L</w:t>
            </w:r>
            <w:r>
              <w:rPr>
                <w:color w:val="auto"/>
                <w:vertAlign w:val="subscript"/>
              </w:rPr>
              <w:t>1</w:t>
            </w:r>
            <w:r>
              <w:rPr>
                <w:color w:val="auto"/>
              </w:rPr>
              <w:t>+L</w:t>
            </w:r>
            <w:r>
              <w:rPr>
                <w:color w:val="auto"/>
                <w:vertAlign w:val="subscript"/>
              </w:rPr>
              <w:t>2</w:t>
            </w:r>
            <w:r>
              <w:rPr>
                <w:color w:val="auto"/>
              </w:rPr>
              <w:t>=L</w:t>
            </w:r>
            <w:r>
              <w:rPr>
                <w:color w:val="auto"/>
                <w:vertAlign w:val="subscript"/>
              </w:rPr>
              <w:t>1</w:t>
            </w:r>
            <w:r>
              <w:rPr>
                <w:color w:val="auto"/>
              </w:rPr>
              <w:t>+vF</w:t>
            </w:r>
          </w:p>
          <w:p>
            <w:pPr>
              <w:adjustRightInd w:val="0"/>
              <w:snapToGrid w:val="0"/>
              <w:spacing w:line="360" w:lineRule="auto"/>
              <w:ind w:firstLine="420" w:firstLineChars="200"/>
              <w:rPr>
                <w:color w:val="auto"/>
              </w:rPr>
            </w:pPr>
            <w:r>
              <w:rPr>
                <w:rFonts w:hint="eastAsia"/>
                <w:color w:val="auto"/>
              </w:rPr>
              <w:t>式中：L—密闭罩排风</w:t>
            </w:r>
            <w:r>
              <w:rPr>
                <w:color w:val="auto"/>
              </w:rPr>
              <w:t>量</w:t>
            </w:r>
            <w:r>
              <w:rPr>
                <w:rFonts w:hint="eastAsia"/>
                <w:color w:val="auto"/>
              </w:rPr>
              <w:t>，m</w:t>
            </w:r>
            <w:r>
              <w:rPr>
                <w:rFonts w:hint="eastAsia"/>
                <w:color w:val="auto"/>
                <w:vertAlign w:val="superscript"/>
              </w:rPr>
              <w:t>3</w:t>
            </w:r>
            <w:r>
              <w:rPr>
                <w:rFonts w:hint="eastAsia"/>
                <w:color w:val="auto"/>
              </w:rPr>
              <w:t>/</w:t>
            </w:r>
            <w:r>
              <w:rPr>
                <w:color w:val="auto"/>
              </w:rPr>
              <w:t>s</w:t>
            </w:r>
            <w:r>
              <w:rPr>
                <w:rFonts w:hint="eastAsia"/>
                <w:color w:val="auto"/>
              </w:rPr>
              <w:t>；</w:t>
            </w:r>
          </w:p>
          <w:p>
            <w:pPr>
              <w:adjustRightInd w:val="0"/>
              <w:snapToGrid w:val="0"/>
              <w:spacing w:line="360" w:lineRule="auto"/>
              <w:ind w:firstLine="1050" w:firstLineChars="500"/>
              <w:rPr>
                <w:rFonts w:hint="eastAsia"/>
                <w:color w:val="auto"/>
              </w:rPr>
            </w:pPr>
            <w:r>
              <w:rPr>
                <w:color w:val="auto"/>
              </w:rPr>
              <w:t>L</w:t>
            </w:r>
            <w:r>
              <w:rPr>
                <w:color w:val="auto"/>
                <w:vertAlign w:val="subscript"/>
              </w:rPr>
              <w:t>1</w:t>
            </w:r>
            <w:r>
              <w:rPr>
                <w:rFonts w:hint="eastAsia"/>
                <w:color w:val="auto"/>
              </w:rPr>
              <w:t>—物料或</w:t>
            </w:r>
            <w:r>
              <w:rPr>
                <w:color w:val="auto"/>
              </w:rPr>
              <w:t>工艺设备带入</w:t>
            </w:r>
            <w:r>
              <w:rPr>
                <w:rFonts w:hint="eastAsia"/>
                <w:color w:val="auto"/>
              </w:rPr>
              <w:t>罩</w:t>
            </w:r>
            <w:r>
              <w:rPr>
                <w:color w:val="auto"/>
              </w:rPr>
              <w:t>内的空气量</w:t>
            </w:r>
            <w:r>
              <w:rPr>
                <w:rFonts w:hint="eastAsia"/>
                <w:color w:val="auto"/>
              </w:rPr>
              <w:t>，m</w:t>
            </w:r>
            <w:r>
              <w:rPr>
                <w:rFonts w:hint="eastAsia"/>
                <w:color w:val="auto"/>
                <w:vertAlign w:val="superscript"/>
              </w:rPr>
              <w:t>3</w:t>
            </w:r>
            <w:r>
              <w:rPr>
                <w:rFonts w:hint="eastAsia"/>
                <w:color w:val="auto"/>
              </w:rPr>
              <w:t>/</w:t>
            </w:r>
            <w:r>
              <w:rPr>
                <w:color w:val="auto"/>
              </w:rPr>
              <w:t>s</w:t>
            </w:r>
            <w:r>
              <w:rPr>
                <w:rFonts w:hint="eastAsia"/>
                <w:color w:val="auto"/>
              </w:rPr>
              <w:t>；本项目</w:t>
            </w:r>
            <w:r>
              <w:rPr>
                <w:rFonts w:hint="eastAsia"/>
                <w:color w:val="auto"/>
                <w:lang w:val="en-US" w:eastAsia="zh-CN"/>
              </w:rPr>
              <w:t>加热</w:t>
            </w:r>
            <w:r>
              <w:rPr>
                <w:rFonts w:hint="eastAsia"/>
                <w:color w:val="auto"/>
                <w:szCs w:val="21"/>
              </w:rPr>
              <w:t>炉</w:t>
            </w:r>
            <w:r>
              <w:rPr>
                <w:color w:val="auto"/>
              </w:rPr>
              <w:t>为</w:t>
            </w:r>
            <w:r>
              <w:rPr>
                <w:rFonts w:hint="eastAsia"/>
                <w:color w:val="auto"/>
              </w:rPr>
              <w:t>整体</w:t>
            </w:r>
            <w:r>
              <w:rPr>
                <w:color w:val="auto"/>
              </w:rPr>
              <w:t>密闭罩</w:t>
            </w:r>
            <w:r>
              <w:rPr>
                <w:rFonts w:hint="eastAsia"/>
                <w:color w:val="auto"/>
              </w:rPr>
              <w:t>，</w:t>
            </w:r>
            <w:r>
              <w:rPr>
                <w:color w:val="auto"/>
              </w:rPr>
              <w:t>L</w:t>
            </w:r>
            <w:r>
              <w:rPr>
                <w:color w:val="auto"/>
                <w:vertAlign w:val="subscript"/>
              </w:rPr>
              <w:t>1</w:t>
            </w:r>
            <w:r>
              <w:rPr>
                <w:rFonts w:hint="eastAsia"/>
                <w:color w:val="auto"/>
              </w:rPr>
              <w:t>为0；</w:t>
            </w:r>
          </w:p>
          <w:p>
            <w:pPr>
              <w:adjustRightInd w:val="0"/>
              <w:snapToGrid w:val="0"/>
              <w:spacing w:line="360" w:lineRule="auto"/>
              <w:ind w:firstLine="1050" w:firstLineChars="500"/>
              <w:rPr>
                <w:rFonts w:hint="eastAsia"/>
                <w:color w:val="auto"/>
              </w:rPr>
            </w:pPr>
            <w:r>
              <w:rPr>
                <w:color w:val="auto"/>
              </w:rPr>
              <w:t>L</w:t>
            </w:r>
            <w:r>
              <w:rPr>
                <w:color w:val="auto"/>
                <w:vertAlign w:val="subscript"/>
              </w:rPr>
              <w:t>2</w:t>
            </w:r>
            <w:r>
              <w:rPr>
                <w:rFonts w:hint="eastAsia"/>
                <w:color w:val="auto"/>
              </w:rPr>
              <w:t>—由工作</w:t>
            </w:r>
            <w:r>
              <w:rPr>
                <w:color w:val="auto"/>
              </w:rPr>
              <w:t>孔口和</w:t>
            </w:r>
            <w:r>
              <w:rPr>
                <w:rFonts w:hint="eastAsia"/>
                <w:color w:val="auto"/>
              </w:rPr>
              <w:t>不严密</w:t>
            </w:r>
            <w:r>
              <w:rPr>
                <w:color w:val="auto"/>
              </w:rPr>
              <w:t>缝隙吸入的空气量</w:t>
            </w:r>
            <w:r>
              <w:rPr>
                <w:rFonts w:hint="eastAsia"/>
                <w:color w:val="auto"/>
              </w:rPr>
              <w:t>，m</w:t>
            </w:r>
            <w:r>
              <w:rPr>
                <w:rFonts w:hint="eastAsia"/>
                <w:color w:val="auto"/>
                <w:vertAlign w:val="superscript"/>
              </w:rPr>
              <w:t>3</w:t>
            </w:r>
            <w:r>
              <w:rPr>
                <w:rFonts w:hint="eastAsia"/>
                <w:color w:val="auto"/>
              </w:rPr>
              <w:t>/</w:t>
            </w:r>
            <w:r>
              <w:rPr>
                <w:color w:val="auto"/>
              </w:rPr>
              <w:t>s</w:t>
            </w:r>
            <w:r>
              <w:rPr>
                <w:rFonts w:hint="eastAsia"/>
                <w:color w:val="auto"/>
              </w:rPr>
              <w:t>；</w:t>
            </w:r>
          </w:p>
          <w:p>
            <w:pPr>
              <w:adjustRightInd w:val="0"/>
              <w:snapToGrid w:val="0"/>
              <w:spacing w:line="360" w:lineRule="auto"/>
              <w:ind w:firstLine="1050" w:firstLineChars="500"/>
              <w:rPr>
                <w:rFonts w:hint="eastAsia"/>
                <w:color w:val="auto"/>
              </w:rPr>
            </w:pPr>
            <w:r>
              <w:rPr>
                <w:color w:val="auto"/>
              </w:rPr>
              <w:t>F</w:t>
            </w:r>
            <w:r>
              <w:rPr>
                <w:rFonts w:hint="eastAsia"/>
                <w:color w:val="auto"/>
              </w:rPr>
              <w:t>—工作孔口和</w:t>
            </w:r>
            <w:r>
              <w:rPr>
                <w:color w:val="auto"/>
              </w:rPr>
              <w:t>缝隙总面积</w:t>
            </w:r>
            <w:r>
              <w:rPr>
                <w:rFonts w:hint="eastAsia"/>
                <w:color w:val="auto"/>
              </w:rPr>
              <w:t>，</w:t>
            </w:r>
            <w:r>
              <w:rPr>
                <w:rFonts w:hint="eastAsia"/>
                <w:color w:val="auto"/>
                <w:szCs w:val="21"/>
              </w:rPr>
              <w:t>炉门及</w:t>
            </w:r>
            <w:r>
              <w:rPr>
                <w:color w:val="auto"/>
                <w:szCs w:val="21"/>
              </w:rPr>
              <w:t>缝隙总面积</w:t>
            </w:r>
            <w:r>
              <w:rPr>
                <w:rFonts w:hint="eastAsia"/>
                <w:color w:val="auto"/>
              </w:rPr>
              <w:t>m</w:t>
            </w:r>
            <w:r>
              <w:rPr>
                <w:color w:val="auto"/>
                <w:vertAlign w:val="superscript"/>
              </w:rPr>
              <w:t>2</w:t>
            </w:r>
            <w:r>
              <w:rPr>
                <w:rFonts w:hint="eastAsia"/>
                <w:color w:val="auto"/>
              </w:rPr>
              <w:t>；</w:t>
            </w:r>
          </w:p>
          <w:p>
            <w:pPr>
              <w:adjustRightInd w:val="0"/>
              <w:snapToGrid w:val="0"/>
              <w:spacing w:line="360" w:lineRule="auto"/>
              <w:ind w:firstLine="1050" w:firstLineChars="500"/>
              <w:rPr>
                <w:rFonts w:hint="eastAsia"/>
                <w:color w:val="auto"/>
              </w:rPr>
            </w:pPr>
            <w:r>
              <w:rPr>
                <w:rFonts w:hint="eastAsia"/>
                <w:color w:val="auto"/>
              </w:rPr>
              <w:t>v—工作孔口和</w:t>
            </w:r>
            <w:r>
              <w:rPr>
                <w:color w:val="auto"/>
              </w:rPr>
              <w:t>缝隙</w:t>
            </w:r>
            <w:r>
              <w:rPr>
                <w:rFonts w:hint="eastAsia"/>
                <w:color w:val="auto"/>
              </w:rPr>
              <w:t>上</w:t>
            </w:r>
            <w:r>
              <w:rPr>
                <w:color w:val="auto"/>
              </w:rPr>
              <w:t>吸入</w:t>
            </w:r>
            <w:r>
              <w:rPr>
                <w:rFonts w:hint="eastAsia"/>
                <w:color w:val="auto"/>
              </w:rPr>
              <w:t>气流</w:t>
            </w:r>
            <w:r>
              <w:rPr>
                <w:color w:val="auto"/>
              </w:rPr>
              <w:t>速度</w:t>
            </w:r>
            <w:r>
              <w:rPr>
                <w:rFonts w:hint="eastAsia"/>
                <w:color w:val="auto"/>
              </w:rPr>
              <w:t>，m/s；本项目物料</w:t>
            </w:r>
            <w:r>
              <w:rPr>
                <w:color w:val="auto"/>
              </w:rPr>
              <w:t>为块</w:t>
            </w:r>
            <w:r>
              <w:rPr>
                <w:rFonts w:hint="eastAsia" w:ascii="Times New Roman" w:hAnsi="Times New Roman" w:eastAsia="宋体" w:cs="Times New Roman"/>
                <w:color w:val="auto"/>
              </w:rPr>
              <w:t>状</w:t>
            </w:r>
            <w:r>
              <w:rPr>
                <w:rFonts w:hint="default" w:ascii="Times New Roman" w:hAnsi="Times New Roman" w:eastAsia="宋体" w:cs="Times New Roman"/>
                <w:color w:val="auto"/>
                <w:lang w:eastAsia="zh-CN"/>
              </w:rPr>
              <w:t>钢锭</w:t>
            </w:r>
            <w:r>
              <w:rPr>
                <w:rFonts w:hint="eastAsia" w:ascii="Times New Roman" w:hAnsi="Times New Roman" w:eastAsia="宋体" w:cs="Times New Roman"/>
                <w:color w:val="auto"/>
              </w:rPr>
              <w:t>，</w:t>
            </w:r>
            <w:r>
              <w:rPr>
                <w:rFonts w:hint="eastAsia"/>
                <w:color w:val="auto"/>
              </w:rPr>
              <w:t>取</w:t>
            </w:r>
            <w:r>
              <w:rPr>
                <w:color w:val="auto"/>
              </w:rPr>
              <w:t>2</w:t>
            </w:r>
            <w:r>
              <w:rPr>
                <w:rFonts w:hint="eastAsia"/>
                <w:color w:val="auto"/>
              </w:rPr>
              <w:t>m/s。</w:t>
            </w:r>
          </w:p>
          <w:p>
            <w:pPr>
              <w:pStyle w:val="9"/>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eastAsia" w:ascii="Times New Roman" w:hAnsi="Times New Roman" w:eastAsia="宋体" w:cs="Times New Roman"/>
                <w:b/>
                <w:color w:val="auto"/>
                <w:kern w:val="2"/>
                <w:sz w:val="21"/>
                <w:szCs w:val="21"/>
                <w:lang w:val="en-US" w:eastAsia="zh-CN" w:bidi="ar-SA"/>
              </w:rPr>
            </w:pPr>
          </w:p>
          <w:p>
            <w:pPr>
              <w:pStyle w:val="9"/>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eastAsia" w:ascii="Times New Roman" w:hAnsi="Times New Roman" w:eastAsia="宋体" w:cs="Times New Roman"/>
                <w:b/>
                <w:color w:val="auto"/>
                <w:kern w:val="2"/>
                <w:sz w:val="21"/>
                <w:szCs w:val="21"/>
                <w:lang w:val="en-US" w:eastAsia="zh-CN" w:bidi="ar-SA"/>
              </w:rPr>
            </w:pPr>
          </w:p>
          <w:p>
            <w:pPr>
              <w:pStyle w:val="9"/>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b/>
                <w:color w:val="auto"/>
                <w:kern w:val="2"/>
                <w:sz w:val="21"/>
                <w:szCs w:val="21"/>
                <w:lang w:val="en-US" w:eastAsia="zh-CN" w:bidi="ar-SA"/>
              </w:rPr>
            </w:pPr>
            <w:r>
              <w:rPr>
                <w:rFonts w:hint="eastAsia" w:ascii="Times New Roman" w:hAnsi="Times New Roman" w:eastAsia="宋体" w:cs="Times New Roman"/>
                <w:b/>
                <w:color w:val="auto"/>
                <w:kern w:val="2"/>
                <w:sz w:val="21"/>
                <w:szCs w:val="21"/>
                <w:lang w:val="en-US" w:eastAsia="zh-CN" w:bidi="ar-SA"/>
              </w:rPr>
              <w:t>表4-</w:t>
            </w:r>
            <w:r>
              <w:rPr>
                <w:rFonts w:hint="eastAsia" w:ascii="Times New Roman" w:hAnsi="Times New Roman" w:cs="Times New Roman"/>
                <w:b/>
                <w:color w:val="auto"/>
                <w:kern w:val="2"/>
                <w:sz w:val="21"/>
                <w:szCs w:val="21"/>
                <w:lang w:val="en-US" w:eastAsia="zh-CN" w:bidi="ar-SA"/>
              </w:rPr>
              <w:t>6</w:t>
            </w:r>
            <w:r>
              <w:rPr>
                <w:rFonts w:hint="eastAsia" w:ascii="Times New Roman" w:hAnsi="Times New Roman" w:eastAsia="宋体" w:cs="Times New Roman"/>
                <w:b/>
                <w:color w:val="auto"/>
                <w:kern w:val="2"/>
                <w:sz w:val="21"/>
                <w:szCs w:val="21"/>
                <w:lang w:val="en-US" w:eastAsia="zh-CN" w:bidi="ar-SA"/>
              </w:rPr>
              <w:t xml:space="preserve">  密闭管道</w:t>
            </w:r>
            <w:r>
              <w:rPr>
                <w:rFonts w:hint="default" w:ascii="Times New Roman" w:hAnsi="Times New Roman" w:eastAsia="宋体" w:cs="Times New Roman"/>
                <w:b/>
                <w:color w:val="auto"/>
                <w:kern w:val="2"/>
                <w:sz w:val="21"/>
                <w:szCs w:val="21"/>
                <w:lang w:val="en-US" w:eastAsia="zh-CN" w:bidi="ar-SA"/>
              </w:rPr>
              <w:t>计算情况表</w:t>
            </w:r>
          </w:p>
          <w:tbl>
            <w:tblPr>
              <w:tblStyle w:val="21"/>
              <w:tblW w:w="8044"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562"/>
              <w:gridCol w:w="1287"/>
              <w:gridCol w:w="768"/>
              <w:gridCol w:w="703"/>
              <w:gridCol w:w="1130"/>
              <w:gridCol w:w="912"/>
              <w:gridCol w:w="857"/>
              <w:gridCol w:w="825"/>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115" w:hRule="atLeast"/>
                <w:jc w:val="center"/>
              </w:trPr>
              <w:tc>
                <w:tcPr>
                  <w:tcW w:w="1562" w:type="dxa"/>
                  <w:shd w:val="clear" w:color="auto" w:fill="auto"/>
                  <w:noWrap w:val="0"/>
                  <w:vAlign w:val="center"/>
                </w:tcPr>
                <w:p>
                  <w:pPr>
                    <w:jc w:val="center"/>
                    <w:rPr>
                      <w:rFonts w:ascii="Times New Roman" w:hAnsi="Times New Roman" w:eastAsia="宋体" w:cs="Times New Roman"/>
                      <w:color w:val="auto"/>
                      <w:kern w:val="2"/>
                      <w:sz w:val="18"/>
                      <w:szCs w:val="18"/>
                      <w:lang w:val="en-US" w:eastAsia="zh-CN" w:bidi="ar-SA"/>
                    </w:rPr>
                  </w:pPr>
                  <w:r>
                    <w:rPr>
                      <w:rFonts w:hint="eastAsia"/>
                      <w:color w:val="auto"/>
                      <w:sz w:val="18"/>
                      <w:szCs w:val="18"/>
                    </w:rPr>
                    <w:t>设备</w:t>
                  </w:r>
                  <w:r>
                    <w:rPr>
                      <w:color w:val="auto"/>
                      <w:sz w:val="18"/>
                      <w:szCs w:val="18"/>
                    </w:rPr>
                    <w:t>名称</w:t>
                  </w:r>
                </w:p>
              </w:tc>
              <w:tc>
                <w:tcPr>
                  <w:tcW w:w="1287" w:type="dxa"/>
                  <w:shd w:val="clear" w:color="auto" w:fill="auto"/>
                  <w:noWrap w:val="0"/>
                  <w:vAlign w:val="center"/>
                </w:tcPr>
                <w:p>
                  <w:pPr>
                    <w:jc w:val="center"/>
                    <w:rPr>
                      <w:rFonts w:ascii="Times New Roman" w:hAnsi="Times New Roman" w:eastAsia="宋体" w:cs="Times New Roman"/>
                      <w:color w:val="auto"/>
                      <w:kern w:val="2"/>
                      <w:sz w:val="18"/>
                      <w:szCs w:val="18"/>
                      <w:lang w:val="en-US" w:eastAsia="zh-CN" w:bidi="ar-SA"/>
                    </w:rPr>
                  </w:pPr>
                  <w:r>
                    <w:rPr>
                      <w:color w:val="auto"/>
                      <w:sz w:val="18"/>
                      <w:szCs w:val="18"/>
                    </w:rPr>
                    <w:t>型号</w:t>
                  </w:r>
                </w:p>
              </w:tc>
              <w:tc>
                <w:tcPr>
                  <w:tcW w:w="768" w:type="dxa"/>
                  <w:shd w:val="clear" w:color="auto" w:fill="auto"/>
                  <w:noWrap w:val="0"/>
                  <w:vAlign w:val="center"/>
                </w:tcPr>
                <w:p>
                  <w:pPr>
                    <w:jc w:val="center"/>
                    <w:rPr>
                      <w:rFonts w:ascii="Times New Roman" w:hAnsi="Times New Roman" w:eastAsia="宋体" w:cs="Times New Roman"/>
                      <w:color w:val="auto"/>
                      <w:kern w:val="2"/>
                      <w:sz w:val="18"/>
                      <w:szCs w:val="18"/>
                      <w:lang w:val="en-US" w:eastAsia="zh-CN" w:bidi="ar-SA"/>
                    </w:rPr>
                  </w:pPr>
                  <w:r>
                    <w:rPr>
                      <w:rFonts w:hint="eastAsia"/>
                      <w:color w:val="auto"/>
                      <w:sz w:val="18"/>
                      <w:szCs w:val="18"/>
                      <w:lang w:eastAsia="zh-CN"/>
                    </w:rPr>
                    <w:t>排气筒编号</w:t>
                  </w:r>
                </w:p>
              </w:tc>
              <w:tc>
                <w:tcPr>
                  <w:tcW w:w="703" w:type="dxa"/>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color w:val="auto"/>
                      <w:sz w:val="18"/>
                      <w:szCs w:val="18"/>
                    </w:rPr>
                    <w:t>数量</w:t>
                  </w:r>
                  <w:r>
                    <w:rPr>
                      <w:rFonts w:hint="eastAsia"/>
                      <w:color w:val="auto"/>
                      <w:sz w:val="18"/>
                      <w:szCs w:val="18"/>
                    </w:rPr>
                    <w:t>（台/套）</w:t>
                  </w:r>
                </w:p>
              </w:tc>
              <w:tc>
                <w:tcPr>
                  <w:tcW w:w="1130" w:type="dxa"/>
                  <w:shd w:val="clear" w:color="auto" w:fill="auto"/>
                  <w:noWrap w:val="0"/>
                  <w:vAlign w:val="center"/>
                </w:tcPr>
                <w:p>
                  <w:pPr>
                    <w:jc w:val="center"/>
                    <w:rPr>
                      <w:rFonts w:hint="default" w:eastAsia="宋体"/>
                      <w:color w:val="auto"/>
                      <w:sz w:val="18"/>
                      <w:szCs w:val="18"/>
                      <w:lang w:val="en-US" w:eastAsia="zh-CN"/>
                    </w:rPr>
                  </w:pPr>
                  <w:r>
                    <w:rPr>
                      <w:rFonts w:hint="eastAsia"/>
                      <w:color w:val="auto"/>
                      <w:sz w:val="18"/>
                      <w:szCs w:val="18"/>
                    </w:rPr>
                    <w:t>工作孔口和</w:t>
                  </w:r>
                  <w:r>
                    <w:rPr>
                      <w:color w:val="auto"/>
                      <w:sz w:val="18"/>
                      <w:szCs w:val="18"/>
                    </w:rPr>
                    <w:t>缝隙总面积</w:t>
                  </w:r>
                  <w:r>
                    <w:rPr>
                      <w:rFonts w:hint="eastAsia"/>
                      <w:color w:val="auto"/>
                      <w:sz w:val="18"/>
                      <w:szCs w:val="18"/>
                      <w:lang w:val="en-US" w:eastAsia="zh-CN"/>
                    </w:rPr>
                    <w:t>F（</w:t>
                  </w:r>
                  <w:r>
                    <w:rPr>
                      <w:rFonts w:hint="eastAsia"/>
                      <w:color w:val="auto"/>
                      <w:sz w:val="18"/>
                      <w:szCs w:val="18"/>
                    </w:rPr>
                    <w:t>m</w:t>
                  </w:r>
                  <w:r>
                    <w:rPr>
                      <w:color w:val="auto"/>
                      <w:sz w:val="18"/>
                      <w:szCs w:val="18"/>
                      <w:vertAlign w:val="superscript"/>
                    </w:rPr>
                    <w:t>2</w:t>
                  </w:r>
                  <w:r>
                    <w:rPr>
                      <w:rFonts w:hint="eastAsia"/>
                      <w:color w:val="auto"/>
                      <w:sz w:val="18"/>
                      <w:szCs w:val="18"/>
                      <w:lang w:val="en-US" w:eastAsia="zh-CN"/>
                    </w:rPr>
                    <w:t>）</w:t>
                  </w:r>
                </w:p>
              </w:tc>
              <w:tc>
                <w:tcPr>
                  <w:tcW w:w="912" w:type="dxa"/>
                  <w:shd w:val="clear" w:color="auto" w:fill="auto"/>
                  <w:noWrap w:val="0"/>
                  <w:vAlign w:val="center"/>
                </w:tcPr>
                <w:p>
                  <w:pPr>
                    <w:jc w:val="center"/>
                    <w:rPr>
                      <w:rFonts w:hint="eastAsia" w:eastAsia="宋体"/>
                      <w:color w:val="auto"/>
                      <w:sz w:val="18"/>
                      <w:szCs w:val="18"/>
                      <w:lang w:eastAsia="zh-CN"/>
                    </w:rPr>
                  </w:pPr>
                  <w:r>
                    <w:rPr>
                      <w:rFonts w:hint="eastAsia"/>
                      <w:color w:val="auto"/>
                      <w:sz w:val="18"/>
                      <w:szCs w:val="18"/>
                    </w:rPr>
                    <w:t>密闭罩排风</w:t>
                  </w:r>
                  <w:r>
                    <w:rPr>
                      <w:color w:val="auto"/>
                      <w:sz w:val="18"/>
                      <w:szCs w:val="18"/>
                    </w:rPr>
                    <w:t>量</w:t>
                  </w:r>
                  <w:r>
                    <w:rPr>
                      <w:rFonts w:hint="eastAsia"/>
                      <w:color w:val="auto"/>
                      <w:sz w:val="18"/>
                      <w:szCs w:val="18"/>
                    </w:rPr>
                    <w:t>L</w:t>
                  </w:r>
                  <w:r>
                    <w:rPr>
                      <w:rFonts w:hint="eastAsia"/>
                      <w:color w:val="auto"/>
                      <w:sz w:val="18"/>
                      <w:szCs w:val="18"/>
                      <w:lang w:eastAsia="zh-CN"/>
                    </w:rPr>
                    <w:t>（</w:t>
                  </w:r>
                  <w:r>
                    <w:rPr>
                      <w:rFonts w:hint="eastAsia"/>
                      <w:color w:val="auto"/>
                      <w:sz w:val="18"/>
                      <w:szCs w:val="18"/>
                    </w:rPr>
                    <w:t>m</w:t>
                  </w:r>
                  <w:r>
                    <w:rPr>
                      <w:rFonts w:hint="eastAsia"/>
                      <w:color w:val="auto"/>
                      <w:sz w:val="18"/>
                      <w:szCs w:val="18"/>
                      <w:vertAlign w:val="superscript"/>
                    </w:rPr>
                    <w:t>3</w:t>
                  </w:r>
                  <w:r>
                    <w:rPr>
                      <w:rFonts w:hint="eastAsia"/>
                      <w:color w:val="auto"/>
                      <w:sz w:val="18"/>
                      <w:szCs w:val="18"/>
                    </w:rPr>
                    <w:t>/</w:t>
                  </w:r>
                  <w:r>
                    <w:rPr>
                      <w:color w:val="auto"/>
                      <w:sz w:val="18"/>
                      <w:szCs w:val="18"/>
                    </w:rPr>
                    <w:t>s</w:t>
                  </w:r>
                  <w:r>
                    <w:rPr>
                      <w:rFonts w:hint="eastAsia"/>
                      <w:color w:val="auto"/>
                      <w:sz w:val="18"/>
                      <w:szCs w:val="18"/>
                      <w:lang w:eastAsia="zh-CN"/>
                    </w:rPr>
                    <w:t>）</w:t>
                  </w:r>
                </w:p>
              </w:tc>
              <w:tc>
                <w:tcPr>
                  <w:tcW w:w="857" w:type="dxa"/>
                  <w:noWrap w:val="0"/>
                  <w:vAlign w:val="center"/>
                </w:tcPr>
                <w:p>
                  <w:pPr>
                    <w:adjustRightInd w:val="0"/>
                    <w:snapToGrid w:val="0"/>
                    <w:jc w:val="center"/>
                    <w:rPr>
                      <w:rFonts w:ascii="Times New Roman" w:hAnsi="Times New Roman"/>
                      <w:b/>
                      <w:bCs/>
                      <w:color w:val="auto"/>
                      <w:sz w:val="18"/>
                      <w:szCs w:val="18"/>
                    </w:rPr>
                  </w:pPr>
                  <w:r>
                    <w:rPr>
                      <w:rFonts w:hint="default" w:ascii="Times New Roman" w:hAnsi="Times New Roman" w:cs="Times New Roman"/>
                      <w:color w:val="auto"/>
                      <w:sz w:val="18"/>
                      <w:szCs w:val="18"/>
                    </w:rPr>
                    <w:t>需求风量（m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/h）</w:t>
                  </w:r>
                </w:p>
              </w:tc>
              <w:tc>
                <w:tcPr>
                  <w:tcW w:w="825" w:type="dxa"/>
                  <w:noWrap w:val="0"/>
                  <w:vAlign w:val="center"/>
                </w:tcPr>
                <w:p>
                  <w:pPr>
                    <w:adjustRightInd w:val="0"/>
                    <w:snapToGrid w:val="0"/>
                    <w:jc w:val="center"/>
                    <w:rPr>
                      <w:rFonts w:hint="eastAsia"/>
                      <w:color w:val="auto"/>
                      <w:sz w:val="18"/>
                      <w:szCs w:val="18"/>
                    </w:rPr>
                  </w:pPr>
                  <w:r>
                    <w:rPr>
                      <w:rFonts w:hint="eastAsia" w:ascii="Times New Roman" w:hAnsi="Times New Roman" w:cs="Times New Roman"/>
                      <w:color w:val="auto"/>
                      <w:sz w:val="18"/>
                      <w:szCs w:val="18"/>
                      <w:lang w:val="en-US" w:eastAsia="zh-CN"/>
                    </w:rPr>
                    <w:t>设计</w:t>
                  </w:r>
                  <w:r>
                    <w:rPr>
                      <w:rFonts w:hint="default" w:ascii="Times New Roman" w:hAnsi="Times New Roman" w:cs="Times New Roman"/>
                      <w:color w:val="auto"/>
                      <w:sz w:val="18"/>
                      <w:szCs w:val="18"/>
                    </w:rPr>
                    <w:t>风量（m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/h）</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428" w:hRule="atLeast"/>
                <w:jc w:val="center"/>
              </w:trPr>
              <w:tc>
                <w:tcPr>
                  <w:tcW w:w="1562" w:type="dxa"/>
                  <w:shd w:val="clear" w:color="auto" w:fill="auto"/>
                  <w:noWrap w:val="0"/>
                  <w:vAlign w:val="center"/>
                </w:tcPr>
                <w:p>
                  <w:pPr>
                    <w:adjustRightInd w:val="0"/>
                    <w:snapToGrid w:val="0"/>
                    <w:jc w:val="center"/>
                    <w:rPr>
                      <w:rFonts w:hint="eastAsia" w:ascii="Times New Roman" w:hAnsi="Times New Roman" w:eastAsia="宋体" w:cs="Times New Roman"/>
                      <w:bCs/>
                      <w:color w:val="auto"/>
                      <w:kern w:val="2"/>
                      <w:sz w:val="18"/>
                      <w:szCs w:val="18"/>
                      <w:lang w:val="en-US" w:eastAsia="zh-CN" w:bidi="ar-SA"/>
                    </w:rPr>
                  </w:pPr>
                  <w:r>
                    <w:rPr>
                      <w:rFonts w:hint="eastAsia" w:ascii="Times New Roman" w:hAnsi="Times New Roman" w:cs="Times New Roman"/>
                      <w:color w:val="auto"/>
                      <w:sz w:val="18"/>
                      <w:szCs w:val="18"/>
                      <w:lang w:val="en-US" w:eastAsia="zh-CN"/>
                    </w:rPr>
                    <w:t>台车式加热炉</w:t>
                  </w:r>
                </w:p>
              </w:tc>
              <w:tc>
                <w:tcPr>
                  <w:tcW w:w="1287" w:type="dxa"/>
                  <w:shd w:val="clear" w:color="auto" w:fill="auto"/>
                  <w:noWrap w:val="0"/>
                  <w:vAlign w:val="center"/>
                </w:tcPr>
                <w:p>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10x4x3m</w:t>
                  </w:r>
                </w:p>
              </w:tc>
              <w:tc>
                <w:tcPr>
                  <w:tcW w:w="768" w:type="dxa"/>
                  <w:shd w:val="clear" w:color="auto" w:fill="auto"/>
                  <w:noWrap w:val="0"/>
                  <w:vAlign w:val="center"/>
                </w:tcPr>
                <w:p>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DA001</w:t>
                  </w:r>
                </w:p>
              </w:tc>
              <w:tc>
                <w:tcPr>
                  <w:tcW w:w="703" w:type="dxa"/>
                  <w:shd w:val="clear" w:color="auto" w:fill="auto"/>
                  <w:noWrap w:val="0"/>
                  <w:vAlign w:val="center"/>
                </w:tcPr>
                <w:p>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3</w:t>
                  </w:r>
                </w:p>
              </w:tc>
              <w:tc>
                <w:tcPr>
                  <w:tcW w:w="1130"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0.5</w:t>
                  </w:r>
                </w:p>
              </w:tc>
              <w:tc>
                <w:tcPr>
                  <w:tcW w:w="912"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857" w:type="dxa"/>
                  <w:noWrap w:val="0"/>
                  <w:vAlign w:val="center"/>
                </w:tcPr>
                <w:p>
                  <w:pPr>
                    <w:keepNext w:val="0"/>
                    <w:keepLines w:val="0"/>
                    <w:widowControl/>
                    <w:suppressLineNumbers w:val="0"/>
                    <w:jc w:val="center"/>
                    <w:textAlignment w:val="center"/>
                    <w:rPr>
                      <w:rFonts w:ascii="Times New Roman" w:hAnsi="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10800</w:t>
                  </w:r>
                </w:p>
              </w:tc>
              <w:tc>
                <w:tcPr>
                  <w:tcW w:w="825" w:type="dxa"/>
                  <w:noWrap w:val="0"/>
                  <w:vAlign w:val="center"/>
                </w:tcPr>
                <w:p>
                  <w:pPr>
                    <w:keepNext w:val="0"/>
                    <w:keepLines w:val="0"/>
                    <w:widowControl/>
                    <w:suppressLineNumbers w:val="0"/>
                    <w:jc w:val="center"/>
                    <w:textAlignment w:val="center"/>
                    <w:rPr>
                      <w:rFonts w:ascii="Times New Roman" w:hAnsi="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12000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428" w:hRule="atLeast"/>
                <w:jc w:val="center"/>
              </w:trPr>
              <w:tc>
                <w:tcPr>
                  <w:tcW w:w="1562" w:type="dxa"/>
                  <w:shd w:val="clear" w:color="auto" w:fill="auto"/>
                  <w:noWrap w:val="0"/>
                  <w:vAlign w:val="center"/>
                </w:tcPr>
                <w:p>
                  <w:pPr>
                    <w:adjustRightInd w:val="0"/>
                    <w:snapToGrid w:val="0"/>
                    <w:jc w:val="center"/>
                    <w:rPr>
                      <w:rFonts w:hint="eastAsia" w:ascii="Times New Roman" w:hAnsi="Times New Roman" w:eastAsia="宋体" w:cs="Times New Roman"/>
                      <w:color w:val="auto"/>
                      <w:kern w:val="2"/>
                      <w:sz w:val="18"/>
                      <w:szCs w:val="18"/>
                      <w:shd w:val="clear" w:color="auto" w:fill="auto"/>
                      <w:lang w:val="en-US" w:eastAsia="zh-CN" w:bidi="ar-SA"/>
                    </w:rPr>
                  </w:pPr>
                  <w:r>
                    <w:rPr>
                      <w:rFonts w:hint="eastAsia" w:ascii="Times New Roman" w:hAnsi="Times New Roman" w:cs="Times New Roman"/>
                      <w:color w:val="auto"/>
                      <w:sz w:val="18"/>
                      <w:szCs w:val="18"/>
                      <w:shd w:val="clear" w:color="auto" w:fill="auto"/>
                      <w:lang w:val="en-US" w:eastAsia="zh-CN"/>
                    </w:rPr>
                    <w:t>台车式加热炉</w:t>
                  </w:r>
                </w:p>
              </w:tc>
              <w:tc>
                <w:tcPr>
                  <w:tcW w:w="1287" w:type="dxa"/>
                  <w:shd w:val="clear" w:color="auto" w:fill="auto"/>
                  <w:noWrap w:val="0"/>
                  <w:vAlign w:val="center"/>
                </w:tcPr>
                <w:p>
                  <w:pPr>
                    <w:adjustRightInd w:val="0"/>
                    <w:snapToGrid w:val="0"/>
                    <w:jc w:val="center"/>
                    <w:rPr>
                      <w:rFonts w:hint="eastAsia" w:ascii="Times New Roman" w:hAnsi="Times New Roman" w:eastAsia="宋体" w:cs="Times New Roman"/>
                      <w:color w:val="auto"/>
                      <w:kern w:val="2"/>
                      <w:sz w:val="18"/>
                      <w:szCs w:val="18"/>
                      <w:shd w:val="clear" w:color="auto" w:fill="auto"/>
                      <w:lang w:val="en-US" w:eastAsia="zh-CN" w:bidi="ar-SA"/>
                    </w:rPr>
                  </w:pPr>
                  <w:r>
                    <w:rPr>
                      <w:rFonts w:hint="eastAsia" w:ascii="Times New Roman" w:hAnsi="Times New Roman" w:eastAsia="宋体" w:cs="Times New Roman"/>
                      <w:color w:val="auto"/>
                      <w:sz w:val="18"/>
                      <w:szCs w:val="18"/>
                      <w:shd w:val="clear" w:color="auto" w:fill="auto"/>
                      <w:lang w:val="en-US" w:eastAsia="zh-CN"/>
                    </w:rPr>
                    <w:t>10x4.5x3.5m</w:t>
                  </w:r>
                </w:p>
              </w:tc>
              <w:tc>
                <w:tcPr>
                  <w:tcW w:w="768" w:type="dxa"/>
                  <w:vMerge w:val="restart"/>
                  <w:shd w:val="clear" w:color="auto" w:fill="auto"/>
                  <w:noWrap w:val="0"/>
                  <w:vAlign w:val="center"/>
                </w:tcPr>
                <w:p>
                  <w:pPr>
                    <w:adjustRightInd w:val="0"/>
                    <w:snapToGrid w:val="0"/>
                    <w:jc w:val="center"/>
                    <w:rPr>
                      <w:rFonts w:hint="default" w:ascii="Times New Roman" w:hAnsi="Times New Roman" w:eastAsia="宋体" w:cs="Times New Roman"/>
                      <w:color w:val="auto"/>
                      <w:kern w:val="2"/>
                      <w:sz w:val="18"/>
                      <w:szCs w:val="18"/>
                      <w:shd w:val="clear" w:color="auto" w:fill="auto"/>
                      <w:lang w:val="en-US" w:eastAsia="zh-CN" w:bidi="ar-SA"/>
                    </w:rPr>
                  </w:pPr>
                  <w:r>
                    <w:rPr>
                      <w:rFonts w:hint="eastAsia" w:cs="Times New Roman"/>
                      <w:color w:val="auto"/>
                      <w:sz w:val="18"/>
                      <w:szCs w:val="18"/>
                      <w:lang w:val="en-US" w:eastAsia="zh-CN"/>
                    </w:rPr>
                    <w:t>DA007</w:t>
                  </w:r>
                </w:p>
              </w:tc>
              <w:tc>
                <w:tcPr>
                  <w:tcW w:w="703" w:type="dxa"/>
                  <w:shd w:val="clear" w:color="auto" w:fill="auto"/>
                  <w:noWrap w:val="0"/>
                  <w:vAlign w:val="center"/>
                </w:tcPr>
                <w:p>
                  <w:pPr>
                    <w:adjustRightInd w:val="0"/>
                    <w:snapToGrid w:val="0"/>
                    <w:jc w:val="center"/>
                    <w:rPr>
                      <w:rFonts w:hint="eastAsia" w:ascii="Times New Roman" w:hAnsi="Times New Roman" w:eastAsia="宋体" w:cs="Times New Roman"/>
                      <w:color w:val="auto"/>
                      <w:kern w:val="2"/>
                      <w:sz w:val="18"/>
                      <w:szCs w:val="18"/>
                      <w:shd w:val="clear" w:color="auto" w:fill="auto"/>
                      <w:lang w:val="en-US" w:eastAsia="zh-CN" w:bidi="ar-SA"/>
                    </w:rPr>
                  </w:pPr>
                  <w:r>
                    <w:rPr>
                      <w:rFonts w:hint="eastAsia" w:ascii="Times New Roman" w:hAnsi="Times New Roman" w:eastAsia="宋体" w:cs="Times New Roman"/>
                      <w:color w:val="auto"/>
                      <w:sz w:val="18"/>
                      <w:szCs w:val="18"/>
                      <w:shd w:val="clear" w:color="auto" w:fill="auto"/>
                      <w:lang w:val="en-US" w:eastAsia="zh-CN"/>
                    </w:rPr>
                    <w:t>1</w:t>
                  </w:r>
                </w:p>
              </w:tc>
              <w:tc>
                <w:tcPr>
                  <w:tcW w:w="1130"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0.4</w:t>
                  </w:r>
                </w:p>
              </w:tc>
              <w:tc>
                <w:tcPr>
                  <w:tcW w:w="912"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0.8</w:t>
                  </w:r>
                </w:p>
              </w:tc>
              <w:tc>
                <w:tcPr>
                  <w:tcW w:w="857" w:type="dxa"/>
                  <w:noWrap w:val="0"/>
                  <w:vAlign w:val="center"/>
                </w:tcPr>
                <w:p>
                  <w:pPr>
                    <w:keepNext w:val="0"/>
                    <w:keepLines w:val="0"/>
                    <w:widowControl/>
                    <w:suppressLineNumbers w:val="0"/>
                    <w:jc w:val="center"/>
                    <w:textAlignment w:val="center"/>
                    <w:rPr>
                      <w:rFonts w:hint="default" w:ascii="Times New Roman" w:hAnsi="Times New Roman"/>
                      <w:color w:val="auto"/>
                      <w:sz w:val="18"/>
                      <w:szCs w:val="18"/>
                      <w:lang w:val="en-US"/>
                    </w:rPr>
                  </w:pPr>
                  <w:r>
                    <w:rPr>
                      <w:rFonts w:hint="eastAsia" w:ascii="Times New Roman" w:hAnsi="Times New Roman" w:eastAsia="宋体" w:cs="Times New Roman"/>
                      <w:i w:val="0"/>
                      <w:iCs w:val="0"/>
                      <w:color w:val="auto"/>
                      <w:kern w:val="0"/>
                      <w:sz w:val="18"/>
                      <w:szCs w:val="18"/>
                      <w:u w:val="none"/>
                      <w:lang w:val="en-US" w:eastAsia="zh-CN" w:bidi="ar"/>
                    </w:rPr>
                    <w:t>2880</w:t>
                  </w:r>
                </w:p>
              </w:tc>
              <w:tc>
                <w:tcPr>
                  <w:tcW w:w="825" w:type="dxa"/>
                  <w:vMerge w:val="restart"/>
                  <w:noWrap w:val="0"/>
                  <w:vAlign w:val="center"/>
                </w:tcPr>
                <w:p>
                  <w:pPr>
                    <w:keepNext w:val="0"/>
                    <w:keepLines w:val="0"/>
                    <w:widowControl/>
                    <w:suppressLineNumbers w:val="0"/>
                    <w:jc w:val="center"/>
                    <w:textAlignment w:val="center"/>
                    <w:rPr>
                      <w:rFonts w:ascii="Times New Roman" w:hAnsi="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15000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482" w:hRule="atLeast"/>
                <w:jc w:val="center"/>
              </w:trPr>
              <w:tc>
                <w:tcPr>
                  <w:tcW w:w="1562" w:type="dxa"/>
                  <w:shd w:val="clear" w:color="auto" w:fill="auto"/>
                  <w:noWrap w:val="0"/>
                  <w:vAlign w:val="center"/>
                </w:tcPr>
                <w:p>
                  <w:pPr>
                    <w:adjustRightInd w:val="0"/>
                    <w:snapToGrid w:val="0"/>
                    <w:jc w:val="center"/>
                    <w:rPr>
                      <w:rFonts w:hint="eastAsia" w:ascii="Times New Roman" w:hAnsi="Times New Roman" w:eastAsia="宋体" w:cs="Times New Roman"/>
                      <w:color w:val="auto"/>
                      <w:kern w:val="2"/>
                      <w:sz w:val="18"/>
                      <w:szCs w:val="18"/>
                      <w:shd w:val="clear" w:color="auto" w:fill="auto"/>
                      <w:lang w:val="en-US" w:eastAsia="zh-CN" w:bidi="ar-SA"/>
                    </w:rPr>
                  </w:pPr>
                  <w:r>
                    <w:rPr>
                      <w:rFonts w:hint="eastAsia" w:ascii="Times New Roman" w:hAnsi="Times New Roman" w:eastAsia="宋体" w:cs="Times New Roman"/>
                      <w:color w:val="auto"/>
                      <w:sz w:val="18"/>
                      <w:szCs w:val="18"/>
                      <w:shd w:val="clear" w:color="auto" w:fill="auto"/>
                      <w:lang w:val="en-US" w:eastAsia="zh-CN"/>
                    </w:rPr>
                    <w:t>室式加热炉</w:t>
                  </w:r>
                </w:p>
              </w:tc>
              <w:tc>
                <w:tcPr>
                  <w:tcW w:w="1287" w:type="dxa"/>
                  <w:shd w:val="clear" w:color="auto" w:fill="auto"/>
                  <w:noWrap w:val="0"/>
                  <w:vAlign w:val="center"/>
                </w:tcPr>
                <w:p>
                  <w:pPr>
                    <w:adjustRightInd w:val="0"/>
                    <w:snapToGrid w:val="0"/>
                    <w:jc w:val="center"/>
                    <w:rPr>
                      <w:rFonts w:hint="eastAsia" w:ascii="Times New Roman" w:hAnsi="Times New Roman" w:eastAsia="宋体" w:cs="Times New Roman"/>
                      <w:color w:val="auto"/>
                      <w:kern w:val="2"/>
                      <w:sz w:val="18"/>
                      <w:szCs w:val="18"/>
                      <w:shd w:val="clear" w:color="auto" w:fill="auto"/>
                      <w:lang w:val="en-US" w:eastAsia="zh-CN" w:bidi="ar-SA"/>
                    </w:rPr>
                  </w:pPr>
                  <w:r>
                    <w:rPr>
                      <w:rFonts w:hint="eastAsia" w:ascii="Times New Roman" w:hAnsi="Times New Roman" w:eastAsia="宋体" w:cs="Times New Roman"/>
                      <w:color w:val="auto"/>
                      <w:sz w:val="18"/>
                      <w:szCs w:val="18"/>
                      <w:shd w:val="clear" w:color="auto" w:fill="auto"/>
                      <w:lang w:val="en-US" w:eastAsia="zh-CN"/>
                    </w:rPr>
                    <w:t>5x5.4x3.6m</w:t>
                  </w:r>
                </w:p>
              </w:tc>
              <w:tc>
                <w:tcPr>
                  <w:tcW w:w="768" w:type="dxa"/>
                  <w:vMerge w:val="continue"/>
                  <w:noWrap w:val="0"/>
                  <w:vAlign w:val="center"/>
                </w:tcPr>
                <w:p>
                  <w:pPr>
                    <w:adjustRightInd w:val="0"/>
                    <w:snapToGrid w:val="0"/>
                    <w:jc w:val="center"/>
                    <w:rPr>
                      <w:rFonts w:hint="default" w:ascii="Times New Roman" w:hAnsi="Times New Roman" w:eastAsia="宋体" w:cs="Times New Roman"/>
                      <w:color w:val="auto"/>
                      <w:sz w:val="18"/>
                      <w:szCs w:val="18"/>
                      <w:lang w:val="en-US" w:eastAsia="zh-CN"/>
                    </w:rPr>
                  </w:pPr>
                </w:p>
              </w:tc>
              <w:tc>
                <w:tcPr>
                  <w:tcW w:w="703"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shd w:val="clear" w:color="auto" w:fill="auto"/>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4</w:t>
                  </w:r>
                </w:p>
              </w:tc>
              <w:tc>
                <w:tcPr>
                  <w:tcW w:w="1130"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0.4</w:t>
                  </w:r>
                </w:p>
              </w:tc>
              <w:tc>
                <w:tcPr>
                  <w:tcW w:w="912"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0.8</w:t>
                  </w:r>
                </w:p>
              </w:tc>
              <w:tc>
                <w:tcPr>
                  <w:tcW w:w="857" w:type="dxa"/>
                  <w:noWrap w:val="0"/>
                  <w:vAlign w:val="center"/>
                </w:tcPr>
                <w:p>
                  <w:pPr>
                    <w:keepNext w:val="0"/>
                    <w:keepLines w:val="0"/>
                    <w:widowControl/>
                    <w:suppressLineNumbers w:val="0"/>
                    <w:jc w:val="center"/>
                    <w:textAlignment w:val="center"/>
                    <w:rPr>
                      <w:rFonts w:ascii="Times New Roman" w:hAnsi="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11520</w:t>
                  </w:r>
                </w:p>
              </w:tc>
              <w:tc>
                <w:tcPr>
                  <w:tcW w:w="825" w:type="dxa"/>
                  <w:vMerge w:val="continue"/>
                  <w:noWrap w:val="0"/>
                  <w:vAlign w:val="center"/>
                </w:tcPr>
                <w:p>
                  <w:pPr>
                    <w:adjustRightInd w:val="0"/>
                    <w:snapToGrid w:val="0"/>
                    <w:jc w:val="center"/>
                    <w:rPr>
                      <w:rFonts w:ascii="Times New Roman" w:hAnsi="Times New Roman"/>
                      <w:color w:val="auto"/>
                      <w:sz w:val="18"/>
                      <w:szCs w:val="18"/>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482" w:hRule="atLeast"/>
                <w:jc w:val="center"/>
              </w:trPr>
              <w:tc>
                <w:tcPr>
                  <w:tcW w:w="1562" w:type="dxa"/>
                  <w:shd w:val="clear" w:color="auto" w:fill="auto"/>
                  <w:vAlign w:val="center"/>
                </w:tcPr>
                <w:p>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室式加热炉</w:t>
                  </w:r>
                </w:p>
              </w:tc>
              <w:tc>
                <w:tcPr>
                  <w:tcW w:w="1287" w:type="dxa"/>
                  <w:shd w:val="clear" w:color="auto" w:fill="auto"/>
                  <w:vAlign w:val="center"/>
                </w:tcPr>
                <w:p>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4x4x1.6m</w:t>
                  </w:r>
                </w:p>
              </w:tc>
              <w:tc>
                <w:tcPr>
                  <w:tcW w:w="768" w:type="dxa"/>
                  <w:vMerge w:val="restart"/>
                  <w:shd w:val="clear" w:color="auto" w:fill="auto"/>
                  <w:vAlign w:val="center"/>
                </w:tcPr>
                <w:p>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DA003</w:t>
                  </w:r>
                </w:p>
              </w:tc>
              <w:tc>
                <w:tcPr>
                  <w:tcW w:w="703" w:type="dxa"/>
                  <w:shd w:val="clear" w:color="auto" w:fill="auto"/>
                  <w:vAlign w:val="center"/>
                </w:tcPr>
                <w:p>
                  <w:pPr>
                    <w:adjustRightInd w:val="0"/>
                    <w:snapToGrid w:val="0"/>
                    <w:jc w:val="center"/>
                    <w:rPr>
                      <w:rFonts w:hint="eastAsia" w:ascii="Times New Roman" w:hAnsi="Times New Roman" w:eastAsia="宋体" w:cs="Times New Roman"/>
                      <w:color w:val="auto"/>
                      <w:kern w:val="2"/>
                      <w:sz w:val="18"/>
                      <w:szCs w:val="18"/>
                      <w:shd w:val="clear" w:color="auto" w:fill="auto"/>
                      <w:lang w:val="en-US" w:eastAsia="zh-CN" w:bidi="ar-SA"/>
                    </w:rPr>
                  </w:pPr>
                  <w:r>
                    <w:rPr>
                      <w:rFonts w:hint="eastAsia" w:ascii="Times New Roman" w:hAnsi="Times New Roman" w:eastAsia="宋体" w:cs="Times New Roman"/>
                      <w:color w:val="auto"/>
                      <w:sz w:val="18"/>
                      <w:szCs w:val="18"/>
                      <w:shd w:val="clear" w:color="auto" w:fill="auto"/>
                      <w:lang w:val="en-US" w:eastAsia="zh-CN"/>
                    </w:rPr>
                    <w:t>1</w:t>
                  </w:r>
                </w:p>
              </w:tc>
              <w:tc>
                <w:tcPr>
                  <w:tcW w:w="1130" w:type="dxa"/>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0.5</w:t>
                  </w:r>
                </w:p>
              </w:tc>
              <w:tc>
                <w:tcPr>
                  <w:tcW w:w="912" w:type="dxa"/>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857" w:type="dxa"/>
                  <w:vAlign w:val="center"/>
                </w:tcPr>
                <w:p>
                  <w:pPr>
                    <w:keepNext w:val="0"/>
                    <w:keepLines w:val="0"/>
                    <w:widowControl/>
                    <w:suppressLineNumbers w:val="0"/>
                    <w:jc w:val="center"/>
                    <w:textAlignment w:val="center"/>
                    <w:rPr>
                      <w:rFonts w:ascii="Times New Roman" w:hAnsi="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3600</w:t>
                  </w:r>
                </w:p>
              </w:tc>
              <w:tc>
                <w:tcPr>
                  <w:tcW w:w="825" w:type="dxa"/>
                  <w:vMerge w:val="restart"/>
                  <w:vAlign w:val="center"/>
                </w:tcPr>
                <w:p>
                  <w:pPr>
                    <w:jc w:val="center"/>
                    <w:rPr>
                      <w:rFonts w:ascii="Times New Roman" w:hAnsi="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28000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482" w:hRule="atLeast"/>
                <w:jc w:val="center"/>
              </w:trPr>
              <w:tc>
                <w:tcPr>
                  <w:tcW w:w="1562" w:type="dxa"/>
                  <w:shd w:val="clear" w:color="auto" w:fill="auto"/>
                  <w:vAlign w:val="center"/>
                </w:tcPr>
                <w:p>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蓄热室式加热炉</w:t>
                  </w:r>
                </w:p>
              </w:tc>
              <w:tc>
                <w:tcPr>
                  <w:tcW w:w="1287" w:type="dxa"/>
                  <w:shd w:val="clear" w:color="auto" w:fill="auto"/>
                  <w:vAlign w:val="center"/>
                </w:tcPr>
                <w:p>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5.2x3.6x3m</w:t>
                  </w:r>
                </w:p>
              </w:tc>
              <w:tc>
                <w:tcPr>
                  <w:tcW w:w="768" w:type="dxa"/>
                  <w:vMerge w:val="continue"/>
                </w:tcPr>
                <w:p>
                  <w:pPr>
                    <w:adjustRightInd w:val="0"/>
                    <w:snapToGrid w:val="0"/>
                    <w:jc w:val="center"/>
                    <w:rPr>
                      <w:rFonts w:hint="default" w:ascii="Times New Roman" w:hAnsi="Times New Roman" w:eastAsia="宋体" w:cs="Times New Roman"/>
                      <w:color w:val="auto"/>
                      <w:sz w:val="18"/>
                      <w:szCs w:val="18"/>
                      <w:lang w:val="en-US" w:eastAsia="zh-CN"/>
                    </w:rPr>
                  </w:pPr>
                </w:p>
              </w:tc>
              <w:tc>
                <w:tcPr>
                  <w:tcW w:w="703" w:type="dxa"/>
                  <w:shd w:val="clear" w:color="auto" w:fill="auto"/>
                  <w:vAlign w:val="center"/>
                </w:tcPr>
                <w:p>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1</w:t>
                  </w:r>
                </w:p>
              </w:tc>
              <w:tc>
                <w:tcPr>
                  <w:tcW w:w="1130" w:type="dxa"/>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0.6</w:t>
                  </w:r>
                </w:p>
              </w:tc>
              <w:tc>
                <w:tcPr>
                  <w:tcW w:w="912" w:type="dxa"/>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1.2</w:t>
                  </w:r>
                </w:p>
              </w:tc>
              <w:tc>
                <w:tcPr>
                  <w:tcW w:w="857" w:type="dxa"/>
                  <w:vAlign w:val="center"/>
                </w:tcPr>
                <w:p>
                  <w:pPr>
                    <w:keepNext w:val="0"/>
                    <w:keepLines w:val="0"/>
                    <w:widowControl/>
                    <w:suppressLineNumbers w:val="0"/>
                    <w:jc w:val="center"/>
                    <w:textAlignment w:val="center"/>
                    <w:rPr>
                      <w:rFonts w:ascii="Times New Roman" w:hAnsi="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4320</w:t>
                  </w:r>
                </w:p>
              </w:tc>
              <w:tc>
                <w:tcPr>
                  <w:tcW w:w="825" w:type="dxa"/>
                  <w:vMerge w:val="continue"/>
                </w:tcPr>
                <w:p>
                  <w:pPr>
                    <w:adjustRightInd w:val="0"/>
                    <w:snapToGrid w:val="0"/>
                    <w:jc w:val="center"/>
                    <w:rPr>
                      <w:rFonts w:ascii="Times New Roman" w:hAnsi="Times New Roman"/>
                      <w:color w:val="auto"/>
                      <w:sz w:val="18"/>
                      <w:szCs w:val="18"/>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482" w:hRule="atLeast"/>
                <w:jc w:val="center"/>
              </w:trPr>
              <w:tc>
                <w:tcPr>
                  <w:tcW w:w="1562" w:type="dxa"/>
                  <w:shd w:val="clear" w:color="auto" w:fill="auto"/>
                  <w:vAlign w:val="center"/>
                </w:tcPr>
                <w:p>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蓄热室式加热炉</w:t>
                  </w:r>
                </w:p>
              </w:tc>
              <w:tc>
                <w:tcPr>
                  <w:tcW w:w="1287" w:type="dxa"/>
                  <w:shd w:val="clear" w:color="auto" w:fill="auto"/>
                  <w:vAlign w:val="center"/>
                </w:tcPr>
                <w:p>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5.3x5x3.5m</w:t>
                  </w:r>
                </w:p>
              </w:tc>
              <w:tc>
                <w:tcPr>
                  <w:tcW w:w="768" w:type="dxa"/>
                  <w:vMerge w:val="continue"/>
                </w:tcPr>
                <w:p>
                  <w:pPr>
                    <w:adjustRightInd w:val="0"/>
                    <w:snapToGrid w:val="0"/>
                    <w:jc w:val="center"/>
                    <w:rPr>
                      <w:rFonts w:hint="default" w:ascii="Times New Roman" w:hAnsi="Times New Roman" w:eastAsia="宋体" w:cs="Times New Roman"/>
                      <w:color w:val="auto"/>
                      <w:sz w:val="18"/>
                      <w:szCs w:val="18"/>
                      <w:lang w:val="en-US" w:eastAsia="zh-CN"/>
                    </w:rPr>
                  </w:pPr>
                </w:p>
              </w:tc>
              <w:tc>
                <w:tcPr>
                  <w:tcW w:w="703" w:type="dxa"/>
                  <w:shd w:val="clear" w:color="auto" w:fill="auto"/>
                  <w:vAlign w:val="center"/>
                </w:tcPr>
                <w:p>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5</w:t>
                  </w:r>
                </w:p>
              </w:tc>
              <w:tc>
                <w:tcPr>
                  <w:tcW w:w="1130" w:type="dxa"/>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0.5</w:t>
                  </w:r>
                </w:p>
              </w:tc>
              <w:tc>
                <w:tcPr>
                  <w:tcW w:w="912" w:type="dxa"/>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857" w:type="dxa"/>
                  <w:vAlign w:val="center"/>
                </w:tcPr>
                <w:p>
                  <w:pPr>
                    <w:keepNext w:val="0"/>
                    <w:keepLines w:val="0"/>
                    <w:widowControl/>
                    <w:suppressLineNumbers w:val="0"/>
                    <w:jc w:val="center"/>
                    <w:textAlignment w:val="center"/>
                    <w:rPr>
                      <w:rFonts w:ascii="Times New Roman" w:hAnsi="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18000</w:t>
                  </w:r>
                </w:p>
              </w:tc>
              <w:tc>
                <w:tcPr>
                  <w:tcW w:w="825" w:type="dxa"/>
                  <w:vMerge w:val="continue"/>
                </w:tcPr>
                <w:p>
                  <w:pPr>
                    <w:adjustRightInd w:val="0"/>
                    <w:snapToGrid w:val="0"/>
                    <w:jc w:val="center"/>
                    <w:rPr>
                      <w:rFonts w:ascii="Times New Roman" w:hAnsi="Times New Roman"/>
                      <w:color w:val="auto"/>
                      <w:sz w:val="18"/>
                      <w:szCs w:val="18"/>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482" w:hRule="atLeast"/>
                <w:jc w:val="center"/>
              </w:trPr>
              <w:tc>
                <w:tcPr>
                  <w:tcW w:w="1562" w:type="dxa"/>
                  <w:shd w:val="clear" w:color="auto" w:fill="auto"/>
                  <w:vAlign w:val="center"/>
                </w:tcPr>
                <w:p>
                  <w:pPr>
                    <w:jc w:val="center"/>
                    <w:rPr>
                      <w:rFonts w:hint="default" w:ascii="Times New Roman" w:hAnsi="Times New Roman" w:eastAsia="宋体" w:cs="Times New Roman"/>
                      <w:color w:val="auto"/>
                      <w:kern w:val="2"/>
                      <w:sz w:val="18"/>
                      <w:szCs w:val="18"/>
                      <w:shd w:val="clear" w:color="auto" w:fill="auto"/>
                      <w:lang w:val="en-US" w:eastAsia="zh-CN" w:bidi="ar-SA"/>
                    </w:rPr>
                  </w:pPr>
                  <w:r>
                    <w:rPr>
                      <w:rFonts w:hint="default" w:ascii="Times New Roman" w:hAnsi="Times New Roman" w:eastAsia="宋体" w:cs="Times New Roman"/>
                      <w:color w:val="auto"/>
                      <w:sz w:val="18"/>
                      <w:szCs w:val="18"/>
                      <w:shd w:val="clear" w:color="auto" w:fill="auto"/>
                      <w:lang w:val="en-US" w:eastAsia="zh-CN"/>
                    </w:rPr>
                    <w:t>天然气室式炉</w:t>
                  </w:r>
                </w:p>
              </w:tc>
              <w:tc>
                <w:tcPr>
                  <w:tcW w:w="1287" w:type="dxa"/>
                  <w:shd w:val="clear" w:color="auto" w:fill="auto"/>
                  <w:vAlign w:val="center"/>
                </w:tcPr>
                <w:p>
                  <w:pPr>
                    <w:jc w:val="center"/>
                    <w:rPr>
                      <w:rFonts w:hint="default" w:ascii="Times New Roman" w:hAnsi="Times New Roman" w:eastAsia="宋体" w:cs="Times New Roman"/>
                      <w:color w:val="auto"/>
                      <w:kern w:val="2"/>
                      <w:sz w:val="18"/>
                      <w:szCs w:val="18"/>
                      <w:shd w:val="clear" w:color="auto" w:fill="auto"/>
                      <w:lang w:val="en-US" w:eastAsia="zh-CN" w:bidi="ar-SA"/>
                    </w:rPr>
                  </w:pPr>
                  <w:r>
                    <w:rPr>
                      <w:rFonts w:hint="default" w:ascii="Times New Roman" w:hAnsi="Times New Roman" w:eastAsia="宋体" w:cs="Times New Roman"/>
                      <w:color w:val="auto"/>
                      <w:sz w:val="18"/>
                      <w:szCs w:val="18"/>
                      <w:shd w:val="clear" w:color="auto" w:fill="auto"/>
                      <w:lang w:val="en-US" w:eastAsia="zh-CN"/>
                    </w:rPr>
                    <w:t>5.3x5.3x3.8m</w:t>
                  </w:r>
                </w:p>
              </w:tc>
              <w:tc>
                <w:tcPr>
                  <w:tcW w:w="768" w:type="dxa"/>
                  <w:shd w:val="clear" w:color="auto" w:fill="auto"/>
                  <w:vAlign w:val="center"/>
                </w:tcPr>
                <w:p>
                  <w:pPr>
                    <w:jc w:val="center"/>
                    <w:rPr>
                      <w:rFonts w:hint="default" w:ascii="Times New Roman" w:hAnsi="Times New Roman" w:eastAsia="宋体" w:cs="Times New Roman"/>
                      <w:color w:val="auto"/>
                      <w:kern w:val="2"/>
                      <w:sz w:val="18"/>
                      <w:szCs w:val="18"/>
                      <w:shd w:val="clear" w:color="auto" w:fill="auto"/>
                      <w:lang w:val="en-US" w:eastAsia="zh-CN" w:bidi="ar-SA"/>
                    </w:rPr>
                  </w:pPr>
                  <w:r>
                    <w:rPr>
                      <w:rFonts w:hint="eastAsia" w:cs="Times New Roman"/>
                      <w:color w:val="auto"/>
                      <w:sz w:val="18"/>
                      <w:szCs w:val="18"/>
                      <w:lang w:val="en-US" w:eastAsia="zh-CN"/>
                    </w:rPr>
                    <w:t>DA008</w:t>
                  </w:r>
                </w:p>
              </w:tc>
              <w:tc>
                <w:tcPr>
                  <w:tcW w:w="703" w:type="dxa"/>
                  <w:shd w:val="clear" w:color="auto" w:fill="auto"/>
                  <w:vAlign w:val="center"/>
                </w:tcPr>
                <w:p>
                  <w:pPr>
                    <w:adjustRightInd w:val="0"/>
                    <w:snapToGrid w:val="0"/>
                    <w:jc w:val="center"/>
                    <w:rPr>
                      <w:rFonts w:hint="default" w:ascii="Times New Roman" w:hAnsi="Times New Roman" w:eastAsia="宋体" w:cs="Times New Roman"/>
                      <w:color w:val="auto"/>
                      <w:kern w:val="2"/>
                      <w:sz w:val="18"/>
                      <w:szCs w:val="18"/>
                      <w:shd w:val="clear" w:color="auto" w:fill="auto"/>
                      <w:lang w:val="en-US" w:eastAsia="zh-CN" w:bidi="ar-SA"/>
                    </w:rPr>
                  </w:pPr>
                  <w:r>
                    <w:rPr>
                      <w:rFonts w:hint="default" w:ascii="Times New Roman" w:hAnsi="Times New Roman" w:eastAsia="宋体" w:cs="Times New Roman"/>
                      <w:color w:val="auto"/>
                      <w:sz w:val="18"/>
                      <w:szCs w:val="18"/>
                      <w:shd w:val="clear" w:color="auto" w:fill="auto"/>
                      <w:lang w:val="en-US" w:eastAsia="zh-CN"/>
                    </w:rPr>
                    <w:t>1</w:t>
                  </w:r>
                </w:p>
              </w:tc>
              <w:tc>
                <w:tcPr>
                  <w:tcW w:w="113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1.4</w:t>
                  </w:r>
                </w:p>
              </w:tc>
              <w:tc>
                <w:tcPr>
                  <w:tcW w:w="912"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2.8</w:t>
                  </w:r>
                </w:p>
              </w:tc>
              <w:tc>
                <w:tcPr>
                  <w:tcW w:w="857" w:type="dxa"/>
                  <w:vAlign w:val="center"/>
                </w:tcPr>
                <w:p>
                  <w:pPr>
                    <w:keepNext w:val="0"/>
                    <w:keepLines w:val="0"/>
                    <w:widowControl/>
                    <w:suppressLineNumbers w:val="0"/>
                    <w:jc w:val="center"/>
                    <w:textAlignment w:val="center"/>
                    <w:rPr>
                      <w:rFonts w:ascii="Times New Roman" w:hAnsi="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10080</w:t>
                  </w:r>
                </w:p>
              </w:tc>
              <w:tc>
                <w:tcPr>
                  <w:tcW w:w="825" w:type="dxa"/>
                  <w:vAlign w:val="center"/>
                </w:tcPr>
                <w:p>
                  <w:pPr>
                    <w:keepNext w:val="0"/>
                    <w:keepLines w:val="0"/>
                    <w:widowControl/>
                    <w:suppressLineNumbers w:val="0"/>
                    <w:jc w:val="center"/>
                    <w:textAlignment w:val="center"/>
                    <w:rPr>
                      <w:rFonts w:hint="default" w:ascii="Times New Roman" w:hAnsi="Times New Roman"/>
                      <w:color w:val="auto"/>
                      <w:sz w:val="18"/>
                      <w:szCs w:val="18"/>
                      <w:lang w:val="en-US"/>
                    </w:rPr>
                  </w:pPr>
                  <w:r>
                    <w:rPr>
                      <w:rFonts w:hint="eastAsia" w:ascii="Times New Roman" w:hAnsi="Times New Roman" w:eastAsia="宋体" w:cs="Times New Roman"/>
                      <w:i w:val="0"/>
                      <w:iCs w:val="0"/>
                      <w:color w:val="auto"/>
                      <w:kern w:val="0"/>
                      <w:sz w:val="18"/>
                      <w:szCs w:val="18"/>
                      <w:u w:val="none"/>
                      <w:lang w:val="en-US" w:eastAsia="zh-CN" w:bidi="ar"/>
                    </w:rPr>
                    <w:t>12000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482" w:hRule="atLeast"/>
                <w:jc w:val="center"/>
              </w:trPr>
              <w:tc>
                <w:tcPr>
                  <w:tcW w:w="1562" w:type="dxa"/>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Cs/>
                      <w:color w:val="auto"/>
                      <w:kern w:val="2"/>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台车式退火炉</w:t>
                  </w:r>
                </w:p>
              </w:tc>
              <w:tc>
                <w:tcPr>
                  <w:tcW w:w="1287" w:type="dxa"/>
                  <w:shd w:val="clear" w:color="auto" w:fill="auto"/>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15x3.2x2.1m</w:t>
                  </w:r>
                </w:p>
              </w:tc>
              <w:tc>
                <w:tcPr>
                  <w:tcW w:w="768" w:type="dxa"/>
                  <w:vMerge w:val="restart"/>
                  <w:shd w:val="clear" w:color="auto" w:fill="auto"/>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DA004</w:t>
                  </w:r>
                </w:p>
              </w:tc>
              <w:tc>
                <w:tcPr>
                  <w:tcW w:w="703" w:type="dxa"/>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w:t>
                  </w:r>
                </w:p>
              </w:tc>
              <w:tc>
                <w:tcPr>
                  <w:tcW w:w="113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0.8</w:t>
                  </w:r>
                </w:p>
              </w:tc>
              <w:tc>
                <w:tcPr>
                  <w:tcW w:w="912"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1.6</w:t>
                  </w:r>
                </w:p>
              </w:tc>
              <w:tc>
                <w:tcPr>
                  <w:tcW w:w="857" w:type="dxa"/>
                  <w:vAlign w:val="center"/>
                </w:tcPr>
                <w:p>
                  <w:pPr>
                    <w:keepNext w:val="0"/>
                    <w:keepLines w:val="0"/>
                    <w:widowControl/>
                    <w:suppressLineNumbers w:val="0"/>
                    <w:jc w:val="center"/>
                    <w:textAlignment w:val="center"/>
                    <w:rPr>
                      <w:rFonts w:ascii="Times New Roman" w:hAnsi="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5760</w:t>
                  </w:r>
                </w:p>
              </w:tc>
              <w:tc>
                <w:tcPr>
                  <w:tcW w:w="825" w:type="dxa"/>
                  <w:vMerge w:val="restart"/>
                  <w:vAlign w:val="center"/>
                </w:tcPr>
                <w:p>
                  <w:pPr>
                    <w:jc w:val="center"/>
                    <w:rPr>
                      <w:rFonts w:hint="default" w:ascii="Times New Roman" w:hAnsi="Times New Roman" w:eastAsia="宋体"/>
                      <w:color w:val="FF0000"/>
                      <w:sz w:val="18"/>
                      <w:szCs w:val="18"/>
                      <w:lang w:val="en-US" w:eastAsia="zh-CN"/>
                    </w:rPr>
                  </w:pPr>
                  <w:r>
                    <w:rPr>
                      <w:rFonts w:hint="eastAsia" w:ascii="Times New Roman" w:hAnsi="Times New Roman"/>
                      <w:color w:val="auto"/>
                      <w:sz w:val="18"/>
                      <w:szCs w:val="18"/>
                      <w:lang w:val="en-US" w:eastAsia="zh-CN"/>
                    </w:rPr>
                    <w:t>1</w:t>
                  </w:r>
                  <w:r>
                    <w:rPr>
                      <w:rFonts w:hint="eastAsia"/>
                      <w:color w:val="auto"/>
                      <w:sz w:val="18"/>
                      <w:szCs w:val="18"/>
                      <w:lang w:val="en-US" w:eastAsia="zh-CN"/>
                    </w:rPr>
                    <w:t>8</w:t>
                  </w:r>
                  <w:r>
                    <w:rPr>
                      <w:rFonts w:hint="eastAsia" w:ascii="Times New Roman" w:hAnsi="Times New Roman"/>
                      <w:color w:val="auto"/>
                      <w:sz w:val="18"/>
                      <w:szCs w:val="18"/>
                      <w:lang w:val="en-US" w:eastAsia="zh-CN"/>
                    </w:rPr>
                    <w:t>000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482" w:hRule="atLeast"/>
                <w:jc w:val="center"/>
              </w:trPr>
              <w:tc>
                <w:tcPr>
                  <w:tcW w:w="1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台车式退火炉</w:t>
                  </w:r>
                </w:p>
              </w:tc>
              <w:tc>
                <w:tcPr>
                  <w:tcW w:w="1287" w:type="dxa"/>
                  <w:shd w:val="clear" w:color="auto" w:fill="auto"/>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12x3.2x2.1m</w:t>
                  </w:r>
                </w:p>
              </w:tc>
              <w:tc>
                <w:tcPr>
                  <w:tcW w:w="768" w:type="dxa"/>
                  <w:vMerge w:val="continue"/>
                </w:tcPr>
                <w:p>
                  <w:pPr>
                    <w:adjustRightInd w:val="0"/>
                    <w:snapToGrid w:val="0"/>
                    <w:jc w:val="center"/>
                    <w:rPr>
                      <w:rFonts w:hint="default" w:ascii="Times New Roman" w:hAnsi="Times New Roman" w:eastAsia="宋体" w:cs="Times New Roman"/>
                      <w:color w:val="auto"/>
                      <w:sz w:val="18"/>
                      <w:szCs w:val="18"/>
                      <w:lang w:val="en-US" w:eastAsia="zh-CN"/>
                    </w:rPr>
                  </w:pPr>
                </w:p>
              </w:tc>
              <w:tc>
                <w:tcPr>
                  <w:tcW w:w="703" w:type="dxa"/>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w:t>
                  </w:r>
                </w:p>
              </w:tc>
              <w:tc>
                <w:tcPr>
                  <w:tcW w:w="113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0.</w:t>
                  </w:r>
                  <w:r>
                    <w:rPr>
                      <w:rFonts w:hint="eastAsia" w:cs="Times New Roman"/>
                      <w:i w:val="0"/>
                      <w:iCs w:val="0"/>
                      <w:color w:val="auto"/>
                      <w:kern w:val="0"/>
                      <w:sz w:val="18"/>
                      <w:szCs w:val="18"/>
                      <w:u w:val="none"/>
                      <w:lang w:val="en-US" w:eastAsia="zh-CN" w:bidi="ar"/>
                    </w:rPr>
                    <w:t>7</w:t>
                  </w:r>
                </w:p>
              </w:tc>
              <w:tc>
                <w:tcPr>
                  <w:tcW w:w="912"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w:t>
                  </w:r>
                  <w:r>
                    <w:rPr>
                      <w:rFonts w:hint="eastAsia" w:cs="Times New Roman"/>
                      <w:i w:val="0"/>
                      <w:iCs w:val="0"/>
                      <w:color w:val="auto"/>
                      <w:kern w:val="0"/>
                      <w:sz w:val="18"/>
                      <w:szCs w:val="18"/>
                      <w:u w:val="none"/>
                      <w:lang w:val="en-US" w:eastAsia="zh-CN" w:bidi="ar"/>
                    </w:rPr>
                    <w:t>4</w:t>
                  </w:r>
                </w:p>
              </w:tc>
              <w:tc>
                <w:tcPr>
                  <w:tcW w:w="857" w:type="dxa"/>
                  <w:vAlign w:val="center"/>
                </w:tcPr>
                <w:p>
                  <w:pPr>
                    <w:keepNext w:val="0"/>
                    <w:keepLines w:val="0"/>
                    <w:widowControl/>
                    <w:suppressLineNumbers w:val="0"/>
                    <w:jc w:val="center"/>
                    <w:textAlignment w:val="center"/>
                    <w:rPr>
                      <w:rFonts w:hint="default" w:ascii="Times New Roman" w:hAnsi="Times New Roman"/>
                      <w:color w:val="auto"/>
                      <w:sz w:val="18"/>
                      <w:szCs w:val="18"/>
                      <w:lang w:val="en-US"/>
                    </w:rPr>
                  </w:pPr>
                  <w:r>
                    <w:rPr>
                      <w:rFonts w:hint="eastAsia" w:cs="Times New Roman"/>
                      <w:i w:val="0"/>
                      <w:iCs w:val="0"/>
                      <w:color w:val="auto"/>
                      <w:kern w:val="0"/>
                      <w:sz w:val="18"/>
                      <w:szCs w:val="18"/>
                      <w:u w:val="none"/>
                      <w:lang w:val="en-US" w:eastAsia="zh-CN" w:bidi="ar"/>
                    </w:rPr>
                    <w:t>5040</w:t>
                  </w:r>
                </w:p>
              </w:tc>
              <w:tc>
                <w:tcPr>
                  <w:tcW w:w="825" w:type="dxa"/>
                  <w:vMerge w:val="continue"/>
                </w:tcPr>
                <w:p>
                  <w:pPr>
                    <w:adjustRightInd w:val="0"/>
                    <w:snapToGrid w:val="0"/>
                    <w:jc w:val="center"/>
                    <w:rPr>
                      <w:rFonts w:ascii="Times New Roman" w:hAnsi="Times New Roman"/>
                      <w:color w:val="FF0000"/>
                      <w:sz w:val="18"/>
                      <w:szCs w:val="18"/>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482" w:hRule="atLeast"/>
                <w:jc w:val="center"/>
              </w:trPr>
              <w:tc>
                <w:tcPr>
                  <w:tcW w:w="1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台车式退火炉</w:t>
                  </w:r>
                </w:p>
              </w:tc>
              <w:tc>
                <w:tcPr>
                  <w:tcW w:w="1287" w:type="dxa"/>
                  <w:shd w:val="clear" w:color="auto" w:fill="auto"/>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12x3.2x2.1m</w:t>
                  </w:r>
                </w:p>
              </w:tc>
              <w:tc>
                <w:tcPr>
                  <w:tcW w:w="768" w:type="dxa"/>
                  <w:vMerge w:val="continue"/>
                </w:tcPr>
                <w:p>
                  <w:pPr>
                    <w:adjustRightInd w:val="0"/>
                    <w:snapToGrid w:val="0"/>
                    <w:jc w:val="center"/>
                    <w:rPr>
                      <w:rFonts w:hint="default" w:ascii="Times New Roman" w:hAnsi="Times New Roman" w:eastAsia="宋体" w:cs="Times New Roman"/>
                      <w:color w:val="auto"/>
                      <w:sz w:val="18"/>
                      <w:szCs w:val="18"/>
                      <w:lang w:val="en-US" w:eastAsia="zh-CN"/>
                    </w:rPr>
                  </w:pPr>
                </w:p>
              </w:tc>
              <w:tc>
                <w:tcPr>
                  <w:tcW w:w="703" w:type="dxa"/>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w:t>
                  </w:r>
                </w:p>
              </w:tc>
              <w:tc>
                <w:tcPr>
                  <w:tcW w:w="113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0.</w:t>
                  </w:r>
                  <w:r>
                    <w:rPr>
                      <w:rFonts w:hint="eastAsia" w:cs="Times New Roman"/>
                      <w:i w:val="0"/>
                      <w:iCs w:val="0"/>
                      <w:color w:val="auto"/>
                      <w:kern w:val="0"/>
                      <w:sz w:val="18"/>
                      <w:szCs w:val="18"/>
                      <w:u w:val="none"/>
                      <w:lang w:val="en-US" w:eastAsia="zh-CN" w:bidi="ar"/>
                    </w:rPr>
                    <w:t>7</w:t>
                  </w:r>
                </w:p>
              </w:tc>
              <w:tc>
                <w:tcPr>
                  <w:tcW w:w="912"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w:t>
                  </w:r>
                  <w:r>
                    <w:rPr>
                      <w:rFonts w:hint="eastAsia" w:cs="Times New Roman"/>
                      <w:i w:val="0"/>
                      <w:iCs w:val="0"/>
                      <w:color w:val="auto"/>
                      <w:kern w:val="0"/>
                      <w:sz w:val="18"/>
                      <w:szCs w:val="18"/>
                      <w:u w:val="none"/>
                      <w:lang w:val="en-US" w:eastAsia="zh-CN" w:bidi="ar"/>
                    </w:rPr>
                    <w:t>4</w:t>
                  </w:r>
                </w:p>
              </w:tc>
              <w:tc>
                <w:tcPr>
                  <w:tcW w:w="857" w:type="dxa"/>
                  <w:vAlign w:val="center"/>
                </w:tcPr>
                <w:p>
                  <w:pPr>
                    <w:keepNext w:val="0"/>
                    <w:keepLines w:val="0"/>
                    <w:widowControl/>
                    <w:suppressLineNumbers w:val="0"/>
                    <w:jc w:val="center"/>
                    <w:textAlignment w:val="center"/>
                    <w:rPr>
                      <w:rFonts w:hint="default" w:ascii="Times New Roman" w:hAnsi="Times New Roman"/>
                      <w:color w:val="auto"/>
                      <w:sz w:val="18"/>
                      <w:szCs w:val="18"/>
                      <w:lang w:val="en-US"/>
                    </w:rPr>
                  </w:pPr>
                  <w:r>
                    <w:rPr>
                      <w:rFonts w:hint="eastAsia" w:cs="Times New Roman"/>
                      <w:i w:val="0"/>
                      <w:iCs w:val="0"/>
                      <w:color w:val="auto"/>
                      <w:kern w:val="0"/>
                      <w:sz w:val="18"/>
                      <w:szCs w:val="18"/>
                      <w:u w:val="none"/>
                      <w:lang w:val="en-US" w:eastAsia="zh-CN" w:bidi="ar"/>
                    </w:rPr>
                    <w:t>5040</w:t>
                  </w:r>
                </w:p>
              </w:tc>
              <w:tc>
                <w:tcPr>
                  <w:tcW w:w="825" w:type="dxa"/>
                  <w:vMerge w:val="continue"/>
                </w:tcPr>
                <w:p>
                  <w:pPr>
                    <w:adjustRightInd w:val="0"/>
                    <w:snapToGrid w:val="0"/>
                    <w:jc w:val="center"/>
                    <w:rPr>
                      <w:rFonts w:ascii="Times New Roman" w:hAnsi="Times New Roman"/>
                      <w:color w:val="FF0000"/>
                      <w:sz w:val="18"/>
                      <w:szCs w:val="18"/>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482" w:hRule="atLeast"/>
                <w:jc w:val="center"/>
              </w:trPr>
              <w:tc>
                <w:tcPr>
                  <w:tcW w:w="1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台车式退火炉</w:t>
                  </w:r>
                </w:p>
              </w:tc>
              <w:tc>
                <w:tcPr>
                  <w:tcW w:w="1287" w:type="dxa"/>
                  <w:shd w:val="clear" w:color="auto" w:fill="auto"/>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9x3.2x1.5m</w:t>
                  </w:r>
                </w:p>
              </w:tc>
              <w:tc>
                <w:tcPr>
                  <w:tcW w:w="768" w:type="dxa"/>
                  <w:vMerge w:val="restart"/>
                  <w:shd w:val="clear" w:color="auto" w:fill="auto"/>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DA005</w:t>
                  </w:r>
                </w:p>
              </w:tc>
              <w:tc>
                <w:tcPr>
                  <w:tcW w:w="703" w:type="dxa"/>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2</w:t>
                  </w:r>
                </w:p>
              </w:tc>
              <w:tc>
                <w:tcPr>
                  <w:tcW w:w="113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0.6</w:t>
                  </w:r>
                </w:p>
              </w:tc>
              <w:tc>
                <w:tcPr>
                  <w:tcW w:w="912"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1.2</w:t>
                  </w:r>
                </w:p>
              </w:tc>
              <w:tc>
                <w:tcPr>
                  <w:tcW w:w="857" w:type="dxa"/>
                  <w:vAlign w:val="center"/>
                </w:tcPr>
                <w:p>
                  <w:pPr>
                    <w:keepNext w:val="0"/>
                    <w:keepLines w:val="0"/>
                    <w:widowControl/>
                    <w:suppressLineNumbers w:val="0"/>
                    <w:jc w:val="center"/>
                    <w:textAlignment w:val="center"/>
                    <w:rPr>
                      <w:rFonts w:ascii="Times New Roman" w:hAnsi="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8640</w:t>
                  </w:r>
                </w:p>
              </w:tc>
              <w:tc>
                <w:tcPr>
                  <w:tcW w:w="825" w:type="dxa"/>
                  <w:vMerge w:val="restart"/>
                  <w:vAlign w:val="center"/>
                </w:tcPr>
                <w:p>
                  <w:pPr>
                    <w:jc w:val="center"/>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15000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512" w:hRule="atLeast"/>
                <w:jc w:val="center"/>
              </w:trPr>
              <w:tc>
                <w:tcPr>
                  <w:tcW w:w="15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台车式退火炉</w:t>
                  </w:r>
                </w:p>
              </w:tc>
              <w:tc>
                <w:tcPr>
                  <w:tcW w:w="1287" w:type="dxa"/>
                  <w:shd w:val="clear" w:color="auto" w:fill="auto"/>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9x4x1.8m</w:t>
                  </w:r>
                </w:p>
              </w:tc>
              <w:tc>
                <w:tcPr>
                  <w:tcW w:w="768" w:type="dxa"/>
                  <w:vMerge w:val="continue"/>
                </w:tcPr>
                <w:p>
                  <w:pPr>
                    <w:adjustRightInd w:val="0"/>
                    <w:snapToGrid w:val="0"/>
                    <w:jc w:val="center"/>
                    <w:rPr>
                      <w:rFonts w:hint="default" w:ascii="Times New Roman" w:hAnsi="Times New Roman" w:eastAsia="宋体" w:cs="Times New Roman"/>
                      <w:color w:val="auto"/>
                      <w:sz w:val="18"/>
                      <w:szCs w:val="18"/>
                      <w:lang w:val="en-US" w:eastAsia="zh-CN"/>
                    </w:rPr>
                  </w:pPr>
                </w:p>
              </w:tc>
              <w:tc>
                <w:tcPr>
                  <w:tcW w:w="703" w:type="dxa"/>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w:t>
                  </w:r>
                </w:p>
              </w:tc>
              <w:tc>
                <w:tcPr>
                  <w:tcW w:w="113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0.6</w:t>
                  </w:r>
                </w:p>
              </w:tc>
              <w:tc>
                <w:tcPr>
                  <w:tcW w:w="912"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1.2</w:t>
                  </w:r>
                </w:p>
              </w:tc>
              <w:tc>
                <w:tcPr>
                  <w:tcW w:w="857" w:type="dxa"/>
                  <w:vAlign w:val="center"/>
                </w:tcPr>
                <w:p>
                  <w:pPr>
                    <w:keepNext w:val="0"/>
                    <w:keepLines w:val="0"/>
                    <w:widowControl/>
                    <w:suppressLineNumbers w:val="0"/>
                    <w:jc w:val="center"/>
                    <w:textAlignment w:val="center"/>
                    <w:rPr>
                      <w:rFonts w:ascii="Times New Roman" w:hAnsi="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4320</w:t>
                  </w:r>
                </w:p>
              </w:tc>
              <w:tc>
                <w:tcPr>
                  <w:tcW w:w="825" w:type="dxa"/>
                  <w:vMerge w:val="continue"/>
                </w:tcPr>
                <w:p>
                  <w:pPr>
                    <w:adjustRightInd w:val="0"/>
                    <w:snapToGrid w:val="0"/>
                    <w:jc w:val="center"/>
                    <w:rPr>
                      <w:rFonts w:ascii="Times New Roman" w:hAnsi="Times New Roman"/>
                      <w:color w:val="auto"/>
                      <w:sz w:val="18"/>
                      <w:szCs w:val="18"/>
                    </w:rPr>
                  </w:pPr>
                </w:p>
              </w:tc>
            </w:tr>
          </w:tbl>
          <w:p>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参照《排放源统计调查产排污核算方法和系数手册》（公告2021年第24号），“33-37，431-434机械行业系数手册”中天然气对应的产污系数，对应风量如下。</w:t>
            </w:r>
          </w:p>
          <w:p>
            <w:pPr>
              <w:pStyle w:val="9"/>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eastAsia"/>
                <w:color w:val="auto"/>
                <w:lang w:val="en-US" w:eastAsia="zh-CN"/>
              </w:rPr>
            </w:pPr>
            <w:r>
              <w:rPr>
                <w:rFonts w:hint="eastAsia" w:ascii="Times New Roman" w:hAnsi="Times New Roman" w:eastAsia="宋体" w:cs="Times New Roman"/>
                <w:b/>
                <w:color w:val="auto"/>
                <w:kern w:val="2"/>
                <w:sz w:val="21"/>
                <w:szCs w:val="21"/>
                <w:lang w:val="en-US" w:eastAsia="zh-CN" w:bidi="ar-SA"/>
              </w:rPr>
              <w:t>表4-</w:t>
            </w:r>
            <w:r>
              <w:rPr>
                <w:rFonts w:hint="eastAsia" w:ascii="Times New Roman" w:hAnsi="Times New Roman" w:cs="Times New Roman"/>
                <w:b/>
                <w:color w:val="auto"/>
                <w:kern w:val="2"/>
                <w:sz w:val="21"/>
                <w:szCs w:val="21"/>
                <w:lang w:val="en-US" w:eastAsia="zh-CN" w:bidi="ar-SA"/>
              </w:rPr>
              <w:t>7</w:t>
            </w:r>
            <w:r>
              <w:rPr>
                <w:rFonts w:hint="eastAsia" w:ascii="Times New Roman" w:hAnsi="Times New Roman" w:eastAsia="宋体" w:cs="Times New Roman"/>
                <w:b/>
                <w:color w:val="auto"/>
                <w:kern w:val="2"/>
                <w:sz w:val="21"/>
                <w:szCs w:val="21"/>
                <w:lang w:val="en-US" w:eastAsia="zh-CN" w:bidi="ar-SA"/>
              </w:rPr>
              <w:t xml:space="preserve">  天然气风量</w:t>
            </w:r>
            <w:r>
              <w:rPr>
                <w:rFonts w:hint="default" w:ascii="Times New Roman" w:hAnsi="Times New Roman" w:eastAsia="宋体" w:cs="Times New Roman"/>
                <w:b/>
                <w:color w:val="auto"/>
                <w:kern w:val="2"/>
                <w:sz w:val="21"/>
                <w:szCs w:val="21"/>
                <w:lang w:val="en-US" w:eastAsia="zh-CN" w:bidi="ar-SA"/>
              </w:rPr>
              <w:t>计算情况表</w:t>
            </w:r>
          </w:p>
          <w:tbl>
            <w:tblPr>
              <w:tblStyle w:val="21"/>
              <w:tblW w:w="8277"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451"/>
              <w:gridCol w:w="1165"/>
              <w:gridCol w:w="1421"/>
              <w:gridCol w:w="929"/>
              <w:gridCol w:w="1248"/>
              <w:gridCol w:w="1031"/>
              <w:gridCol w:w="1032"/>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656" w:hRule="atLeast"/>
                <w:jc w:val="center"/>
              </w:trPr>
              <w:tc>
                <w:tcPr>
                  <w:tcW w:w="1451" w:type="dxa"/>
                  <w:shd w:val="clear" w:color="auto" w:fill="auto"/>
                  <w:noWrap w:val="0"/>
                  <w:vAlign w:val="center"/>
                </w:tcPr>
                <w:p>
                  <w:pPr>
                    <w:jc w:val="center"/>
                    <w:rPr>
                      <w:rFonts w:ascii="Times New Roman" w:hAnsi="Times New Roman" w:eastAsia="宋体" w:cs="Times New Roman"/>
                      <w:color w:val="auto"/>
                      <w:kern w:val="2"/>
                      <w:sz w:val="18"/>
                      <w:szCs w:val="18"/>
                      <w:lang w:val="en-US" w:eastAsia="zh-CN" w:bidi="ar-SA"/>
                    </w:rPr>
                  </w:pPr>
                  <w:r>
                    <w:rPr>
                      <w:rFonts w:hint="eastAsia"/>
                      <w:color w:val="auto"/>
                      <w:sz w:val="18"/>
                      <w:szCs w:val="18"/>
                      <w:lang w:eastAsia="zh-CN"/>
                    </w:rPr>
                    <w:t>排气筒编号</w:t>
                  </w:r>
                </w:p>
              </w:tc>
              <w:tc>
                <w:tcPr>
                  <w:tcW w:w="1165" w:type="dxa"/>
                  <w:shd w:val="clear" w:color="auto" w:fill="auto"/>
                  <w:noWrap w:val="0"/>
                  <w:vAlign w:val="center"/>
                </w:tcPr>
                <w:p>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eastAsia="zh-CN"/>
                    </w:rPr>
                    <w:t>天然气</w:t>
                  </w:r>
                  <w:r>
                    <w:rPr>
                      <w:rFonts w:hint="eastAsia" w:ascii="Times New Roman" w:hAnsi="Times New Roman" w:eastAsia="宋体" w:cs="Times New Roman"/>
                      <w:color w:val="auto"/>
                      <w:sz w:val="18"/>
                      <w:szCs w:val="18"/>
                      <w:lang w:val="en-US" w:eastAsia="zh-CN"/>
                    </w:rPr>
                    <w:t>用量万Nm</w:t>
                  </w:r>
                  <w:r>
                    <w:rPr>
                      <w:rFonts w:hint="eastAsia" w:ascii="Times New Roman" w:hAnsi="Times New Roman" w:eastAsia="宋体" w:cs="Times New Roman"/>
                      <w:color w:val="auto"/>
                      <w:sz w:val="18"/>
                      <w:szCs w:val="18"/>
                      <w:vertAlign w:val="superscript"/>
                      <w:lang w:val="en-US" w:eastAsia="zh-CN"/>
                    </w:rPr>
                    <w:t>3</w:t>
                  </w:r>
                  <w:r>
                    <w:rPr>
                      <w:rFonts w:hint="eastAsia" w:ascii="Times New Roman" w:hAnsi="Times New Roman" w:eastAsia="宋体" w:cs="Times New Roman"/>
                      <w:color w:val="auto"/>
                      <w:sz w:val="18"/>
                      <w:szCs w:val="18"/>
                      <w:lang w:val="en-US" w:eastAsia="zh-CN"/>
                    </w:rPr>
                    <w:t>/a</w:t>
                  </w:r>
                </w:p>
              </w:tc>
              <w:tc>
                <w:tcPr>
                  <w:tcW w:w="1421" w:type="dxa"/>
                  <w:shd w:val="clear" w:color="auto" w:fill="auto"/>
                  <w:noWrap w:val="0"/>
                  <w:vAlign w:val="center"/>
                </w:tcPr>
                <w:p>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天然气烟气量产生系数（m</w:t>
                  </w:r>
                  <w:r>
                    <w:rPr>
                      <w:rFonts w:hint="eastAsia" w:ascii="Times New Roman" w:hAnsi="Times New Roman" w:eastAsia="宋体" w:cs="Times New Roman"/>
                      <w:color w:val="auto"/>
                      <w:sz w:val="18"/>
                      <w:szCs w:val="18"/>
                      <w:vertAlign w:val="superscript"/>
                      <w:lang w:val="en-US" w:eastAsia="zh-CN"/>
                    </w:rPr>
                    <w:t>3</w:t>
                  </w:r>
                  <w:r>
                    <w:rPr>
                      <w:rFonts w:hint="eastAsia" w:ascii="Times New Roman" w:hAnsi="Times New Roman" w:eastAsia="宋体" w:cs="Times New Roman"/>
                      <w:color w:val="auto"/>
                      <w:sz w:val="18"/>
                      <w:szCs w:val="18"/>
                      <w:lang w:val="en-US" w:eastAsia="zh-CN"/>
                    </w:rPr>
                    <w:t>）</w:t>
                  </w:r>
                </w:p>
              </w:tc>
              <w:tc>
                <w:tcPr>
                  <w:tcW w:w="929" w:type="dxa"/>
                  <w:shd w:val="clear" w:color="auto" w:fill="auto"/>
                  <w:noWrap w:val="0"/>
                  <w:vAlign w:val="center"/>
                </w:tcPr>
                <w:p>
                  <w:pPr>
                    <w:jc w:val="center"/>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val="en-US" w:eastAsia="zh-CN"/>
                    </w:rPr>
                    <w:t>燃烧时间</w:t>
                  </w:r>
                  <w:r>
                    <w:rPr>
                      <w:rFonts w:hint="eastAsia" w:ascii="Times New Roman" w:hAnsi="Times New Roman" w:eastAsia="宋体" w:cs="Times New Roman"/>
                      <w:color w:val="auto"/>
                      <w:sz w:val="18"/>
                      <w:szCs w:val="18"/>
                      <w:lang w:eastAsia="zh-CN"/>
                    </w:rPr>
                    <w:t>（</w:t>
                  </w:r>
                  <w:r>
                    <w:rPr>
                      <w:rFonts w:hint="eastAsia" w:ascii="Times New Roman" w:hAnsi="Times New Roman" w:eastAsia="宋体" w:cs="Times New Roman"/>
                      <w:color w:val="auto"/>
                      <w:sz w:val="18"/>
                      <w:szCs w:val="18"/>
                      <w:lang w:val="en-US" w:eastAsia="zh-CN"/>
                    </w:rPr>
                    <w:t>h</w:t>
                  </w:r>
                  <w:r>
                    <w:rPr>
                      <w:rFonts w:hint="eastAsia" w:ascii="Times New Roman" w:hAnsi="Times New Roman" w:eastAsia="宋体" w:cs="Times New Roman"/>
                      <w:color w:val="auto"/>
                      <w:sz w:val="18"/>
                      <w:szCs w:val="18"/>
                      <w:lang w:eastAsia="zh-CN"/>
                    </w:rPr>
                    <w:t>）</w:t>
                  </w:r>
                </w:p>
              </w:tc>
              <w:tc>
                <w:tcPr>
                  <w:tcW w:w="1248" w:type="dxa"/>
                  <w:noWrap w:val="0"/>
                  <w:vAlign w:val="center"/>
                </w:tcPr>
                <w:p>
                  <w:pPr>
                    <w:jc w:val="center"/>
                    <w:rPr>
                      <w:rFonts w:ascii="Times New Roman" w:hAnsi="Times New Roman"/>
                      <w:b/>
                      <w:bCs/>
                      <w:color w:val="auto"/>
                      <w:sz w:val="18"/>
                      <w:szCs w:val="18"/>
                    </w:rPr>
                  </w:pPr>
                  <w:r>
                    <w:rPr>
                      <w:rFonts w:hint="eastAsia" w:ascii="Times New Roman" w:hAnsi="Times New Roman" w:cs="Times New Roman"/>
                      <w:color w:val="auto"/>
                      <w:sz w:val="18"/>
                      <w:szCs w:val="18"/>
                      <w:lang w:eastAsia="zh-CN"/>
                    </w:rPr>
                    <w:t>系数手册计算</w:t>
                  </w:r>
                  <w:r>
                    <w:rPr>
                      <w:rFonts w:hint="default" w:ascii="Times New Roman" w:hAnsi="Times New Roman" w:cs="Times New Roman"/>
                      <w:color w:val="auto"/>
                      <w:sz w:val="18"/>
                      <w:szCs w:val="18"/>
                    </w:rPr>
                    <w:t>需求风量（m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/h）</w:t>
                  </w:r>
                </w:p>
              </w:tc>
              <w:tc>
                <w:tcPr>
                  <w:tcW w:w="1031" w:type="dxa"/>
                  <w:noWrap w:val="0"/>
                  <w:vAlign w:val="center"/>
                </w:tcPr>
                <w:p>
                  <w:pPr>
                    <w:jc w:val="center"/>
                    <w:rPr>
                      <w:rFonts w:hint="default" w:ascii="Times New Roman" w:hAnsi="Times New Roman" w:cs="Times New Roman"/>
                      <w:color w:val="auto"/>
                      <w:sz w:val="18"/>
                      <w:szCs w:val="18"/>
                    </w:rPr>
                  </w:pPr>
                  <w:r>
                    <w:rPr>
                      <w:rFonts w:hint="eastAsia" w:ascii="Times New Roman" w:hAnsi="Times New Roman" w:eastAsia="宋体" w:cs="Times New Roman"/>
                      <w:color w:val="auto"/>
                      <w:sz w:val="18"/>
                      <w:szCs w:val="18"/>
                      <w:lang w:val="en-US" w:eastAsia="zh-CN"/>
                    </w:rPr>
                    <w:t>设计手册</w:t>
                  </w:r>
                  <w:r>
                    <w:rPr>
                      <w:rFonts w:hint="eastAsia" w:ascii="Times New Roman" w:hAnsi="Times New Roman" w:eastAsia="宋体" w:cs="Times New Roman"/>
                      <w:color w:val="auto"/>
                      <w:sz w:val="18"/>
                      <w:szCs w:val="18"/>
                      <w:lang w:eastAsia="zh-CN"/>
                    </w:rPr>
                    <w:t>计算</w:t>
                  </w:r>
                  <w:r>
                    <w:rPr>
                      <w:rFonts w:hint="default" w:ascii="Times New Roman" w:hAnsi="Times New Roman" w:eastAsia="宋体" w:cs="Times New Roman"/>
                      <w:color w:val="auto"/>
                      <w:sz w:val="18"/>
                      <w:szCs w:val="18"/>
                      <w:lang w:eastAsia="zh-CN"/>
                    </w:rPr>
                    <w:t>需</w:t>
                  </w:r>
                  <w:r>
                    <w:rPr>
                      <w:rFonts w:hint="default" w:ascii="Times New Roman" w:hAnsi="Times New Roman" w:cs="Times New Roman"/>
                      <w:color w:val="auto"/>
                      <w:sz w:val="18"/>
                      <w:szCs w:val="18"/>
                    </w:rPr>
                    <w:t>求风量（m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/h）</w:t>
                  </w:r>
                </w:p>
              </w:tc>
              <w:tc>
                <w:tcPr>
                  <w:tcW w:w="1032" w:type="dxa"/>
                  <w:noWrap w:val="0"/>
                  <w:vAlign w:val="center"/>
                </w:tcPr>
                <w:p>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本次项目设计</w:t>
                  </w:r>
                  <w:r>
                    <w:rPr>
                      <w:rFonts w:hint="default" w:ascii="Times New Roman" w:hAnsi="Times New Roman" w:cs="Times New Roman"/>
                      <w:color w:val="auto"/>
                      <w:sz w:val="18"/>
                      <w:szCs w:val="18"/>
                    </w:rPr>
                    <w:t>风量（m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/h）</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28" w:hRule="atLeast"/>
                <w:jc w:val="center"/>
              </w:trPr>
              <w:tc>
                <w:tcPr>
                  <w:tcW w:w="1451" w:type="dxa"/>
                  <w:shd w:val="clear" w:color="auto" w:fill="auto"/>
                  <w:noWrap w:val="0"/>
                  <w:vAlign w:val="center"/>
                </w:tcPr>
                <w:p>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DA001</w:t>
                  </w:r>
                </w:p>
              </w:tc>
              <w:tc>
                <w:tcPr>
                  <w:tcW w:w="1165"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388.8</w:t>
                  </w:r>
                </w:p>
              </w:tc>
              <w:tc>
                <w:tcPr>
                  <w:tcW w:w="1421" w:type="dxa"/>
                  <w:shd w:val="clear" w:color="auto" w:fill="auto"/>
                  <w:noWrap w:val="0"/>
                  <w:vAlign w:val="center"/>
                </w:tcPr>
                <w:p>
                  <w:pPr>
                    <w:jc w:val="center"/>
                    <w:rPr>
                      <w:rFonts w:hint="default" w:cs="Times New Roman"/>
                      <w:color w:val="auto"/>
                      <w:sz w:val="18"/>
                      <w:szCs w:val="18"/>
                      <w:lang w:val="en-US" w:eastAsia="zh-CN"/>
                    </w:rPr>
                  </w:pPr>
                  <w:r>
                    <w:rPr>
                      <w:rFonts w:hint="eastAsia" w:cs="Times New Roman"/>
                      <w:color w:val="auto"/>
                      <w:sz w:val="18"/>
                      <w:szCs w:val="18"/>
                      <w:lang w:val="en-US" w:eastAsia="zh-CN"/>
                    </w:rPr>
                    <w:t>13.6</w:t>
                  </w:r>
                </w:p>
              </w:tc>
              <w:tc>
                <w:tcPr>
                  <w:tcW w:w="929" w:type="dxa"/>
                  <w:shd w:val="clear" w:color="auto" w:fill="auto"/>
                  <w:noWrap w:val="0"/>
                  <w:vAlign w:val="center"/>
                </w:tcPr>
                <w:p>
                  <w:pPr>
                    <w:jc w:val="center"/>
                    <w:rPr>
                      <w:rFonts w:hint="default" w:cs="Times New Roman"/>
                      <w:color w:val="auto"/>
                      <w:sz w:val="18"/>
                      <w:szCs w:val="18"/>
                      <w:lang w:val="en-US" w:eastAsia="zh-CN"/>
                    </w:rPr>
                  </w:pPr>
                  <w:r>
                    <w:rPr>
                      <w:rFonts w:hint="eastAsia" w:cs="Times New Roman"/>
                      <w:color w:val="auto"/>
                      <w:sz w:val="18"/>
                      <w:szCs w:val="18"/>
                      <w:lang w:val="en-US" w:eastAsia="zh-CN"/>
                    </w:rPr>
                    <w:t>7920</w:t>
                  </w:r>
                </w:p>
              </w:tc>
              <w:tc>
                <w:tcPr>
                  <w:tcW w:w="1248" w:type="dxa"/>
                  <w:noWrap w:val="0"/>
                  <w:vAlign w:val="center"/>
                </w:tcPr>
                <w:p>
                  <w:pPr>
                    <w:jc w:val="center"/>
                    <w:rPr>
                      <w:rFonts w:hint="eastAsia" w:cs="Times New Roman"/>
                      <w:color w:val="auto"/>
                      <w:sz w:val="18"/>
                      <w:szCs w:val="18"/>
                      <w:lang w:val="en-US" w:eastAsia="zh-CN"/>
                    </w:rPr>
                  </w:pPr>
                  <w:r>
                    <w:rPr>
                      <w:rFonts w:hint="default" w:cs="Times New Roman"/>
                      <w:color w:val="auto"/>
                      <w:sz w:val="18"/>
                      <w:szCs w:val="18"/>
                      <w:lang w:val="en-US" w:eastAsia="zh-CN"/>
                    </w:rPr>
                    <w:t>6676.36</w:t>
                  </w:r>
                </w:p>
              </w:tc>
              <w:tc>
                <w:tcPr>
                  <w:tcW w:w="1031" w:type="dxa"/>
                  <w:noWrap w:val="0"/>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10800</w:t>
                  </w:r>
                </w:p>
              </w:tc>
              <w:tc>
                <w:tcPr>
                  <w:tcW w:w="103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12000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28" w:hRule="atLeast"/>
                <w:jc w:val="center"/>
              </w:trPr>
              <w:tc>
                <w:tcPr>
                  <w:tcW w:w="1451" w:type="dxa"/>
                  <w:shd w:val="clear" w:color="auto" w:fill="auto"/>
                  <w:noWrap w:val="0"/>
                  <w:vAlign w:val="center"/>
                </w:tcPr>
                <w:p>
                  <w:pPr>
                    <w:adjustRightInd w:val="0"/>
                    <w:snapToGrid w:val="0"/>
                    <w:jc w:val="center"/>
                    <w:rPr>
                      <w:rFonts w:hint="default" w:ascii="Times New Roman" w:hAnsi="Times New Roman" w:eastAsia="宋体" w:cs="Times New Roman"/>
                      <w:color w:val="auto"/>
                      <w:kern w:val="2"/>
                      <w:sz w:val="18"/>
                      <w:szCs w:val="18"/>
                      <w:shd w:val="clear" w:color="auto" w:fill="auto"/>
                      <w:lang w:val="en-US" w:eastAsia="zh-CN" w:bidi="ar-SA"/>
                    </w:rPr>
                  </w:pPr>
                  <w:r>
                    <w:rPr>
                      <w:rFonts w:hint="eastAsia" w:cs="Times New Roman"/>
                      <w:color w:val="auto"/>
                      <w:sz w:val="18"/>
                      <w:szCs w:val="18"/>
                      <w:lang w:val="en-US" w:eastAsia="zh-CN"/>
                    </w:rPr>
                    <w:t>DA007</w:t>
                  </w:r>
                </w:p>
              </w:tc>
              <w:tc>
                <w:tcPr>
                  <w:tcW w:w="1165"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shd w:val="clear" w:color="auto" w:fill="auto"/>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711.6</w:t>
                  </w:r>
                </w:p>
              </w:tc>
              <w:tc>
                <w:tcPr>
                  <w:tcW w:w="1421" w:type="dxa"/>
                  <w:shd w:val="clear" w:color="auto" w:fill="auto"/>
                  <w:noWrap w:val="0"/>
                  <w:vAlign w:val="center"/>
                </w:tcPr>
                <w:p>
                  <w:pPr>
                    <w:jc w:val="center"/>
                    <w:rPr>
                      <w:rFonts w:hint="eastAsia" w:cs="Times New Roman"/>
                      <w:color w:val="auto"/>
                      <w:sz w:val="18"/>
                      <w:szCs w:val="18"/>
                      <w:lang w:val="en-US" w:eastAsia="zh-CN"/>
                    </w:rPr>
                  </w:pPr>
                  <w:r>
                    <w:rPr>
                      <w:rFonts w:hint="eastAsia" w:cs="Times New Roman"/>
                      <w:color w:val="auto"/>
                      <w:sz w:val="18"/>
                      <w:szCs w:val="18"/>
                      <w:lang w:val="en-US" w:eastAsia="zh-CN"/>
                    </w:rPr>
                    <w:t>13.6</w:t>
                  </w:r>
                </w:p>
              </w:tc>
              <w:tc>
                <w:tcPr>
                  <w:tcW w:w="929" w:type="dxa"/>
                  <w:shd w:val="clear" w:color="auto" w:fill="auto"/>
                  <w:noWrap w:val="0"/>
                  <w:vAlign w:val="center"/>
                </w:tcPr>
                <w:p>
                  <w:pPr>
                    <w:jc w:val="center"/>
                    <w:rPr>
                      <w:rFonts w:hint="eastAsia" w:cs="Times New Roman"/>
                      <w:color w:val="auto"/>
                      <w:sz w:val="18"/>
                      <w:szCs w:val="18"/>
                      <w:lang w:val="en-US" w:eastAsia="zh-CN"/>
                    </w:rPr>
                  </w:pPr>
                  <w:r>
                    <w:rPr>
                      <w:rFonts w:hint="eastAsia" w:cs="Times New Roman"/>
                      <w:color w:val="auto"/>
                      <w:sz w:val="18"/>
                      <w:szCs w:val="18"/>
                      <w:lang w:val="en-US" w:eastAsia="zh-CN"/>
                    </w:rPr>
                    <w:t>7920</w:t>
                  </w:r>
                </w:p>
              </w:tc>
              <w:tc>
                <w:tcPr>
                  <w:tcW w:w="1248" w:type="dxa"/>
                  <w:noWrap w:val="0"/>
                  <w:vAlign w:val="center"/>
                </w:tcPr>
                <w:p>
                  <w:pPr>
                    <w:jc w:val="center"/>
                    <w:rPr>
                      <w:rFonts w:hint="default" w:cs="Times New Roman"/>
                      <w:color w:val="auto"/>
                      <w:sz w:val="18"/>
                      <w:szCs w:val="18"/>
                      <w:lang w:val="en-US" w:eastAsia="zh-CN"/>
                    </w:rPr>
                  </w:pPr>
                  <w:r>
                    <w:rPr>
                      <w:rFonts w:hint="default" w:cs="Times New Roman"/>
                      <w:color w:val="auto"/>
                      <w:sz w:val="18"/>
                      <w:szCs w:val="18"/>
                      <w:lang w:val="en-US" w:eastAsia="zh-CN"/>
                    </w:rPr>
                    <w:t>12219.39</w:t>
                  </w:r>
                </w:p>
              </w:tc>
              <w:tc>
                <w:tcPr>
                  <w:tcW w:w="1031" w:type="dxa"/>
                  <w:noWrap w:val="0"/>
                  <w:vAlign w:val="center"/>
                </w:tcPr>
                <w:p>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14400</w:t>
                  </w:r>
                </w:p>
              </w:tc>
              <w:tc>
                <w:tcPr>
                  <w:tcW w:w="1032"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15000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28" w:hRule="atLeast"/>
                <w:jc w:val="center"/>
              </w:trPr>
              <w:tc>
                <w:tcPr>
                  <w:tcW w:w="1451" w:type="dxa"/>
                  <w:shd w:val="clear" w:color="auto" w:fill="auto"/>
                  <w:vAlign w:val="center"/>
                </w:tcPr>
                <w:p>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DA003</w:t>
                  </w:r>
                </w:p>
              </w:tc>
              <w:tc>
                <w:tcPr>
                  <w:tcW w:w="1165" w:type="dxa"/>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shd w:val="clear" w:color="auto" w:fill="auto"/>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1339.2</w:t>
                  </w:r>
                </w:p>
              </w:tc>
              <w:tc>
                <w:tcPr>
                  <w:tcW w:w="1421" w:type="dxa"/>
                  <w:shd w:val="clear" w:color="auto" w:fill="auto"/>
                  <w:vAlign w:val="center"/>
                </w:tcPr>
                <w:p>
                  <w:pPr>
                    <w:jc w:val="center"/>
                    <w:rPr>
                      <w:rFonts w:hint="eastAsia" w:cs="Times New Roman"/>
                      <w:color w:val="auto"/>
                      <w:sz w:val="18"/>
                      <w:szCs w:val="18"/>
                      <w:lang w:val="en-US" w:eastAsia="zh-CN"/>
                    </w:rPr>
                  </w:pPr>
                  <w:r>
                    <w:rPr>
                      <w:rFonts w:hint="eastAsia" w:cs="Times New Roman"/>
                      <w:color w:val="auto"/>
                      <w:sz w:val="18"/>
                      <w:szCs w:val="18"/>
                      <w:lang w:val="en-US" w:eastAsia="zh-CN"/>
                    </w:rPr>
                    <w:t>13.6</w:t>
                  </w:r>
                </w:p>
              </w:tc>
              <w:tc>
                <w:tcPr>
                  <w:tcW w:w="929" w:type="dxa"/>
                  <w:shd w:val="clear" w:color="auto" w:fill="auto"/>
                  <w:vAlign w:val="center"/>
                </w:tcPr>
                <w:p>
                  <w:pPr>
                    <w:jc w:val="center"/>
                    <w:rPr>
                      <w:rFonts w:hint="eastAsia" w:cs="Times New Roman"/>
                      <w:color w:val="auto"/>
                      <w:sz w:val="18"/>
                      <w:szCs w:val="18"/>
                      <w:lang w:val="en-US" w:eastAsia="zh-CN"/>
                    </w:rPr>
                  </w:pPr>
                  <w:r>
                    <w:rPr>
                      <w:rFonts w:hint="eastAsia" w:cs="Times New Roman"/>
                      <w:color w:val="auto"/>
                      <w:sz w:val="18"/>
                      <w:szCs w:val="18"/>
                      <w:lang w:val="en-US" w:eastAsia="zh-CN"/>
                    </w:rPr>
                    <w:t>7920</w:t>
                  </w:r>
                </w:p>
              </w:tc>
              <w:tc>
                <w:tcPr>
                  <w:tcW w:w="1248" w:type="dxa"/>
                  <w:vAlign w:val="center"/>
                </w:tcPr>
                <w:p>
                  <w:pPr>
                    <w:jc w:val="center"/>
                    <w:rPr>
                      <w:rFonts w:hint="eastAsia" w:cs="Times New Roman"/>
                      <w:color w:val="auto"/>
                      <w:sz w:val="18"/>
                      <w:szCs w:val="18"/>
                      <w:lang w:val="en-US" w:eastAsia="zh-CN"/>
                    </w:rPr>
                  </w:pPr>
                  <w:r>
                    <w:rPr>
                      <w:rFonts w:hint="default" w:cs="Times New Roman"/>
                      <w:color w:val="auto"/>
                      <w:sz w:val="18"/>
                      <w:szCs w:val="18"/>
                      <w:lang w:val="en-US" w:eastAsia="zh-CN"/>
                    </w:rPr>
                    <w:t>22996.36</w:t>
                  </w:r>
                </w:p>
              </w:tc>
              <w:tc>
                <w:tcPr>
                  <w:tcW w:w="1031" w:type="dxa"/>
                  <w:shd w:val="clear" w:color="auto" w:fill="auto"/>
                  <w:vAlign w:val="center"/>
                </w:tcPr>
                <w:p>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25920</w:t>
                  </w:r>
                </w:p>
              </w:tc>
              <w:tc>
                <w:tcPr>
                  <w:tcW w:w="1032" w:type="dxa"/>
                  <w:shd w:val="clear" w:color="auto" w:fill="auto"/>
                  <w:vAlign w:val="center"/>
                </w:tcPr>
                <w:p>
                  <w:pPr>
                    <w:jc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28000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28" w:hRule="atLeast"/>
                <w:jc w:val="center"/>
              </w:trPr>
              <w:tc>
                <w:tcPr>
                  <w:tcW w:w="1451" w:type="dxa"/>
                  <w:shd w:val="clear" w:color="auto" w:fill="auto"/>
                  <w:vAlign w:val="center"/>
                </w:tcPr>
                <w:p>
                  <w:pPr>
                    <w:jc w:val="center"/>
                    <w:rPr>
                      <w:rFonts w:hint="default" w:ascii="Times New Roman" w:hAnsi="Times New Roman" w:eastAsia="宋体" w:cs="Times New Roman"/>
                      <w:color w:val="auto"/>
                      <w:kern w:val="2"/>
                      <w:sz w:val="18"/>
                      <w:szCs w:val="18"/>
                      <w:shd w:val="clear" w:color="auto" w:fill="auto"/>
                      <w:lang w:val="en-US" w:eastAsia="zh-CN" w:bidi="ar-SA"/>
                    </w:rPr>
                  </w:pPr>
                  <w:r>
                    <w:rPr>
                      <w:rFonts w:hint="eastAsia" w:cs="Times New Roman"/>
                      <w:color w:val="auto"/>
                      <w:sz w:val="18"/>
                      <w:szCs w:val="18"/>
                      <w:lang w:val="en-US" w:eastAsia="zh-CN"/>
                    </w:rPr>
                    <w:t>DA008</w:t>
                  </w:r>
                </w:p>
              </w:tc>
              <w:tc>
                <w:tcPr>
                  <w:tcW w:w="116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shd w:val="clear" w:color="auto" w:fill="auto"/>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230.4</w:t>
                  </w:r>
                </w:p>
              </w:tc>
              <w:tc>
                <w:tcPr>
                  <w:tcW w:w="1421" w:type="dxa"/>
                  <w:shd w:val="clear" w:color="auto" w:fill="auto"/>
                  <w:vAlign w:val="center"/>
                </w:tcPr>
                <w:p>
                  <w:pPr>
                    <w:jc w:val="center"/>
                    <w:rPr>
                      <w:rFonts w:hint="default" w:cs="Times New Roman"/>
                      <w:color w:val="auto"/>
                      <w:sz w:val="18"/>
                      <w:szCs w:val="18"/>
                      <w:lang w:val="en-US" w:eastAsia="zh-CN"/>
                    </w:rPr>
                  </w:pPr>
                  <w:r>
                    <w:rPr>
                      <w:rFonts w:hint="eastAsia" w:cs="Times New Roman"/>
                      <w:color w:val="auto"/>
                      <w:sz w:val="18"/>
                      <w:szCs w:val="18"/>
                      <w:lang w:val="en-US" w:eastAsia="zh-CN"/>
                    </w:rPr>
                    <w:t>13.6</w:t>
                  </w:r>
                </w:p>
              </w:tc>
              <w:tc>
                <w:tcPr>
                  <w:tcW w:w="929" w:type="dxa"/>
                  <w:shd w:val="clear" w:color="auto" w:fill="auto"/>
                  <w:vAlign w:val="center"/>
                </w:tcPr>
                <w:p>
                  <w:pPr>
                    <w:jc w:val="center"/>
                    <w:rPr>
                      <w:rFonts w:hint="default" w:cs="Times New Roman"/>
                      <w:color w:val="auto"/>
                      <w:sz w:val="18"/>
                      <w:szCs w:val="18"/>
                      <w:lang w:val="en-US" w:eastAsia="zh-CN"/>
                    </w:rPr>
                  </w:pPr>
                  <w:r>
                    <w:rPr>
                      <w:rFonts w:hint="eastAsia" w:cs="Times New Roman"/>
                      <w:color w:val="auto"/>
                      <w:sz w:val="18"/>
                      <w:szCs w:val="18"/>
                      <w:lang w:val="en-US" w:eastAsia="zh-CN"/>
                    </w:rPr>
                    <w:t>7920</w:t>
                  </w:r>
                </w:p>
              </w:tc>
              <w:tc>
                <w:tcPr>
                  <w:tcW w:w="1248" w:type="dxa"/>
                  <w:vAlign w:val="center"/>
                </w:tcPr>
                <w:p>
                  <w:pPr>
                    <w:jc w:val="center"/>
                    <w:rPr>
                      <w:rFonts w:hint="eastAsia" w:cs="Times New Roman"/>
                      <w:color w:val="auto"/>
                      <w:sz w:val="18"/>
                      <w:szCs w:val="18"/>
                      <w:lang w:val="en-US" w:eastAsia="zh-CN"/>
                    </w:rPr>
                  </w:pPr>
                  <w:r>
                    <w:rPr>
                      <w:rFonts w:hint="default" w:cs="Times New Roman"/>
                      <w:color w:val="auto"/>
                      <w:sz w:val="18"/>
                      <w:szCs w:val="18"/>
                      <w:lang w:val="en-US" w:eastAsia="zh-CN"/>
                    </w:rPr>
                    <w:t>3956.36</w:t>
                  </w:r>
                </w:p>
              </w:tc>
              <w:tc>
                <w:tcPr>
                  <w:tcW w:w="1031" w:type="dxa"/>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10080</w:t>
                  </w:r>
                </w:p>
              </w:tc>
              <w:tc>
                <w:tcPr>
                  <w:tcW w:w="103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i w:val="0"/>
                      <w:iCs w:val="0"/>
                      <w:color w:val="auto"/>
                      <w:kern w:val="0"/>
                      <w:sz w:val="18"/>
                      <w:szCs w:val="18"/>
                      <w:u w:val="none"/>
                      <w:lang w:val="en-US" w:eastAsia="zh-CN" w:bidi="ar"/>
                    </w:rPr>
                    <w:t>12000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28" w:hRule="atLeast"/>
                <w:jc w:val="center"/>
              </w:trPr>
              <w:tc>
                <w:tcPr>
                  <w:tcW w:w="1451" w:type="dxa"/>
                  <w:shd w:val="clear" w:color="auto" w:fill="auto"/>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DA004</w:t>
                  </w:r>
                </w:p>
              </w:tc>
              <w:tc>
                <w:tcPr>
                  <w:tcW w:w="1165" w:type="dxa"/>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792</w:t>
                  </w:r>
                </w:p>
              </w:tc>
              <w:tc>
                <w:tcPr>
                  <w:tcW w:w="1421" w:type="dxa"/>
                  <w:shd w:val="clear" w:color="auto" w:fill="auto"/>
                  <w:vAlign w:val="center"/>
                </w:tcPr>
                <w:p>
                  <w:pPr>
                    <w:jc w:val="center"/>
                    <w:rPr>
                      <w:rFonts w:hint="default" w:cs="Times New Roman"/>
                      <w:color w:val="auto"/>
                      <w:sz w:val="18"/>
                      <w:szCs w:val="18"/>
                      <w:lang w:val="en-US" w:eastAsia="zh-CN"/>
                    </w:rPr>
                  </w:pPr>
                  <w:r>
                    <w:rPr>
                      <w:rFonts w:hint="eastAsia" w:cs="Times New Roman"/>
                      <w:color w:val="auto"/>
                      <w:sz w:val="18"/>
                      <w:szCs w:val="18"/>
                      <w:lang w:val="en-US" w:eastAsia="zh-CN"/>
                    </w:rPr>
                    <w:t>13.6</w:t>
                  </w:r>
                </w:p>
              </w:tc>
              <w:tc>
                <w:tcPr>
                  <w:tcW w:w="929" w:type="dxa"/>
                  <w:shd w:val="clear" w:color="auto" w:fill="auto"/>
                  <w:vAlign w:val="center"/>
                </w:tcPr>
                <w:p>
                  <w:pPr>
                    <w:jc w:val="center"/>
                    <w:rPr>
                      <w:rFonts w:hint="default" w:cs="Times New Roman"/>
                      <w:color w:val="auto"/>
                      <w:sz w:val="18"/>
                      <w:szCs w:val="18"/>
                      <w:lang w:val="en-US" w:eastAsia="zh-CN"/>
                    </w:rPr>
                  </w:pPr>
                  <w:r>
                    <w:rPr>
                      <w:rFonts w:hint="eastAsia" w:cs="Times New Roman"/>
                      <w:color w:val="auto"/>
                      <w:sz w:val="18"/>
                      <w:szCs w:val="18"/>
                      <w:lang w:val="en-US" w:eastAsia="zh-CN"/>
                    </w:rPr>
                    <w:t>7920</w:t>
                  </w:r>
                </w:p>
              </w:tc>
              <w:tc>
                <w:tcPr>
                  <w:tcW w:w="1248" w:type="dxa"/>
                  <w:vAlign w:val="center"/>
                </w:tcPr>
                <w:p>
                  <w:pPr>
                    <w:jc w:val="center"/>
                    <w:rPr>
                      <w:rFonts w:hint="eastAsia" w:cs="Times New Roman"/>
                      <w:color w:val="auto"/>
                      <w:sz w:val="18"/>
                      <w:szCs w:val="18"/>
                      <w:lang w:val="en-US" w:eastAsia="zh-CN"/>
                    </w:rPr>
                  </w:pPr>
                  <w:r>
                    <w:rPr>
                      <w:rFonts w:hint="default" w:cs="Times New Roman"/>
                      <w:color w:val="auto"/>
                      <w:sz w:val="18"/>
                      <w:szCs w:val="18"/>
                      <w:lang w:val="en-US" w:eastAsia="zh-CN"/>
                    </w:rPr>
                    <w:t>13600</w:t>
                  </w:r>
                </w:p>
              </w:tc>
              <w:tc>
                <w:tcPr>
                  <w:tcW w:w="1031" w:type="dxa"/>
                  <w:vAlign w:val="center"/>
                </w:tcPr>
                <w:p>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14400</w:t>
                  </w:r>
                </w:p>
              </w:tc>
              <w:tc>
                <w:tcPr>
                  <w:tcW w:w="1032" w:type="dxa"/>
                  <w:vAlign w:val="center"/>
                </w:tcPr>
                <w:p>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color w:val="auto"/>
                      <w:sz w:val="18"/>
                      <w:szCs w:val="18"/>
                      <w:lang w:val="en-US" w:eastAsia="zh-CN"/>
                    </w:rPr>
                    <w:t>1</w:t>
                  </w:r>
                  <w:r>
                    <w:rPr>
                      <w:rFonts w:hint="eastAsia"/>
                      <w:color w:val="auto"/>
                      <w:sz w:val="18"/>
                      <w:szCs w:val="18"/>
                      <w:lang w:val="en-US" w:eastAsia="zh-CN"/>
                    </w:rPr>
                    <w:t>8</w:t>
                  </w:r>
                  <w:r>
                    <w:rPr>
                      <w:rFonts w:hint="eastAsia" w:ascii="Times New Roman" w:hAnsi="Times New Roman"/>
                      <w:color w:val="auto"/>
                      <w:sz w:val="18"/>
                      <w:szCs w:val="18"/>
                      <w:lang w:val="en-US" w:eastAsia="zh-CN"/>
                    </w:rPr>
                    <w:t>000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444" w:hRule="atLeast"/>
                <w:jc w:val="center"/>
              </w:trPr>
              <w:tc>
                <w:tcPr>
                  <w:tcW w:w="1451" w:type="dxa"/>
                  <w:shd w:val="clear" w:color="auto" w:fill="auto"/>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DA005</w:t>
                  </w:r>
                </w:p>
              </w:tc>
              <w:tc>
                <w:tcPr>
                  <w:tcW w:w="1165" w:type="dxa"/>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648</w:t>
                  </w:r>
                </w:p>
              </w:tc>
              <w:tc>
                <w:tcPr>
                  <w:tcW w:w="1421" w:type="dxa"/>
                  <w:shd w:val="clear" w:color="auto" w:fill="auto"/>
                  <w:vAlign w:val="center"/>
                </w:tcPr>
                <w:p>
                  <w:pPr>
                    <w:jc w:val="center"/>
                    <w:rPr>
                      <w:rFonts w:hint="default" w:cs="Times New Roman"/>
                      <w:color w:val="auto"/>
                      <w:sz w:val="18"/>
                      <w:szCs w:val="18"/>
                      <w:lang w:val="en-US" w:eastAsia="zh-CN"/>
                    </w:rPr>
                  </w:pPr>
                  <w:r>
                    <w:rPr>
                      <w:rFonts w:hint="eastAsia" w:cs="Times New Roman"/>
                      <w:color w:val="auto"/>
                      <w:sz w:val="18"/>
                      <w:szCs w:val="18"/>
                      <w:lang w:val="en-US" w:eastAsia="zh-CN"/>
                    </w:rPr>
                    <w:t>13.6</w:t>
                  </w:r>
                </w:p>
              </w:tc>
              <w:tc>
                <w:tcPr>
                  <w:tcW w:w="929" w:type="dxa"/>
                  <w:shd w:val="clear" w:color="auto" w:fill="auto"/>
                  <w:vAlign w:val="center"/>
                </w:tcPr>
                <w:p>
                  <w:pPr>
                    <w:jc w:val="center"/>
                    <w:rPr>
                      <w:rFonts w:hint="default" w:cs="Times New Roman"/>
                      <w:color w:val="auto"/>
                      <w:sz w:val="18"/>
                      <w:szCs w:val="18"/>
                      <w:lang w:val="en-US" w:eastAsia="zh-CN"/>
                    </w:rPr>
                  </w:pPr>
                  <w:r>
                    <w:rPr>
                      <w:rFonts w:hint="eastAsia" w:cs="Times New Roman"/>
                      <w:color w:val="auto"/>
                      <w:sz w:val="18"/>
                      <w:szCs w:val="18"/>
                      <w:lang w:val="en-US" w:eastAsia="zh-CN"/>
                    </w:rPr>
                    <w:t>7920</w:t>
                  </w:r>
                </w:p>
              </w:tc>
              <w:tc>
                <w:tcPr>
                  <w:tcW w:w="1248" w:type="dxa"/>
                  <w:vAlign w:val="center"/>
                </w:tcPr>
                <w:p>
                  <w:pPr>
                    <w:jc w:val="center"/>
                    <w:rPr>
                      <w:rFonts w:hint="eastAsia" w:cs="Times New Roman"/>
                      <w:color w:val="auto"/>
                      <w:sz w:val="18"/>
                      <w:szCs w:val="18"/>
                      <w:lang w:val="en-US" w:eastAsia="zh-CN"/>
                    </w:rPr>
                  </w:pPr>
                  <w:r>
                    <w:rPr>
                      <w:rFonts w:hint="default" w:cs="Times New Roman"/>
                      <w:color w:val="auto"/>
                      <w:sz w:val="18"/>
                      <w:szCs w:val="18"/>
                      <w:lang w:val="en-US" w:eastAsia="zh-CN"/>
                    </w:rPr>
                    <w:t>11127.27</w:t>
                  </w:r>
                </w:p>
              </w:tc>
              <w:tc>
                <w:tcPr>
                  <w:tcW w:w="1031" w:type="dxa"/>
                  <w:vAlign w:val="center"/>
                </w:tcPr>
                <w:p>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12960</w:t>
                  </w:r>
                </w:p>
              </w:tc>
              <w:tc>
                <w:tcPr>
                  <w:tcW w:w="1032" w:type="dxa"/>
                  <w:vAlign w:val="center"/>
                </w:tcPr>
                <w:p>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color w:val="auto"/>
                      <w:sz w:val="18"/>
                      <w:szCs w:val="18"/>
                      <w:lang w:val="en-US" w:eastAsia="zh-CN"/>
                    </w:rPr>
                    <w:t>15000</w:t>
                  </w:r>
                </w:p>
              </w:tc>
            </w:tr>
          </w:tbl>
          <w:p>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排放源统计调查产排污核算方法和系数手册》（公告2021年第24号）中'33-37，431-434机械行业系数手册'的计算方法所得风量需求偏小，可能未充分考虑局部变量影响，因此本项目最终采用《环境工程设计手册》（魏先勋主编）的密闭罩设计计算方法。</w:t>
            </w:r>
          </w:p>
          <w:p>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②全厂</w:t>
            </w:r>
            <w:r>
              <w:rPr>
                <w:rFonts w:hint="eastAsia" w:ascii="Times New Roman" w:eastAsia="宋体" w:cs="Times New Roman"/>
                <w:b w:val="0"/>
                <w:bCs/>
                <w:color w:val="auto"/>
                <w:kern w:val="2"/>
                <w:sz w:val="21"/>
                <w:szCs w:val="21"/>
                <w:lang w:eastAsia="zh-CN"/>
              </w:rPr>
              <w:t>下料</w:t>
            </w:r>
            <w:r>
              <w:rPr>
                <w:rFonts w:hint="eastAsia" w:ascii="Times New Roman" w:hAnsi="Times New Roman" w:eastAsia="宋体" w:cs="Times New Roman"/>
                <w:b w:val="0"/>
                <w:bCs w:val="0"/>
                <w:color w:val="auto"/>
                <w:kern w:val="2"/>
                <w:sz w:val="21"/>
                <w:szCs w:val="24"/>
                <w:lang w:val="en-US" w:eastAsia="zh-CN" w:bidi="ar-SA"/>
              </w:rPr>
              <w:t>切割粉尘</w:t>
            </w:r>
            <w:r>
              <w:rPr>
                <w:rFonts w:hint="default" w:ascii="Times New Roman" w:hAnsi="Times New Roman" w:cs="Times New Roman"/>
                <w:color w:val="auto"/>
                <w:sz w:val="21"/>
                <w:szCs w:val="21"/>
              </w:rPr>
              <w:t>通过集气罩收集后进入废气处理装置，根据各设备实际尺寸分别计算集气罩的尺寸和收集风量。</w:t>
            </w:r>
          </w:p>
          <w:p>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rPr>
                <w:rFonts w:hint="default" w:ascii="Times New Roman" w:hAnsi="Times New Roman" w:cs="Times New Roman"/>
                <w:bCs/>
                <w:color w:val="auto"/>
                <w:sz w:val="21"/>
                <w:szCs w:val="21"/>
              </w:rPr>
            </w:pPr>
            <w:r>
              <w:rPr>
                <w:rFonts w:hint="default" w:ascii="Times New Roman" w:hAnsi="Times New Roman" w:cs="Times New Roman"/>
                <w:color w:val="auto"/>
                <w:sz w:val="21"/>
                <w:szCs w:val="21"/>
              </w:rPr>
              <w:t>根据《通风除尘》（1988年第3期）《局部排气管的捕集效率实验》，集气罩与污染源之间的距离对捕集效率有极大的影响，集气罩与污染源距离从0.3m增为1.5m，集气罩的捕集效率从97.6%降为55.0%。项目采用的集气罩离污染源距离设计为0.3m左右，集气罩收集废气效率可达9</w:t>
            </w:r>
            <w:r>
              <w:rPr>
                <w:rFonts w:hint="eastAsia"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%可信。</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L=3600*F*V</w:t>
            </w:r>
          </w:p>
          <w:p>
            <w:pPr>
              <w:adjustRightInd w:val="0"/>
              <w:snapToGrid w:val="0"/>
              <w:spacing w:line="480" w:lineRule="exact"/>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L为风量，单位m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/h；</w:t>
            </w:r>
          </w:p>
          <w:p>
            <w:pPr>
              <w:adjustRightInd w:val="0"/>
              <w:snapToGrid w:val="0"/>
              <w:spacing w:line="480" w:lineRule="exact"/>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F为密闭罩口截面积，单位m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w:t>
            </w:r>
          </w:p>
          <w:p>
            <w:pPr>
              <w:adjustRightInd w:val="0"/>
              <w:snapToGrid w:val="0"/>
              <w:spacing w:line="480" w:lineRule="exact"/>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V为垂直于密闭罩面的平均风速，一般选择0.25~0.5m/s，本次取0.</w:t>
            </w:r>
            <w:r>
              <w:rPr>
                <w:rFonts w:hint="eastAsia"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rPr>
              <w:t>；</w:t>
            </w:r>
          </w:p>
          <w:p>
            <w:pPr>
              <w:adjustRightInd w:val="0"/>
              <w:snapToGrid w:val="0"/>
              <w:spacing w:line="480" w:lineRule="exact"/>
              <w:ind w:firstLine="422" w:firstLineChars="20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表</w:t>
            </w:r>
            <w:r>
              <w:rPr>
                <w:rFonts w:hint="eastAsia" w:ascii="Times New Roman" w:hAnsi="Times New Roman" w:cs="Times New Roman"/>
                <w:b/>
                <w:color w:val="auto"/>
                <w:sz w:val="21"/>
                <w:szCs w:val="21"/>
                <w:lang w:val="en-US" w:eastAsia="zh-CN"/>
              </w:rPr>
              <w:t>4-</w:t>
            </w:r>
            <w:r>
              <w:rPr>
                <w:rFonts w:hint="eastAsia" w:cs="Times New Roman"/>
                <w:b/>
                <w:color w:val="auto"/>
                <w:sz w:val="21"/>
                <w:szCs w:val="21"/>
                <w:lang w:val="en-US" w:eastAsia="zh-CN"/>
              </w:rPr>
              <w:t>8</w:t>
            </w:r>
            <w:r>
              <w:rPr>
                <w:rFonts w:hint="default" w:ascii="Times New Roman" w:hAnsi="Times New Roman" w:cs="Times New Roman"/>
                <w:b/>
                <w:color w:val="auto"/>
                <w:sz w:val="21"/>
                <w:szCs w:val="21"/>
              </w:rPr>
              <w:t xml:space="preserve"> 集气罩设置及风量计算情况表</w:t>
            </w:r>
          </w:p>
          <w:tbl>
            <w:tblPr>
              <w:tblStyle w:val="21"/>
              <w:tblW w:w="492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51"/>
              <w:gridCol w:w="699"/>
              <w:gridCol w:w="1662"/>
              <w:gridCol w:w="856"/>
              <w:gridCol w:w="1144"/>
              <w:gridCol w:w="1149"/>
              <w:gridCol w:w="1204"/>
              <w:gridCol w:w="7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342" w:type="pct"/>
                  <w:tcBorders>
                    <w:tl2br w:val="nil"/>
                    <w:tr2bl w:val="nil"/>
                  </w:tcBorders>
                  <w:noWrap w:val="0"/>
                  <w:vAlign w:val="center"/>
                </w:tcPr>
                <w:p>
                  <w:pPr>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序号</w:t>
                  </w:r>
                </w:p>
              </w:tc>
              <w:tc>
                <w:tcPr>
                  <w:tcW w:w="1469" w:type="pct"/>
                  <w:gridSpan w:val="2"/>
                  <w:tcBorders>
                    <w:tl2br w:val="nil"/>
                    <w:tr2bl w:val="nil"/>
                  </w:tcBorders>
                  <w:noWrap w:val="0"/>
                  <w:vAlign w:val="center"/>
                </w:tcPr>
                <w:p>
                  <w:pPr>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污染源</w:t>
                  </w:r>
                </w:p>
              </w:tc>
              <w:tc>
                <w:tcPr>
                  <w:tcW w:w="532" w:type="pct"/>
                  <w:tcBorders>
                    <w:tl2br w:val="nil"/>
                    <w:tr2bl w:val="nil"/>
                  </w:tcBorders>
                  <w:noWrap w:val="0"/>
                  <w:vAlign w:val="center"/>
                </w:tcPr>
                <w:p>
                  <w:pPr>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集气罩</w:t>
                  </w:r>
                  <w:r>
                    <w:rPr>
                      <w:rFonts w:hint="eastAsia" w:ascii="Times New Roman" w:hAnsi="Times New Roman" w:cs="Times New Roman"/>
                      <w:color w:val="auto"/>
                      <w:sz w:val="18"/>
                      <w:szCs w:val="18"/>
                      <w:lang w:val="en-US" w:eastAsia="zh-CN"/>
                    </w:rPr>
                    <w:t>/通风柜</w:t>
                  </w:r>
                  <w:r>
                    <w:rPr>
                      <w:rFonts w:hint="default" w:ascii="Times New Roman" w:hAnsi="Times New Roman" w:cs="Times New Roman"/>
                      <w:color w:val="auto"/>
                      <w:sz w:val="18"/>
                      <w:szCs w:val="18"/>
                    </w:rPr>
                    <w:t>数量</w:t>
                  </w:r>
                </w:p>
              </w:tc>
              <w:tc>
                <w:tcPr>
                  <w:tcW w:w="711" w:type="pct"/>
                  <w:tcBorders>
                    <w:tl2br w:val="nil"/>
                    <w:tr2bl w:val="nil"/>
                  </w:tcBorders>
                  <w:noWrap w:val="0"/>
                  <w:vAlign w:val="center"/>
                </w:tcPr>
                <w:p>
                  <w:pPr>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集气罩尺寸（m）</w:t>
                  </w:r>
                </w:p>
              </w:tc>
              <w:tc>
                <w:tcPr>
                  <w:tcW w:w="714" w:type="pct"/>
                  <w:tcBorders>
                    <w:tl2br w:val="nil"/>
                    <w:tr2bl w:val="nil"/>
                  </w:tcBorders>
                  <w:noWrap w:val="0"/>
                  <w:vAlign w:val="center"/>
                </w:tcPr>
                <w:p>
                  <w:pPr>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需求风量（m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/h）</w:t>
                  </w:r>
                </w:p>
              </w:tc>
              <w:tc>
                <w:tcPr>
                  <w:tcW w:w="749" w:type="pct"/>
                  <w:tcBorders>
                    <w:tl2br w:val="nil"/>
                    <w:tr2bl w:val="nil"/>
                  </w:tcBorders>
                  <w:noWrap w:val="0"/>
                  <w:vAlign w:val="center"/>
                </w:tcPr>
                <w:p>
                  <w:pPr>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设计风量（m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/h）</w:t>
                  </w:r>
                </w:p>
              </w:tc>
              <w:tc>
                <w:tcPr>
                  <w:tcW w:w="479" w:type="pct"/>
                  <w:tcBorders>
                    <w:tl2br w:val="nil"/>
                    <w:tr2bl w:val="nil"/>
                  </w:tcBorders>
                  <w:noWrap w:val="0"/>
                  <w:vAlign w:val="center"/>
                </w:tcPr>
                <w:p>
                  <w:pPr>
                    <w:spacing w:line="300" w:lineRule="exact"/>
                    <w:jc w:val="center"/>
                    <w:rPr>
                      <w:rFonts w:hint="default" w:ascii="Times New Roman" w:hAnsi="Times New Roman" w:cs="Times New Roman"/>
                      <w:color w:val="auto"/>
                      <w:sz w:val="18"/>
                      <w:szCs w:val="18"/>
                    </w:rPr>
                  </w:pPr>
                  <w:r>
                    <w:rPr>
                      <w:rFonts w:hint="eastAsia"/>
                      <w:color w:val="auto"/>
                      <w:sz w:val="18"/>
                      <w:szCs w:val="18"/>
                      <w:lang w:eastAsia="zh-CN"/>
                    </w:rPr>
                    <w:t>排气筒编号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42" w:type="pct"/>
                  <w:tcBorders>
                    <w:tl2br w:val="nil"/>
                    <w:tr2bl w:val="nil"/>
                  </w:tcBorders>
                  <w:noWrap w:val="0"/>
                  <w:vAlign w:val="center"/>
                </w:tcPr>
                <w:p>
                  <w:pPr>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434" w:type="pct"/>
                  <w:vMerge w:val="restart"/>
                  <w:tcBorders>
                    <w:tl2br w:val="nil"/>
                    <w:tr2bl w:val="nil"/>
                  </w:tcBorders>
                  <w:noWrap w:val="0"/>
                  <w:vAlign w:val="center"/>
                </w:tcPr>
                <w:p>
                  <w:pPr>
                    <w:spacing w:line="30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下料切割</w:t>
                  </w:r>
                </w:p>
              </w:tc>
              <w:tc>
                <w:tcPr>
                  <w:tcW w:w="1034" w:type="pct"/>
                  <w:tcBorders>
                    <w:tl2br w:val="nil"/>
                    <w:tr2bl w:val="nil"/>
                  </w:tcBorders>
                  <w:noWrap w:val="0"/>
                  <w:vAlign w:val="center"/>
                </w:tcPr>
                <w:p>
                  <w:pPr>
                    <w:jc w:val="center"/>
                    <w:rPr>
                      <w:rFonts w:hint="default" w:ascii="Times New Roman" w:hAnsi="Times New Roman" w:cs="Times New Roman"/>
                      <w:color w:val="auto"/>
                      <w:sz w:val="18"/>
                      <w:szCs w:val="18"/>
                    </w:rPr>
                  </w:pPr>
                  <w:r>
                    <w:rPr>
                      <w:rFonts w:hint="eastAsia" w:ascii="Times New Roman" w:hAnsi="Times New Roman" w:cs="Times New Roman"/>
                      <w:color w:val="auto"/>
                      <w:kern w:val="2"/>
                      <w:sz w:val="18"/>
                      <w:szCs w:val="18"/>
                      <w:lang w:val="en-US" w:eastAsia="zh-CN" w:bidi="ar-SA"/>
                    </w:rPr>
                    <w:t>卧式金属带锯床</w:t>
                  </w:r>
                </w:p>
              </w:tc>
              <w:tc>
                <w:tcPr>
                  <w:tcW w:w="532" w:type="pct"/>
                  <w:tcBorders>
                    <w:tl2br w:val="nil"/>
                    <w:tr2bl w:val="nil"/>
                  </w:tcBorders>
                  <w:noWrap w:val="0"/>
                  <w:vAlign w:val="center"/>
                </w:tcPr>
                <w:p>
                  <w:pPr>
                    <w:jc w:val="center"/>
                    <w:rPr>
                      <w:rFonts w:hint="default" w:ascii="Times New Roman" w:hAnsi="Times New Roman" w:cs="Times New Roman"/>
                      <w:color w:val="auto"/>
                      <w:sz w:val="18"/>
                      <w:szCs w:val="18"/>
                    </w:rPr>
                  </w:pPr>
                  <w:r>
                    <w:rPr>
                      <w:rFonts w:hint="eastAsia" w:cs="Times New Roman"/>
                      <w:color w:val="auto"/>
                      <w:kern w:val="2"/>
                      <w:sz w:val="18"/>
                      <w:szCs w:val="18"/>
                      <w:lang w:val="en-US" w:eastAsia="zh-CN" w:bidi="ar-SA"/>
                    </w:rPr>
                    <w:t>15</w:t>
                  </w:r>
                </w:p>
              </w:tc>
              <w:tc>
                <w:tcPr>
                  <w:tcW w:w="711" w:type="pct"/>
                  <w:tcBorders>
                    <w:tl2br w:val="nil"/>
                    <w:tr2bl w:val="nil"/>
                  </w:tcBorders>
                  <w:noWrap w:val="0"/>
                  <w:vAlign w:val="center"/>
                </w:tcPr>
                <w:p>
                  <w:pPr>
                    <w:spacing w:line="30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1*0.6</w:t>
                  </w:r>
                </w:p>
              </w:tc>
              <w:tc>
                <w:tcPr>
                  <w:tcW w:w="714" w:type="pct"/>
                  <w:tcBorders>
                    <w:tl2br w:val="nil"/>
                    <w:tr2bl w:val="nil"/>
                  </w:tcBorders>
                  <w:noWrap w:val="0"/>
                  <w:vAlign w:val="center"/>
                </w:tcPr>
                <w:p>
                  <w:pPr>
                    <w:spacing w:line="30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9720</w:t>
                  </w:r>
                </w:p>
              </w:tc>
              <w:tc>
                <w:tcPr>
                  <w:tcW w:w="749" w:type="pct"/>
                  <w:vMerge w:val="restart"/>
                  <w:tcBorders>
                    <w:tl2br w:val="nil"/>
                    <w:tr2bl w:val="nil"/>
                  </w:tcBorders>
                  <w:noWrap w:val="0"/>
                  <w:vAlign w:val="center"/>
                </w:tcPr>
                <w:p>
                  <w:pPr>
                    <w:spacing w:line="30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20000</w:t>
                  </w:r>
                </w:p>
              </w:tc>
              <w:tc>
                <w:tcPr>
                  <w:tcW w:w="479" w:type="pct"/>
                  <w:vMerge w:val="restart"/>
                  <w:tcBorders>
                    <w:tl2br w:val="nil"/>
                    <w:tr2bl w:val="nil"/>
                  </w:tcBorders>
                  <w:noWrap w:val="0"/>
                  <w:vAlign w:val="center"/>
                </w:tcPr>
                <w:p>
                  <w:pPr>
                    <w:spacing w:line="300" w:lineRule="exact"/>
                    <w:jc w:val="center"/>
                    <w:rPr>
                      <w:rFonts w:hint="default" w:ascii="Times New Roman" w:hAnsi="Times New Roman" w:cs="Times New Roman"/>
                      <w:color w:val="auto"/>
                      <w:sz w:val="18"/>
                      <w:szCs w:val="18"/>
                    </w:rPr>
                  </w:pPr>
                  <w:r>
                    <w:rPr>
                      <w:rFonts w:hint="eastAsia" w:cs="Times New Roman"/>
                      <w:color w:val="auto"/>
                      <w:sz w:val="18"/>
                      <w:szCs w:val="18"/>
                      <w:lang w:val="en-US" w:eastAsia="zh-CN"/>
                    </w:rPr>
                    <w:t>DA009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42" w:type="pct"/>
                  <w:tcBorders>
                    <w:tl2br w:val="nil"/>
                    <w:tr2bl w:val="nil"/>
                  </w:tcBorders>
                  <w:noWrap w:val="0"/>
                  <w:vAlign w:val="center"/>
                </w:tcPr>
                <w:p>
                  <w:pPr>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434" w:type="pct"/>
                  <w:vMerge w:val="continue"/>
                  <w:tcBorders>
                    <w:tl2br w:val="nil"/>
                    <w:tr2bl w:val="nil"/>
                  </w:tcBorders>
                  <w:noWrap w:val="0"/>
                  <w:vAlign w:val="center"/>
                </w:tcPr>
                <w:p>
                  <w:pPr>
                    <w:spacing w:line="300" w:lineRule="exact"/>
                    <w:jc w:val="center"/>
                    <w:rPr>
                      <w:rFonts w:hint="default" w:ascii="Times New Roman" w:hAnsi="Times New Roman" w:cs="Times New Roman"/>
                      <w:color w:val="auto"/>
                      <w:sz w:val="18"/>
                      <w:szCs w:val="18"/>
                    </w:rPr>
                  </w:pPr>
                </w:p>
              </w:tc>
              <w:tc>
                <w:tcPr>
                  <w:tcW w:w="1034" w:type="pct"/>
                  <w:tcBorders>
                    <w:tl2br w:val="nil"/>
                    <w:tr2bl w:val="nil"/>
                  </w:tcBorders>
                  <w:noWrap w:val="0"/>
                  <w:vAlign w:val="center"/>
                </w:tcPr>
                <w:p>
                  <w:pPr>
                    <w:jc w:val="center"/>
                    <w:rPr>
                      <w:rFonts w:hint="default" w:ascii="Times New Roman" w:hAnsi="Times New Roman" w:cs="Times New Roman"/>
                      <w:color w:val="auto"/>
                      <w:sz w:val="18"/>
                      <w:szCs w:val="18"/>
                    </w:rPr>
                  </w:pPr>
                  <w:r>
                    <w:rPr>
                      <w:rFonts w:hint="eastAsia" w:ascii="Times New Roman" w:hAnsi="Times New Roman" w:cs="Times New Roman"/>
                      <w:color w:val="auto"/>
                      <w:kern w:val="2"/>
                      <w:sz w:val="18"/>
                      <w:szCs w:val="18"/>
                      <w:lang w:val="en-US" w:eastAsia="zh-CN" w:bidi="ar-SA"/>
                    </w:rPr>
                    <w:t>立式金属带锯床</w:t>
                  </w:r>
                </w:p>
              </w:tc>
              <w:tc>
                <w:tcPr>
                  <w:tcW w:w="532" w:type="pct"/>
                  <w:tcBorders>
                    <w:tl2br w:val="nil"/>
                    <w:tr2bl w:val="nil"/>
                  </w:tcBorders>
                  <w:noWrap w:val="0"/>
                  <w:vAlign w:val="center"/>
                </w:tcPr>
                <w:p>
                  <w:pPr>
                    <w:jc w:val="center"/>
                    <w:rPr>
                      <w:rFonts w:hint="eastAsia" w:ascii="Times New Roman" w:hAnsi="Times New Roman" w:eastAsia="宋体" w:cs="Times New Roman"/>
                      <w:color w:val="auto"/>
                      <w:sz w:val="18"/>
                      <w:szCs w:val="18"/>
                      <w:lang w:eastAsia="zh-CN"/>
                    </w:rPr>
                  </w:pPr>
                  <w:r>
                    <w:rPr>
                      <w:rFonts w:hint="eastAsia" w:cs="Times New Roman"/>
                      <w:color w:val="auto"/>
                      <w:kern w:val="2"/>
                      <w:sz w:val="18"/>
                      <w:szCs w:val="18"/>
                      <w:lang w:val="en-US" w:eastAsia="zh-CN" w:bidi="ar-SA"/>
                    </w:rPr>
                    <w:t>10</w:t>
                  </w:r>
                </w:p>
              </w:tc>
              <w:tc>
                <w:tcPr>
                  <w:tcW w:w="711" w:type="pct"/>
                  <w:tcBorders>
                    <w:tl2br w:val="nil"/>
                    <w:tr2bl w:val="nil"/>
                  </w:tcBorders>
                  <w:noWrap w:val="0"/>
                  <w:vAlign w:val="center"/>
                </w:tcPr>
                <w:p>
                  <w:pPr>
                    <w:spacing w:line="30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0.8*0.5</w:t>
                  </w:r>
                </w:p>
              </w:tc>
              <w:tc>
                <w:tcPr>
                  <w:tcW w:w="714" w:type="pct"/>
                  <w:tcBorders>
                    <w:tl2br w:val="nil"/>
                    <w:tr2bl w:val="nil"/>
                  </w:tcBorders>
                  <w:noWrap w:val="0"/>
                  <w:vAlign w:val="center"/>
                </w:tcPr>
                <w:p>
                  <w:pPr>
                    <w:spacing w:line="30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4320</w:t>
                  </w:r>
                </w:p>
              </w:tc>
              <w:tc>
                <w:tcPr>
                  <w:tcW w:w="749" w:type="pct"/>
                  <w:vMerge w:val="continue"/>
                  <w:tcBorders>
                    <w:tl2br w:val="nil"/>
                    <w:tr2bl w:val="nil"/>
                  </w:tcBorders>
                  <w:noWrap w:val="0"/>
                  <w:vAlign w:val="center"/>
                </w:tcPr>
                <w:p>
                  <w:pPr>
                    <w:spacing w:line="300" w:lineRule="exact"/>
                    <w:jc w:val="center"/>
                    <w:rPr>
                      <w:rFonts w:hint="default" w:ascii="Times New Roman" w:hAnsi="Times New Roman" w:cs="Times New Roman"/>
                      <w:color w:val="auto"/>
                      <w:sz w:val="18"/>
                      <w:szCs w:val="18"/>
                    </w:rPr>
                  </w:pPr>
                </w:p>
              </w:tc>
              <w:tc>
                <w:tcPr>
                  <w:tcW w:w="479" w:type="pct"/>
                  <w:vMerge w:val="continue"/>
                  <w:tcBorders>
                    <w:tl2br w:val="nil"/>
                    <w:tr2bl w:val="nil"/>
                  </w:tcBorders>
                  <w:noWrap w:val="0"/>
                  <w:vAlign w:val="center"/>
                </w:tcPr>
                <w:p>
                  <w:pPr>
                    <w:spacing w:line="300" w:lineRule="exact"/>
                    <w:jc w:val="center"/>
                    <w:rPr>
                      <w:rFonts w:hint="default" w:ascii="Times New Roman" w:hAnsi="Times New Roman" w:cs="Times New Roman"/>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42" w:type="pct"/>
                  <w:tcBorders>
                    <w:tl2br w:val="nil"/>
                    <w:tr2bl w:val="nil"/>
                  </w:tcBorders>
                  <w:noWrap w:val="0"/>
                  <w:vAlign w:val="center"/>
                </w:tcPr>
                <w:p>
                  <w:pPr>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434" w:type="pct"/>
                  <w:vMerge w:val="continue"/>
                  <w:tcBorders>
                    <w:tl2br w:val="nil"/>
                    <w:tr2bl w:val="nil"/>
                  </w:tcBorders>
                  <w:noWrap w:val="0"/>
                  <w:vAlign w:val="center"/>
                </w:tcPr>
                <w:p>
                  <w:pPr>
                    <w:spacing w:line="300" w:lineRule="exact"/>
                    <w:jc w:val="center"/>
                    <w:rPr>
                      <w:rFonts w:hint="default" w:ascii="Times New Roman" w:hAnsi="Times New Roman" w:cs="Times New Roman"/>
                      <w:color w:val="auto"/>
                      <w:sz w:val="18"/>
                      <w:szCs w:val="18"/>
                    </w:rPr>
                  </w:pPr>
                </w:p>
              </w:tc>
              <w:tc>
                <w:tcPr>
                  <w:tcW w:w="1034" w:type="pct"/>
                  <w:tcBorders>
                    <w:tl2br w:val="nil"/>
                    <w:tr2bl w:val="nil"/>
                  </w:tcBorders>
                  <w:noWrap w:val="0"/>
                  <w:vAlign w:val="center"/>
                </w:tcPr>
                <w:p>
                  <w:pPr>
                    <w:jc w:val="center"/>
                    <w:rPr>
                      <w:rFonts w:hint="default" w:ascii="Times New Roman" w:hAnsi="Times New Roman" w:cs="Times New Roman"/>
                      <w:color w:val="auto"/>
                      <w:sz w:val="18"/>
                      <w:szCs w:val="18"/>
                    </w:rPr>
                  </w:pPr>
                  <w:r>
                    <w:rPr>
                      <w:rFonts w:hint="eastAsia" w:ascii="Times New Roman" w:hAnsi="Times New Roman" w:cs="Times New Roman"/>
                      <w:color w:val="auto"/>
                      <w:kern w:val="2"/>
                      <w:sz w:val="18"/>
                      <w:szCs w:val="18"/>
                      <w:lang w:val="en-US" w:eastAsia="zh-CN" w:bidi="ar-SA"/>
                    </w:rPr>
                    <w:t>龙门卧式带锯床</w:t>
                  </w:r>
                </w:p>
              </w:tc>
              <w:tc>
                <w:tcPr>
                  <w:tcW w:w="532" w:type="pct"/>
                  <w:tcBorders>
                    <w:tl2br w:val="nil"/>
                    <w:tr2bl w:val="nil"/>
                  </w:tcBorders>
                  <w:noWrap w:val="0"/>
                  <w:vAlign w:val="center"/>
                </w:tcPr>
                <w:p>
                  <w:pPr>
                    <w:jc w:val="center"/>
                    <w:rPr>
                      <w:rFonts w:hint="default" w:ascii="Times New Roman" w:hAnsi="Times New Roman" w:cs="Times New Roman"/>
                      <w:color w:val="auto"/>
                      <w:sz w:val="18"/>
                      <w:szCs w:val="18"/>
                    </w:rPr>
                  </w:pPr>
                  <w:r>
                    <w:rPr>
                      <w:rFonts w:hint="eastAsia" w:cs="Times New Roman"/>
                      <w:color w:val="auto"/>
                      <w:kern w:val="2"/>
                      <w:sz w:val="18"/>
                      <w:szCs w:val="18"/>
                      <w:lang w:val="en-US" w:eastAsia="zh-CN" w:bidi="ar-SA"/>
                    </w:rPr>
                    <w:t>1</w:t>
                  </w:r>
                </w:p>
              </w:tc>
              <w:tc>
                <w:tcPr>
                  <w:tcW w:w="711" w:type="pct"/>
                  <w:tcBorders>
                    <w:tl2br w:val="nil"/>
                    <w:tr2bl w:val="nil"/>
                  </w:tcBorders>
                  <w:noWrap w:val="0"/>
                  <w:vAlign w:val="center"/>
                </w:tcPr>
                <w:p>
                  <w:pPr>
                    <w:spacing w:line="300" w:lineRule="exact"/>
                    <w:jc w:val="center"/>
                    <w:rPr>
                      <w:rFonts w:hint="default" w:ascii="Times New Roman" w:hAnsi="Times New Roman" w:cs="Times New Roman"/>
                      <w:color w:val="auto"/>
                      <w:sz w:val="18"/>
                      <w:szCs w:val="18"/>
                      <w:lang w:val="en-US"/>
                    </w:rPr>
                  </w:pPr>
                  <w:r>
                    <w:rPr>
                      <w:rFonts w:hint="eastAsia" w:ascii="Times New Roman" w:hAnsi="Times New Roman" w:cs="Times New Roman"/>
                      <w:color w:val="auto"/>
                      <w:sz w:val="18"/>
                      <w:szCs w:val="18"/>
                      <w:lang w:val="en-US" w:eastAsia="zh-CN"/>
                    </w:rPr>
                    <w:t>1.2*1</w:t>
                  </w:r>
                </w:p>
              </w:tc>
              <w:tc>
                <w:tcPr>
                  <w:tcW w:w="714" w:type="pct"/>
                  <w:tcBorders>
                    <w:tl2br w:val="nil"/>
                    <w:tr2bl w:val="nil"/>
                  </w:tcBorders>
                  <w:noWrap w:val="0"/>
                  <w:vAlign w:val="center"/>
                </w:tcPr>
                <w:p>
                  <w:pPr>
                    <w:spacing w:line="30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1296</w:t>
                  </w:r>
                </w:p>
              </w:tc>
              <w:tc>
                <w:tcPr>
                  <w:tcW w:w="749" w:type="pct"/>
                  <w:vMerge w:val="continue"/>
                  <w:tcBorders>
                    <w:tl2br w:val="nil"/>
                    <w:tr2bl w:val="nil"/>
                  </w:tcBorders>
                  <w:noWrap w:val="0"/>
                  <w:vAlign w:val="center"/>
                </w:tcPr>
                <w:p>
                  <w:pPr>
                    <w:spacing w:line="300" w:lineRule="exact"/>
                    <w:jc w:val="center"/>
                    <w:rPr>
                      <w:rFonts w:hint="default" w:ascii="Times New Roman" w:hAnsi="Times New Roman" w:cs="Times New Roman"/>
                      <w:color w:val="auto"/>
                      <w:sz w:val="18"/>
                      <w:szCs w:val="18"/>
                    </w:rPr>
                  </w:pPr>
                </w:p>
              </w:tc>
              <w:tc>
                <w:tcPr>
                  <w:tcW w:w="479" w:type="pct"/>
                  <w:vMerge w:val="continue"/>
                  <w:tcBorders>
                    <w:tl2br w:val="nil"/>
                    <w:tr2bl w:val="nil"/>
                  </w:tcBorders>
                  <w:noWrap w:val="0"/>
                  <w:vAlign w:val="center"/>
                </w:tcPr>
                <w:p>
                  <w:pPr>
                    <w:spacing w:line="300" w:lineRule="exact"/>
                    <w:jc w:val="center"/>
                    <w:rPr>
                      <w:rFonts w:hint="default" w:ascii="Times New Roman" w:hAnsi="Times New Roman" w:cs="Times New Roman"/>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42" w:type="pct"/>
                  <w:tcBorders>
                    <w:tl2br w:val="nil"/>
                    <w:tr2bl w:val="nil"/>
                  </w:tcBorders>
                  <w:noWrap w:val="0"/>
                  <w:vAlign w:val="center"/>
                </w:tcPr>
                <w:p>
                  <w:pPr>
                    <w:spacing w:line="300" w:lineRule="exact"/>
                    <w:jc w:val="center"/>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4</w:t>
                  </w:r>
                </w:p>
              </w:tc>
              <w:tc>
                <w:tcPr>
                  <w:tcW w:w="434" w:type="pct"/>
                  <w:vMerge w:val="continue"/>
                  <w:tcBorders>
                    <w:tl2br w:val="nil"/>
                    <w:tr2bl w:val="nil"/>
                  </w:tcBorders>
                  <w:noWrap w:val="0"/>
                  <w:vAlign w:val="center"/>
                </w:tcPr>
                <w:p>
                  <w:pPr>
                    <w:spacing w:line="300" w:lineRule="exact"/>
                    <w:jc w:val="center"/>
                    <w:rPr>
                      <w:rFonts w:hint="default" w:ascii="Times New Roman" w:hAnsi="Times New Roman" w:cs="Times New Roman"/>
                      <w:color w:val="auto"/>
                      <w:sz w:val="18"/>
                      <w:szCs w:val="18"/>
                    </w:rPr>
                  </w:pPr>
                </w:p>
              </w:tc>
              <w:tc>
                <w:tcPr>
                  <w:tcW w:w="1034" w:type="pct"/>
                  <w:tcBorders>
                    <w:tl2br w:val="nil"/>
                    <w:tr2bl w:val="nil"/>
                  </w:tcBorders>
                  <w:noWrap w:val="0"/>
                  <w:vAlign w:val="center"/>
                </w:tcPr>
                <w:p>
                  <w:pPr>
                    <w:jc w:val="center"/>
                    <w:rPr>
                      <w:rFonts w:hint="eastAsia" w:ascii="Times New Roman" w:hAnsi="Times New Roman"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双柱卧式带锯床</w:t>
                  </w:r>
                </w:p>
              </w:tc>
              <w:tc>
                <w:tcPr>
                  <w:tcW w:w="532" w:type="pct"/>
                  <w:tcBorders>
                    <w:tl2br w:val="nil"/>
                    <w:tr2bl w:val="nil"/>
                  </w:tcBorders>
                  <w:noWrap w:val="0"/>
                  <w:vAlign w:val="center"/>
                </w:tcPr>
                <w:p>
                  <w:pPr>
                    <w:spacing w:line="300" w:lineRule="exact"/>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5</w:t>
                  </w:r>
                </w:p>
              </w:tc>
              <w:tc>
                <w:tcPr>
                  <w:tcW w:w="711" w:type="pct"/>
                  <w:tcBorders>
                    <w:tl2br w:val="nil"/>
                    <w:tr2bl w:val="nil"/>
                  </w:tcBorders>
                  <w:noWrap w:val="0"/>
                  <w:vAlign w:val="center"/>
                </w:tcPr>
                <w:p>
                  <w:pPr>
                    <w:spacing w:line="300" w:lineRule="exact"/>
                    <w:jc w:val="center"/>
                    <w:rPr>
                      <w:rFonts w:hint="default" w:ascii="Times New Roman" w:hAnsi="Times New Roman" w:cs="Times New Roman"/>
                      <w:color w:val="auto"/>
                      <w:sz w:val="18"/>
                      <w:szCs w:val="18"/>
                      <w:lang w:val="en-US"/>
                    </w:rPr>
                  </w:pPr>
                  <w:r>
                    <w:rPr>
                      <w:rFonts w:hint="eastAsia" w:ascii="Times New Roman" w:hAnsi="Times New Roman" w:cs="Times New Roman"/>
                      <w:color w:val="auto"/>
                      <w:sz w:val="18"/>
                      <w:szCs w:val="18"/>
                      <w:lang w:val="en-US" w:eastAsia="zh-CN"/>
                    </w:rPr>
                    <w:t>0.8*0.6</w:t>
                  </w:r>
                </w:p>
              </w:tc>
              <w:tc>
                <w:tcPr>
                  <w:tcW w:w="714" w:type="pct"/>
                  <w:tcBorders>
                    <w:tl2br w:val="nil"/>
                    <w:tr2bl w:val="nil"/>
                  </w:tcBorders>
                  <w:noWrap w:val="0"/>
                  <w:vAlign w:val="center"/>
                </w:tcPr>
                <w:p>
                  <w:pPr>
                    <w:spacing w:line="300" w:lineRule="exact"/>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2592</w:t>
                  </w:r>
                </w:p>
              </w:tc>
              <w:tc>
                <w:tcPr>
                  <w:tcW w:w="749" w:type="pct"/>
                  <w:vMerge w:val="continue"/>
                  <w:tcBorders>
                    <w:tl2br w:val="nil"/>
                    <w:tr2bl w:val="nil"/>
                  </w:tcBorders>
                  <w:noWrap w:val="0"/>
                  <w:vAlign w:val="center"/>
                </w:tcPr>
                <w:p>
                  <w:pPr>
                    <w:spacing w:line="300" w:lineRule="exact"/>
                    <w:jc w:val="center"/>
                    <w:rPr>
                      <w:rFonts w:hint="default" w:ascii="Times New Roman" w:hAnsi="Times New Roman" w:cs="Times New Roman"/>
                      <w:color w:val="auto"/>
                      <w:sz w:val="18"/>
                      <w:szCs w:val="18"/>
                    </w:rPr>
                  </w:pPr>
                </w:p>
              </w:tc>
              <w:tc>
                <w:tcPr>
                  <w:tcW w:w="479" w:type="pct"/>
                  <w:vMerge w:val="continue"/>
                  <w:tcBorders>
                    <w:tl2br w:val="nil"/>
                    <w:tr2bl w:val="nil"/>
                  </w:tcBorders>
                  <w:noWrap w:val="0"/>
                  <w:vAlign w:val="center"/>
                </w:tcPr>
                <w:p>
                  <w:pPr>
                    <w:spacing w:line="300" w:lineRule="exact"/>
                    <w:jc w:val="center"/>
                    <w:rPr>
                      <w:rFonts w:hint="default" w:ascii="Times New Roman" w:hAnsi="Times New Roman" w:cs="Times New Roman"/>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342" w:type="pct"/>
                  <w:tcBorders>
                    <w:tl2br w:val="nil"/>
                    <w:tr2bl w:val="nil"/>
                  </w:tcBorders>
                  <w:noWrap w:val="0"/>
                  <w:vAlign w:val="center"/>
                </w:tcPr>
                <w:p>
                  <w:pPr>
                    <w:spacing w:line="300" w:lineRule="exact"/>
                    <w:jc w:val="center"/>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5</w:t>
                  </w:r>
                </w:p>
              </w:tc>
              <w:tc>
                <w:tcPr>
                  <w:tcW w:w="434" w:type="pct"/>
                  <w:tcBorders>
                    <w:tl2br w:val="nil"/>
                    <w:tr2bl w:val="nil"/>
                  </w:tcBorders>
                  <w:noWrap w:val="0"/>
                  <w:vAlign w:val="center"/>
                </w:tcPr>
                <w:p>
                  <w:pPr>
                    <w:spacing w:line="300" w:lineRule="exact"/>
                    <w:jc w:val="center"/>
                    <w:rPr>
                      <w:rFonts w:hint="eastAsia" w:ascii="Times New Roman" w:hAnsi="Times New Roman" w:eastAsia="宋体" w:cs="Times New Roman"/>
                      <w:color w:val="auto"/>
                      <w:sz w:val="18"/>
                      <w:szCs w:val="18"/>
                      <w:lang w:eastAsia="zh-CN"/>
                    </w:rPr>
                  </w:pPr>
                  <w:r>
                    <w:rPr>
                      <w:rFonts w:hint="eastAsia" w:cs="Times New Roman"/>
                      <w:color w:val="auto"/>
                      <w:sz w:val="18"/>
                      <w:szCs w:val="18"/>
                      <w:lang w:eastAsia="zh-CN"/>
                    </w:rPr>
                    <w:t>维修</w:t>
                  </w:r>
                  <w:r>
                    <w:rPr>
                      <w:rFonts w:hint="eastAsia" w:ascii="Times New Roman" w:hAnsi="Times New Roman" w:eastAsia="宋体" w:cs="Times New Roman"/>
                      <w:color w:val="auto"/>
                      <w:sz w:val="18"/>
                      <w:szCs w:val="18"/>
                      <w:lang w:val="en-US" w:eastAsia="zh-CN"/>
                    </w:rPr>
                    <w:t>切割</w:t>
                  </w:r>
                </w:p>
              </w:tc>
              <w:tc>
                <w:tcPr>
                  <w:tcW w:w="1034" w:type="pct"/>
                  <w:tcBorders>
                    <w:tl2br w:val="nil"/>
                    <w:tr2bl w:val="nil"/>
                  </w:tcBorders>
                  <w:noWrap w:val="0"/>
                  <w:vAlign w:val="center"/>
                </w:tcPr>
                <w:p>
                  <w:pPr>
                    <w:jc w:val="center"/>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移动维修区</w:t>
                  </w:r>
                </w:p>
              </w:tc>
              <w:tc>
                <w:tcPr>
                  <w:tcW w:w="532" w:type="pct"/>
                  <w:tcBorders>
                    <w:tl2br w:val="nil"/>
                    <w:tr2bl w:val="nil"/>
                  </w:tcBorders>
                  <w:noWrap w:val="0"/>
                  <w:vAlign w:val="center"/>
                </w:tcPr>
                <w:p>
                  <w:pPr>
                    <w:spacing w:line="300" w:lineRule="exact"/>
                    <w:jc w:val="center"/>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1</w:t>
                  </w:r>
                </w:p>
              </w:tc>
              <w:tc>
                <w:tcPr>
                  <w:tcW w:w="711" w:type="pct"/>
                  <w:tcBorders>
                    <w:tl2br w:val="nil"/>
                    <w:tr2bl w:val="nil"/>
                  </w:tcBorders>
                  <w:noWrap w:val="0"/>
                  <w:vAlign w:val="center"/>
                </w:tcPr>
                <w:p>
                  <w:pPr>
                    <w:spacing w:line="300" w:lineRule="exact"/>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1.2*1</w:t>
                  </w:r>
                </w:p>
              </w:tc>
              <w:tc>
                <w:tcPr>
                  <w:tcW w:w="714" w:type="pct"/>
                  <w:tcBorders>
                    <w:tl2br w:val="nil"/>
                    <w:tr2bl w:val="nil"/>
                  </w:tcBorders>
                  <w:noWrap w:val="0"/>
                  <w:vAlign w:val="center"/>
                </w:tcPr>
                <w:p>
                  <w:pPr>
                    <w:spacing w:line="300" w:lineRule="exact"/>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1296</w:t>
                  </w:r>
                </w:p>
              </w:tc>
              <w:tc>
                <w:tcPr>
                  <w:tcW w:w="749" w:type="pct"/>
                  <w:tcBorders>
                    <w:tl2br w:val="nil"/>
                    <w:tr2bl w:val="nil"/>
                  </w:tcBorders>
                  <w:noWrap w:val="0"/>
                  <w:vAlign w:val="center"/>
                </w:tcPr>
                <w:p>
                  <w:pPr>
                    <w:spacing w:line="300" w:lineRule="exact"/>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2000</w:t>
                  </w:r>
                </w:p>
              </w:tc>
              <w:tc>
                <w:tcPr>
                  <w:tcW w:w="479" w:type="pct"/>
                  <w:tcBorders>
                    <w:tl2br w:val="nil"/>
                    <w:tr2bl w:val="nil"/>
                  </w:tcBorders>
                  <w:noWrap w:val="0"/>
                  <w:vAlign w:val="center"/>
                </w:tcPr>
                <w:p>
                  <w:pPr>
                    <w:spacing w:line="300" w:lineRule="exact"/>
                    <w:jc w:val="center"/>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42" w:type="pct"/>
                  <w:tcBorders>
                    <w:tl2br w:val="nil"/>
                    <w:tr2bl w:val="nil"/>
                  </w:tcBorders>
                  <w:noWrap w:val="0"/>
                  <w:vAlign w:val="center"/>
                </w:tcPr>
                <w:p>
                  <w:pPr>
                    <w:spacing w:line="300" w:lineRule="exact"/>
                    <w:jc w:val="center"/>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6</w:t>
                  </w:r>
                </w:p>
              </w:tc>
              <w:tc>
                <w:tcPr>
                  <w:tcW w:w="434" w:type="pct"/>
                  <w:tcBorders>
                    <w:tl2br w:val="nil"/>
                    <w:tr2bl w:val="nil"/>
                  </w:tcBorders>
                  <w:noWrap w:val="0"/>
                  <w:vAlign w:val="center"/>
                </w:tcPr>
                <w:p>
                  <w:pPr>
                    <w:spacing w:line="300" w:lineRule="exact"/>
                    <w:jc w:val="center"/>
                    <w:rPr>
                      <w:rFonts w:hint="eastAsia" w:cs="Times New Roman"/>
                      <w:color w:val="auto"/>
                      <w:sz w:val="18"/>
                      <w:szCs w:val="18"/>
                      <w:lang w:eastAsia="zh-CN"/>
                    </w:rPr>
                  </w:pPr>
                  <w:r>
                    <w:rPr>
                      <w:rFonts w:hint="eastAsia" w:cs="Times New Roman"/>
                      <w:color w:val="auto"/>
                      <w:sz w:val="18"/>
                      <w:szCs w:val="18"/>
                      <w:lang w:eastAsia="zh-CN"/>
                    </w:rPr>
                    <w:t>打磨</w:t>
                  </w:r>
                </w:p>
              </w:tc>
              <w:tc>
                <w:tcPr>
                  <w:tcW w:w="1034" w:type="pct"/>
                  <w:tcBorders>
                    <w:tl2br w:val="nil"/>
                    <w:tr2bl w:val="nil"/>
                  </w:tcBorders>
                  <w:noWrap w:val="0"/>
                  <w:vAlign w:val="center"/>
                </w:tcPr>
                <w:p>
                  <w:pPr>
                    <w:jc w:val="center"/>
                    <w:rPr>
                      <w:rFonts w:hint="eastAsia" w:cs="Times New Roman"/>
                      <w:color w:val="auto"/>
                      <w:sz w:val="18"/>
                      <w:szCs w:val="18"/>
                      <w:lang w:val="en-US" w:eastAsia="zh-CN"/>
                    </w:rPr>
                  </w:pPr>
                  <w:r>
                    <w:rPr>
                      <w:rFonts w:hint="eastAsia" w:cs="Times New Roman"/>
                      <w:color w:val="auto"/>
                      <w:sz w:val="18"/>
                      <w:szCs w:val="18"/>
                      <w:lang w:eastAsia="zh-CN"/>
                    </w:rPr>
                    <w:t>打磨区</w:t>
                  </w:r>
                </w:p>
              </w:tc>
              <w:tc>
                <w:tcPr>
                  <w:tcW w:w="532" w:type="pct"/>
                  <w:tcBorders>
                    <w:tl2br w:val="nil"/>
                    <w:tr2bl w:val="nil"/>
                  </w:tcBorders>
                  <w:noWrap w:val="0"/>
                  <w:vAlign w:val="center"/>
                </w:tcPr>
                <w:p>
                  <w:pPr>
                    <w:spacing w:line="300" w:lineRule="exact"/>
                    <w:jc w:val="center"/>
                    <w:rPr>
                      <w:rFonts w:hint="default" w:cs="Times New Roman"/>
                      <w:color w:val="auto"/>
                      <w:sz w:val="18"/>
                      <w:szCs w:val="18"/>
                      <w:lang w:val="en-US" w:eastAsia="zh-CN"/>
                    </w:rPr>
                  </w:pPr>
                  <w:r>
                    <w:rPr>
                      <w:rFonts w:hint="eastAsia" w:cs="Times New Roman"/>
                      <w:color w:val="auto"/>
                      <w:sz w:val="18"/>
                      <w:szCs w:val="18"/>
                      <w:lang w:val="en-US" w:eastAsia="zh-CN"/>
                    </w:rPr>
                    <w:t>1</w:t>
                  </w:r>
                </w:p>
              </w:tc>
              <w:tc>
                <w:tcPr>
                  <w:tcW w:w="711" w:type="pct"/>
                  <w:tcBorders>
                    <w:tl2br w:val="nil"/>
                    <w:tr2bl w:val="nil"/>
                  </w:tcBorders>
                  <w:noWrap w:val="0"/>
                  <w:vAlign w:val="center"/>
                </w:tcPr>
                <w:p>
                  <w:pPr>
                    <w:spacing w:line="300" w:lineRule="exact"/>
                    <w:jc w:val="center"/>
                    <w:rPr>
                      <w:rFonts w:hint="eastAsia" w:cs="Times New Roman"/>
                      <w:color w:val="auto"/>
                      <w:sz w:val="18"/>
                      <w:szCs w:val="18"/>
                      <w:lang w:val="en-US" w:eastAsia="zh-CN"/>
                    </w:rPr>
                  </w:pPr>
                  <w:r>
                    <w:rPr>
                      <w:rFonts w:hint="eastAsia" w:ascii="Times New Roman" w:hAnsi="Times New Roman" w:cs="Times New Roman"/>
                      <w:color w:val="auto"/>
                      <w:sz w:val="18"/>
                      <w:szCs w:val="18"/>
                      <w:lang w:val="en-US" w:eastAsia="zh-CN"/>
                    </w:rPr>
                    <w:t>1.2*1</w:t>
                  </w:r>
                </w:p>
              </w:tc>
              <w:tc>
                <w:tcPr>
                  <w:tcW w:w="714" w:type="pct"/>
                  <w:tcBorders>
                    <w:tl2br w:val="nil"/>
                    <w:tr2bl w:val="nil"/>
                  </w:tcBorders>
                  <w:noWrap w:val="0"/>
                  <w:vAlign w:val="center"/>
                </w:tcPr>
                <w:p>
                  <w:pPr>
                    <w:spacing w:line="300" w:lineRule="exact"/>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1296</w:t>
                  </w:r>
                </w:p>
              </w:tc>
              <w:tc>
                <w:tcPr>
                  <w:tcW w:w="749" w:type="pct"/>
                  <w:tcBorders>
                    <w:tl2br w:val="nil"/>
                    <w:tr2bl w:val="nil"/>
                  </w:tcBorders>
                  <w:noWrap w:val="0"/>
                  <w:vAlign w:val="center"/>
                </w:tcPr>
                <w:p>
                  <w:pPr>
                    <w:spacing w:line="300" w:lineRule="exact"/>
                    <w:jc w:val="center"/>
                    <w:rPr>
                      <w:rFonts w:hint="default" w:ascii="Times New Roman" w:hAnsi="Times New Roman" w:cs="Times New Roman"/>
                      <w:color w:val="auto"/>
                      <w:sz w:val="18"/>
                      <w:szCs w:val="18"/>
                    </w:rPr>
                  </w:pPr>
                  <w:r>
                    <w:rPr>
                      <w:rFonts w:hint="eastAsia" w:cs="Times New Roman"/>
                      <w:color w:val="auto"/>
                      <w:sz w:val="18"/>
                      <w:szCs w:val="18"/>
                      <w:lang w:val="en-US" w:eastAsia="zh-CN"/>
                    </w:rPr>
                    <w:t>2000</w:t>
                  </w:r>
                </w:p>
              </w:tc>
              <w:tc>
                <w:tcPr>
                  <w:tcW w:w="479" w:type="pct"/>
                  <w:tcBorders>
                    <w:tl2br w:val="nil"/>
                    <w:tr2bl w:val="nil"/>
                  </w:tcBorders>
                  <w:noWrap w:val="0"/>
                  <w:vAlign w:val="center"/>
                </w:tcPr>
                <w:p>
                  <w:pPr>
                    <w:spacing w:line="300" w:lineRule="exact"/>
                    <w:jc w:val="center"/>
                    <w:rPr>
                      <w:rFonts w:hint="eastAsia" w:cs="Times New Roman"/>
                      <w:color w:val="auto"/>
                      <w:sz w:val="18"/>
                      <w:szCs w:val="18"/>
                      <w:lang w:val="en-US" w:eastAsia="zh-CN"/>
                    </w:rPr>
                  </w:pPr>
                  <w:r>
                    <w:rPr>
                      <w:rFonts w:hint="eastAsia" w:cs="Times New Roman"/>
                      <w:color w:val="auto"/>
                      <w:sz w:val="18"/>
                      <w:szCs w:val="18"/>
                      <w:lang w:val="en-US" w:eastAsia="zh-CN"/>
                    </w:rPr>
                    <w:t>/</w:t>
                  </w:r>
                </w:p>
              </w:tc>
            </w:tr>
          </w:tbl>
          <w:p>
            <w:pPr>
              <w:spacing w:line="500" w:lineRule="exact"/>
              <w:ind w:firstLine="422" w:firstLineChars="200"/>
              <w:rPr>
                <w:b/>
                <w:bCs/>
                <w:color w:val="auto"/>
              </w:rPr>
            </w:pPr>
            <w:r>
              <w:rPr>
                <w:b/>
                <w:bCs/>
                <w:color w:val="auto"/>
              </w:rPr>
              <w:t>排气筒设置合理性分析：</w:t>
            </w:r>
          </w:p>
          <w:p>
            <w:pPr>
              <w:widowControl w:val="0"/>
              <w:adjustRightInd w:val="0"/>
              <w:snapToGrid w:val="0"/>
              <w:spacing w:line="500" w:lineRule="exact"/>
              <w:ind w:firstLine="420" w:firstLineChars="200"/>
              <w:rPr>
                <w:rFonts w:hint="eastAsia" w:ascii="Times New Roman" w:hAnsi="Times New Roman" w:eastAsia="宋体" w:cs="Times New Roman"/>
                <w:b w:val="0"/>
                <w:bCs w:val="0"/>
                <w:color w:val="auto"/>
                <w:kern w:val="2"/>
                <w:sz w:val="21"/>
                <w:szCs w:val="24"/>
                <w:lang w:val="en-US" w:eastAsia="zh-CN" w:bidi="ar-SA"/>
              </w:rPr>
            </w:pPr>
            <w:r>
              <w:rPr>
                <w:rFonts w:hint="eastAsia" w:ascii="Times New Roman" w:hAnsi="Times New Roman" w:eastAsia="宋体" w:cs="Times New Roman"/>
                <w:bCs/>
                <w:color w:val="auto"/>
                <w:sz w:val="21"/>
                <w:szCs w:val="21"/>
                <w:highlight w:val="none"/>
                <w:lang w:eastAsia="zh-CN"/>
              </w:rPr>
              <w:t>全厂</w:t>
            </w:r>
            <w:r>
              <w:rPr>
                <w:rFonts w:hint="eastAsia" w:ascii="Times New Roman" w:hAnsi="Times New Roman" w:eastAsia="宋体" w:cs="Times New Roman"/>
                <w:bCs/>
                <w:color w:val="auto"/>
                <w:sz w:val="21"/>
                <w:szCs w:val="21"/>
                <w:highlight w:val="none"/>
              </w:rPr>
              <w:t>排气筒高度设置为</w:t>
            </w:r>
            <w:r>
              <w:rPr>
                <w:rFonts w:hint="eastAsia" w:ascii="Times New Roman" w:hAnsi="Times New Roman" w:eastAsia="宋体" w:cs="Times New Roman"/>
                <w:bCs/>
                <w:color w:val="auto"/>
                <w:sz w:val="21"/>
                <w:szCs w:val="21"/>
                <w:highlight w:val="none"/>
                <w:lang w:val="en-US" w:eastAsia="zh-CN"/>
              </w:rPr>
              <w:t>20</w:t>
            </w:r>
            <w:r>
              <w:rPr>
                <w:rFonts w:hint="eastAsia" w:ascii="Times New Roman" w:hAnsi="Times New Roman" w:eastAsia="宋体" w:cs="Times New Roman"/>
                <w:bCs/>
                <w:color w:val="auto"/>
                <w:sz w:val="21"/>
                <w:szCs w:val="21"/>
                <w:highlight w:val="none"/>
              </w:rPr>
              <w:t>m</w:t>
            </w:r>
            <w:r>
              <w:rPr>
                <w:rFonts w:hint="eastAsia" w:ascii="Times New Roman" w:hAnsi="Times New Roman" w:eastAsia="宋体" w:cs="Times New Roman"/>
                <w:bCs/>
                <w:color w:val="auto"/>
                <w:sz w:val="21"/>
                <w:szCs w:val="21"/>
                <w:highlight w:val="none"/>
                <w:lang w:val="en-US" w:eastAsia="zh-CN"/>
              </w:rPr>
              <w:t>DA001</w:t>
            </w:r>
            <w:r>
              <w:rPr>
                <w:rFonts w:hint="eastAsia" w:ascii="Times New Roman" w:hAnsi="Times New Roman" w:eastAsia="宋体" w:cs="Times New Roman"/>
                <w:bCs/>
                <w:color w:val="auto"/>
                <w:sz w:val="21"/>
                <w:szCs w:val="21"/>
                <w:highlight w:val="none"/>
              </w:rPr>
              <w:t>内径为0.</w:t>
            </w:r>
            <w:r>
              <w:rPr>
                <w:rFonts w:hint="eastAsia" w:ascii="Times New Roman" w:hAnsi="Times New Roman" w:eastAsia="宋体" w:cs="Times New Roman"/>
                <w:bCs/>
                <w:color w:val="auto"/>
                <w:sz w:val="21"/>
                <w:szCs w:val="21"/>
                <w:highlight w:val="none"/>
                <w:lang w:val="en-US" w:eastAsia="zh-CN"/>
              </w:rPr>
              <w:t>52</w:t>
            </w:r>
            <w:r>
              <w:rPr>
                <w:rFonts w:hint="eastAsia" w:ascii="Times New Roman" w:hAnsi="Times New Roman" w:eastAsia="宋体" w:cs="Times New Roman"/>
                <w:bCs/>
                <w:color w:val="auto"/>
                <w:sz w:val="21"/>
                <w:szCs w:val="21"/>
                <w:highlight w:val="none"/>
              </w:rPr>
              <w:t>m、</w:t>
            </w:r>
            <w:r>
              <w:rPr>
                <w:rFonts w:hint="eastAsia" w:ascii="Times New Roman" w:hAnsi="Times New Roman" w:eastAsia="宋体" w:cs="Times New Roman"/>
                <w:bCs/>
                <w:color w:val="auto"/>
                <w:sz w:val="21"/>
                <w:szCs w:val="21"/>
                <w:highlight w:val="none"/>
                <w:lang w:val="en-US" w:eastAsia="zh-CN"/>
              </w:rPr>
              <w:t>16</w:t>
            </w:r>
            <w:r>
              <w:rPr>
                <w:rFonts w:hint="eastAsia" w:ascii="Times New Roman" w:hAnsi="Times New Roman" w:eastAsia="宋体" w:cs="Times New Roman"/>
                <w:bCs/>
                <w:color w:val="auto"/>
                <w:sz w:val="21"/>
                <w:szCs w:val="21"/>
                <w:highlight w:val="none"/>
              </w:rPr>
              <w:t>m</w:t>
            </w:r>
            <w:r>
              <w:rPr>
                <w:rFonts w:hint="eastAsia" w:ascii="Times New Roman" w:hAnsi="Times New Roman" w:eastAsia="宋体" w:cs="Times New Roman"/>
                <w:bCs/>
                <w:color w:val="auto"/>
                <w:sz w:val="21"/>
                <w:szCs w:val="21"/>
                <w:highlight w:val="none"/>
                <w:lang w:val="en-US" w:eastAsia="zh-CN"/>
              </w:rPr>
              <w:t>DA007</w:t>
            </w:r>
            <w:r>
              <w:rPr>
                <w:rFonts w:hint="eastAsia" w:ascii="Times New Roman" w:hAnsi="Times New Roman" w:eastAsia="宋体" w:cs="Times New Roman"/>
                <w:bCs/>
                <w:color w:val="auto"/>
                <w:sz w:val="21"/>
                <w:szCs w:val="21"/>
                <w:highlight w:val="none"/>
              </w:rPr>
              <w:t>内径为0.6m、</w:t>
            </w:r>
            <w:r>
              <w:rPr>
                <w:rFonts w:hint="eastAsia" w:ascii="Times New Roman" w:hAnsi="Times New Roman" w:eastAsia="宋体" w:cs="Times New Roman"/>
                <w:bCs/>
                <w:color w:val="auto"/>
                <w:sz w:val="21"/>
                <w:szCs w:val="21"/>
                <w:highlight w:val="none"/>
                <w:lang w:val="en-US" w:eastAsia="zh-CN"/>
              </w:rPr>
              <w:t>16</w:t>
            </w:r>
            <w:r>
              <w:rPr>
                <w:rFonts w:hint="eastAsia" w:ascii="Times New Roman" w:hAnsi="Times New Roman" w:eastAsia="宋体" w:cs="Times New Roman"/>
                <w:bCs/>
                <w:color w:val="auto"/>
                <w:sz w:val="21"/>
                <w:szCs w:val="21"/>
                <w:highlight w:val="none"/>
              </w:rPr>
              <w:t>m</w:t>
            </w:r>
            <w:r>
              <w:rPr>
                <w:rFonts w:hint="eastAsia" w:ascii="Times New Roman" w:hAnsi="Times New Roman" w:eastAsia="宋体" w:cs="Times New Roman"/>
                <w:bCs/>
                <w:color w:val="auto"/>
                <w:sz w:val="21"/>
                <w:szCs w:val="21"/>
                <w:highlight w:val="none"/>
                <w:lang w:val="en-US" w:eastAsia="zh-CN"/>
              </w:rPr>
              <w:t>DA003</w:t>
            </w:r>
            <w:r>
              <w:rPr>
                <w:rFonts w:hint="eastAsia" w:ascii="Times New Roman" w:hAnsi="Times New Roman" w:eastAsia="宋体" w:cs="Times New Roman"/>
                <w:bCs/>
                <w:color w:val="auto"/>
                <w:sz w:val="21"/>
                <w:szCs w:val="21"/>
                <w:highlight w:val="none"/>
              </w:rPr>
              <w:t>内径为0.</w:t>
            </w:r>
            <w:r>
              <w:rPr>
                <w:rFonts w:hint="eastAsia" w:ascii="Times New Roman" w:hAnsi="Times New Roman" w:eastAsia="宋体" w:cs="Times New Roman"/>
                <w:bCs/>
                <w:color w:val="auto"/>
                <w:sz w:val="21"/>
                <w:szCs w:val="21"/>
                <w:highlight w:val="none"/>
                <w:lang w:val="en-US" w:eastAsia="zh-CN"/>
              </w:rPr>
              <w:t>8</w:t>
            </w:r>
            <w:r>
              <w:rPr>
                <w:rFonts w:hint="eastAsia" w:ascii="Times New Roman" w:hAnsi="Times New Roman" w:eastAsia="宋体" w:cs="Times New Roman"/>
                <w:bCs/>
                <w:color w:val="auto"/>
                <w:sz w:val="21"/>
                <w:szCs w:val="21"/>
                <w:highlight w:val="none"/>
              </w:rPr>
              <w:t>m、</w:t>
            </w:r>
            <w:r>
              <w:rPr>
                <w:rFonts w:hint="eastAsia" w:ascii="Times New Roman" w:hAnsi="Times New Roman" w:eastAsia="宋体" w:cs="Times New Roman"/>
                <w:bCs/>
                <w:color w:val="auto"/>
                <w:sz w:val="21"/>
                <w:szCs w:val="21"/>
                <w:highlight w:val="none"/>
                <w:lang w:val="en-US" w:eastAsia="zh-CN"/>
              </w:rPr>
              <w:t>16</w:t>
            </w:r>
            <w:r>
              <w:rPr>
                <w:rFonts w:hint="eastAsia" w:ascii="Times New Roman" w:hAnsi="Times New Roman" w:eastAsia="宋体" w:cs="Times New Roman"/>
                <w:bCs/>
                <w:color w:val="auto"/>
                <w:sz w:val="21"/>
                <w:szCs w:val="21"/>
                <w:highlight w:val="none"/>
              </w:rPr>
              <w:t>m</w:t>
            </w:r>
            <w:r>
              <w:rPr>
                <w:rFonts w:hint="eastAsia" w:ascii="Times New Roman" w:hAnsi="Times New Roman" w:eastAsia="宋体" w:cs="Times New Roman"/>
                <w:bCs/>
                <w:color w:val="auto"/>
                <w:sz w:val="21"/>
                <w:szCs w:val="21"/>
                <w:highlight w:val="none"/>
                <w:lang w:val="en-US" w:eastAsia="zh-CN"/>
              </w:rPr>
              <w:t>DA008</w:t>
            </w:r>
            <w:r>
              <w:rPr>
                <w:rFonts w:hint="eastAsia" w:ascii="Times New Roman" w:hAnsi="Times New Roman" w:eastAsia="宋体" w:cs="Times New Roman"/>
                <w:bCs/>
                <w:color w:val="auto"/>
                <w:sz w:val="21"/>
                <w:szCs w:val="21"/>
                <w:highlight w:val="none"/>
              </w:rPr>
              <w:t>内径为0.</w:t>
            </w:r>
            <w:r>
              <w:rPr>
                <w:rFonts w:hint="eastAsia" w:ascii="Times New Roman" w:hAnsi="Times New Roman" w:eastAsia="宋体" w:cs="Times New Roman"/>
                <w:bCs/>
                <w:color w:val="auto"/>
                <w:sz w:val="21"/>
                <w:szCs w:val="21"/>
                <w:highlight w:val="none"/>
                <w:lang w:val="en-US" w:eastAsia="zh-CN"/>
              </w:rPr>
              <w:t>52</w:t>
            </w:r>
            <w:r>
              <w:rPr>
                <w:rFonts w:hint="eastAsia" w:ascii="Times New Roman" w:hAnsi="Times New Roman" w:eastAsia="宋体" w:cs="Times New Roman"/>
                <w:bCs/>
                <w:color w:val="auto"/>
                <w:sz w:val="21"/>
                <w:szCs w:val="21"/>
                <w:highlight w:val="none"/>
              </w:rPr>
              <w:t>m</w:t>
            </w:r>
            <w:r>
              <w:rPr>
                <w:rFonts w:hint="eastAsia" w:ascii="Times New Roman" w:hAnsi="Times New Roman" w:eastAsia="宋体" w:cs="Times New Roman"/>
                <w:bCs/>
                <w:color w:val="auto"/>
                <w:sz w:val="21"/>
                <w:szCs w:val="21"/>
                <w:highlight w:val="none"/>
                <w:lang w:eastAsia="zh-CN"/>
              </w:rPr>
              <w:t>、</w:t>
            </w:r>
            <w:r>
              <w:rPr>
                <w:rFonts w:hint="eastAsia" w:ascii="Times New Roman" w:hAnsi="Times New Roman" w:eastAsia="宋体" w:cs="Times New Roman"/>
                <w:bCs/>
                <w:color w:val="auto"/>
                <w:sz w:val="21"/>
                <w:szCs w:val="21"/>
                <w:highlight w:val="none"/>
                <w:lang w:val="en-US" w:eastAsia="zh-CN"/>
              </w:rPr>
              <w:t>16</w:t>
            </w:r>
            <w:r>
              <w:rPr>
                <w:rFonts w:hint="eastAsia" w:ascii="Times New Roman" w:hAnsi="Times New Roman" w:eastAsia="宋体" w:cs="Times New Roman"/>
                <w:bCs/>
                <w:color w:val="auto"/>
                <w:sz w:val="21"/>
                <w:szCs w:val="21"/>
                <w:highlight w:val="none"/>
              </w:rPr>
              <w:t>m</w:t>
            </w:r>
            <w:r>
              <w:rPr>
                <w:rFonts w:hint="eastAsia" w:ascii="Times New Roman" w:hAnsi="Times New Roman" w:eastAsia="宋体" w:cs="Times New Roman"/>
                <w:bCs/>
                <w:color w:val="auto"/>
                <w:sz w:val="21"/>
                <w:szCs w:val="21"/>
                <w:highlight w:val="none"/>
                <w:lang w:val="en-US" w:eastAsia="zh-CN"/>
              </w:rPr>
              <w:t>DA004</w:t>
            </w:r>
            <w:r>
              <w:rPr>
                <w:rFonts w:hint="eastAsia" w:ascii="Times New Roman" w:hAnsi="Times New Roman" w:eastAsia="宋体" w:cs="Times New Roman"/>
                <w:bCs/>
                <w:color w:val="auto"/>
                <w:sz w:val="21"/>
                <w:szCs w:val="21"/>
                <w:highlight w:val="none"/>
              </w:rPr>
              <w:t>内径为0.</w:t>
            </w:r>
            <w:r>
              <w:rPr>
                <w:rFonts w:hint="eastAsia" w:ascii="Times New Roman" w:hAnsi="Times New Roman" w:eastAsia="宋体" w:cs="Times New Roman"/>
                <w:bCs/>
                <w:color w:val="auto"/>
                <w:sz w:val="21"/>
                <w:szCs w:val="21"/>
                <w:highlight w:val="none"/>
                <w:lang w:val="en-US" w:eastAsia="zh-CN"/>
              </w:rPr>
              <w:t>8</w:t>
            </w:r>
            <w:r>
              <w:rPr>
                <w:rFonts w:hint="eastAsia" w:ascii="Times New Roman" w:hAnsi="Times New Roman" w:eastAsia="宋体" w:cs="Times New Roman"/>
                <w:bCs/>
                <w:color w:val="auto"/>
                <w:sz w:val="21"/>
                <w:szCs w:val="21"/>
                <w:highlight w:val="none"/>
              </w:rPr>
              <w:t>m、</w:t>
            </w:r>
            <w:r>
              <w:rPr>
                <w:rFonts w:hint="eastAsia" w:ascii="Times New Roman" w:hAnsi="Times New Roman" w:eastAsia="宋体" w:cs="Times New Roman"/>
                <w:bCs/>
                <w:color w:val="auto"/>
                <w:sz w:val="21"/>
                <w:szCs w:val="21"/>
                <w:highlight w:val="none"/>
                <w:lang w:val="en-US" w:eastAsia="zh-CN"/>
              </w:rPr>
              <w:t>16</w:t>
            </w:r>
            <w:r>
              <w:rPr>
                <w:rFonts w:hint="eastAsia" w:ascii="Times New Roman" w:hAnsi="Times New Roman" w:eastAsia="宋体" w:cs="Times New Roman"/>
                <w:bCs/>
                <w:color w:val="auto"/>
                <w:sz w:val="21"/>
                <w:szCs w:val="21"/>
                <w:highlight w:val="none"/>
              </w:rPr>
              <w:t>m</w:t>
            </w:r>
            <w:r>
              <w:rPr>
                <w:rFonts w:hint="eastAsia" w:ascii="Times New Roman" w:hAnsi="Times New Roman" w:eastAsia="宋体" w:cs="Times New Roman"/>
                <w:bCs/>
                <w:color w:val="auto"/>
                <w:sz w:val="21"/>
                <w:szCs w:val="21"/>
                <w:highlight w:val="none"/>
                <w:lang w:val="en-US" w:eastAsia="zh-CN"/>
              </w:rPr>
              <w:t>DA005</w:t>
            </w:r>
            <w:r>
              <w:rPr>
                <w:rFonts w:hint="eastAsia" w:ascii="Times New Roman" w:hAnsi="Times New Roman" w:eastAsia="宋体" w:cs="Times New Roman"/>
                <w:bCs/>
                <w:color w:val="auto"/>
                <w:sz w:val="21"/>
                <w:szCs w:val="21"/>
                <w:highlight w:val="none"/>
              </w:rPr>
              <w:t>内径为0.</w:t>
            </w:r>
            <w:r>
              <w:rPr>
                <w:rFonts w:hint="eastAsia" w:ascii="Times New Roman" w:hAnsi="Times New Roman" w:eastAsia="宋体" w:cs="Times New Roman"/>
                <w:bCs/>
                <w:color w:val="auto"/>
                <w:sz w:val="21"/>
                <w:szCs w:val="21"/>
                <w:highlight w:val="none"/>
                <w:lang w:val="en-US" w:eastAsia="zh-CN"/>
              </w:rPr>
              <w:t>6</w:t>
            </w:r>
            <w:r>
              <w:rPr>
                <w:rFonts w:hint="eastAsia" w:ascii="Times New Roman" w:hAnsi="Times New Roman" w:eastAsia="宋体" w:cs="Times New Roman"/>
                <w:bCs/>
                <w:color w:val="auto"/>
                <w:sz w:val="21"/>
                <w:szCs w:val="21"/>
                <w:highlight w:val="none"/>
              </w:rPr>
              <w:t>m、</w:t>
            </w:r>
            <w:r>
              <w:rPr>
                <w:rFonts w:hint="eastAsia" w:ascii="Times New Roman" w:hAnsi="Times New Roman" w:eastAsia="宋体" w:cs="Times New Roman"/>
                <w:bCs/>
                <w:color w:val="auto"/>
                <w:sz w:val="21"/>
                <w:szCs w:val="21"/>
                <w:highlight w:val="none"/>
                <w:lang w:val="en-US" w:eastAsia="zh-CN"/>
              </w:rPr>
              <w:t>16</w:t>
            </w:r>
            <w:r>
              <w:rPr>
                <w:rFonts w:hint="eastAsia" w:ascii="Times New Roman" w:hAnsi="Times New Roman" w:eastAsia="宋体" w:cs="Times New Roman"/>
                <w:bCs/>
                <w:color w:val="auto"/>
                <w:sz w:val="21"/>
                <w:szCs w:val="21"/>
                <w:highlight w:val="none"/>
              </w:rPr>
              <w:t>m</w:t>
            </w:r>
            <w:r>
              <w:rPr>
                <w:rFonts w:hint="eastAsia" w:ascii="Times New Roman" w:hAnsi="Times New Roman" w:eastAsia="宋体" w:cs="Times New Roman"/>
                <w:bCs/>
                <w:color w:val="auto"/>
                <w:sz w:val="21"/>
                <w:szCs w:val="21"/>
                <w:highlight w:val="none"/>
                <w:lang w:val="en-US" w:eastAsia="zh-CN"/>
              </w:rPr>
              <w:t>DA009</w:t>
            </w:r>
            <w:r>
              <w:rPr>
                <w:rFonts w:hint="eastAsia" w:ascii="Times New Roman" w:hAnsi="Times New Roman" w:eastAsia="宋体" w:cs="Times New Roman"/>
                <w:bCs/>
                <w:color w:val="auto"/>
                <w:sz w:val="21"/>
                <w:szCs w:val="21"/>
                <w:highlight w:val="none"/>
              </w:rPr>
              <w:t>内径为0.</w:t>
            </w:r>
            <w:r>
              <w:rPr>
                <w:rFonts w:hint="eastAsia" w:ascii="Times New Roman" w:hAnsi="Times New Roman" w:eastAsia="宋体" w:cs="Times New Roman"/>
                <w:bCs/>
                <w:color w:val="auto"/>
                <w:sz w:val="21"/>
                <w:szCs w:val="21"/>
                <w:highlight w:val="none"/>
                <w:lang w:val="en-US" w:eastAsia="zh-CN"/>
              </w:rPr>
              <w:t>8</w:t>
            </w:r>
            <w:r>
              <w:rPr>
                <w:rFonts w:hint="eastAsia" w:ascii="Times New Roman" w:hAnsi="Times New Roman" w:eastAsia="宋体" w:cs="Times New Roman"/>
                <w:bCs/>
                <w:color w:val="auto"/>
                <w:sz w:val="21"/>
                <w:szCs w:val="21"/>
                <w:highlight w:val="none"/>
              </w:rPr>
              <w:t>m</w:t>
            </w:r>
            <w:r>
              <w:rPr>
                <w:rFonts w:hint="eastAsia" w:ascii="Times New Roman" w:hAnsi="Times New Roman" w:eastAsia="宋体" w:cs="Times New Roman"/>
                <w:bCs/>
                <w:color w:val="auto"/>
                <w:sz w:val="21"/>
                <w:szCs w:val="21"/>
                <w:highlight w:val="none"/>
                <w:lang w:eastAsia="zh-CN"/>
              </w:rPr>
              <w:t>，</w:t>
            </w:r>
            <w:r>
              <w:rPr>
                <w:rFonts w:hint="eastAsia" w:ascii="Times New Roman" w:hAnsi="Times New Roman" w:eastAsia="宋体" w:cs="Times New Roman"/>
                <w:bCs/>
                <w:color w:val="auto"/>
                <w:sz w:val="21"/>
                <w:szCs w:val="21"/>
                <w:highlight w:val="none"/>
              </w:rPr>
              <w:t>烟气温度为</w:t>
            </w:r>
            <w:r>
              <w:rPr>
                <w:rFonts w:hint="eastAsia" w:ascii="Times New Roman" w:hAnsi="Times New Roman" w:eastAsia="宋体" w:cs="Times New Roman"/>
                <w:bCs/>
                <w:color w:val="auto"/>
                <w:sz w:val="21"/>
                <w:szCs w:val="21"/>
                <w:highlight w:val="none"/>
                <w:lang w:val="en-US" w:eastAsia="zh-CN"/>
              </w:rPr>
              <w:t>50</w:t>
            </w:r>
            <w:r>
              <w:rPr>
                <w:rFonts w:hint="eastAsia" w:ascii="Times New Roman" w:hAnsi="Times New Roman" w:eastAsia="宋体" w:cs="Times New Roman"/>
                <w:bCs/>
                <w:color w:val="auto"/>
                <w:sz w:val="21"/>
                <w:szCs w:val="21"/>
                <w:highlight w:val="none"/>
              </w:rPr>
              <w:t>℃</w:t>
            </w:r>
            <w:r>
              <w:rPr>
                <w:rFonts w:hint="eastAsia" w:ascii="Times New Roman" w:hAnsi="Times New Roman" w:eastAsia="宋体" w:cs="Times New Roman"/>
                <w:bCs/>
                <w:color w:val="auto"/>
                <w:sz w:val="21"/>
                <w:szCs w:val="21"/>
                <w:highlight w:val="none"/>
                <w:lang w:eastAsia="zh-CN"/>
              </w:rPr>
              <w:t>、</w:t>
            </w:r>
            <w:r>
              <w:rPr>
                <w:rFonts w:hint="eastAsia" w:ascii="Times New Roman" w:hAnsi="Times New Roman" w:eastAsia="宋体" w:cs="Times New Roman"/>
                <w:bCs/>
                <w:color w:val="auto"/>
                <w:sz w:val="21"/>
                <w:szCs w:val="21"/>
                <w:highlight w:val="none"/>
                <w:lang w:val="en-US" w:eastAsia="zh-CN"/>
              </w:rPr>
              <w:t>25</w:t>
            </w:r>
            <w:r>
              <w:rPr>
                <w:rFonts w:hint="eastAsia" w:ascii="Times New Roman" w:hAnsi="Times New Roman" w:eastAsia="宋体" w:cs="Times New Roman"/>
                <w:bCs/>
                <w:color w:val="auto"/>
                <w:sz w:val="21"/>
                <w:szCs w:val="21"/>
                <w:highlight w:val="none"/>
              </w:rPr>
              <w:t>℃，风速为15</w:t>
            </w:r>
            <w:r>
              <w:rPr>
                <w:rFonts w:hint="eastAsia" w:ascii="Times New Roman" w:hAnsi="Times New Roman" w:eastAsia="宋体" w:cs="Times New Roman"/>
                <w:bCs/>
                <w:color w:val="auto"/>
                <w:sz w:val="21"/>
                <w:szCs w:val="21"/>
                <w:highlight w:val="none"/>
                <w:lang w:val="en-US" w:eastAsia="zh-CN"/>
              </w:rPr>
              <w:t>.7</w:t>
            </w:r>
            <w:r>
              <w:rPr>
                <w:rFonts w:hint="eastAsia" w:ascii="Times New Roman" w:hAnsi="Times New Roman" w:eastAsia="宋体" w:cs="Times New Roman"/>
                <w:bCs/>
                <w:color w:val="auto"/>
                <w:sz w:val="21"/>
                <w:szCs w:val="21"/>
                <w:highlight w:val="none"/>
              </w:rPr>
              <w:t>m/s</w:t>
            </w:r>
            <w:r>
              <w:rPr>
                <w:rFonts w:hint="eastAsia" w:ascii="Times New Roman" w:hAnsi="Times New Roman" w:eastAsia="宋体" w:cs="Times New Roman"/>
                <w:bCs/>
                <w:color w:val="auto"/>
                <w:sz w:val="21"/>
                <w:szCs w:val="21"/>
                <w:highlight w:val="none"/>
                <w:lang w:eastAsia="zh-CN"/>
              </w:rPr>
              <w:t>、</w:t>
            </w:r>
            <w:r>
              <w:rPr>
                <w:rFonts w:hint="eastAsia" w:ascii="Times New Roman" w:hAnsi="Times New Roman" w:eastAsia="宋体" w:cs="Times New Roman"/>
                <w:bCs/>
                <w:color w:val="auto"/>
                <w:sz w:val="21"/>
                <w:szCs w:val="21"/>
                <w:highlight w:val="none"/>
              </w:rPr>
              <w:t>1</w:t>
            </w:r>
            <w:r>
              <w:rPr>
                <w:rFonts w:hint="eastAsia" w:ascii="Times New Roman" w:hAnsi="Times New Roman" w:eastAsia="宋体" w:cs="Times New Roman"/>
                <w:bCs/>
                <w:color w:val="auto"/>
                <w:sz w:val="21"/>
                <w:szCs w:val="21"/>
                <w:highlight w:val="none"/>
                <w:lang w:val="en-US" w:eastAsia="zh-CN"/>
              </w:rPr>
              <w:t>4.74</w:t>
            </w:r>
            <w:r>
              <w:rPr>
                <w:rFonts w:hint="eastAsia" w:ascii="Times New Roman" w:hAnsi="Times New Roman" w:eastAsia="宋体" w:cs="Times New Roman"/>
                <w:bCs/>
                <w:color w:val="auto"/>
                <w:sz w:val="21"/>
                <w:szCs w:val="21"/>
                <w:highlight w:val="none"/>
              </w:rPr>
              <w:t>m/s</w:t>
            </w:r>
            <w:r>
              <w:rPr>
                <w:rFonts w:hint="eastAsia" w:ascii="Times New Roman" w:hAnsi="Times New Roman" w:eastAsia="宋体" w:cs="Times New Roman"/>
                <w:bCs/>
                <w:color w:val="auto"/>
                <w:sz w:val="21"/>
                <w:szCs w:val="21"/>
                <w:highlight w:val="none"/>
                <w:lang w:eastAsia="zh-CN"/>
              </w:rPr>
              <w:t>、</w:t>
            </w:r>
            <w:r>
              <w:rPr>
                <w:rFonts w:hint="eastAsia" w:ascii="Times New Roman" w:hAnsi="Times New Roman" w:eastAsia="宋体" w:cs="Times New Roman"/>
                <w:bCs/>
                <w:color w:val="auto"/>
                <w:sz w:val="21"/>
                <w:szCs w:val="21"/>
                <w:highlight w:val="none"/>
                <w:lang w:val="en-US" w:eastAsia="zh-CN"/>
              </w:rPr>
              <w:t>15.48</w:t>
            </w:r>
            <w:r>
              <w:rPr>
                <w:rFonts w:hint="eastAsia" w:ascii="Times New Roman" w:hAnsi="Times New Roman" w:eastAsia="宋体" w:cs="Times New Roman"/>
                <w:bCs/>
                <w:color w:val="auto"/>
                <w:sz w:val="21"/>
                <w:szCs w:val="21"/>
                <w:highlight w:val="none"/>
              </w:rPr>
              <w:t>m/s</w:t>
            </w:r>
            <w:r>
              <w:rPr>
                <w:rFonts w:hint="eastAsia" w:ascii="Times New Roman" w:hAnsi="Times New Roman" w:eastAsia="宋体" w:cs="Times New Roman"/>
                <w:bCs/>
                <w:color w:val="auto"/>
                <w:sz w:val="21"/>
                <w:szCs w:val="21"/>
                <w:highlight w:val="none"/>
                <w:lang w:eastAsia="zh-CN"/>
              </w:rPr>
              <w:t>、</w:t>
            </w:r>
            <w:r>
              <w:rPr>
                <w:rFonts w:hint="eastAsia" w:ascii="Times New Roman" w:hAnsi="Times New Roman" w:eastAsia="宋体" w:cs="Times New Roman"/>
                <w:bCs/>
                <w:color w:val="auto"/>
                <w:sz w:val="21"/>
                <w:szCs w:val="21"/>
                <w:highlight w:val="none"/>
                <w:lang w:val="en-US" w:eastAsia="zh-CN"/>
              </w:rPr>
              <w:t>15.30</w:t>
            </w:r>
            <w:r>
              <w:rPr>
                <w:rFonts w:hint="eastAsia" w:ascii="Times New Roman" w:hAnsi="Times New Roman" w:eastAsia="宋体" w:cs="Times New Roman"/>
                <w:bCs/>
                <w:color w:val="auto"/>
                <w:sz w:val="21"/>
                <w:szCs w:val="21"/>
                <w:highlight w:val="none"/>
              </w:rPr>
              <w:t>m/s，排气筒风速均符合《大气污染治理工程技术导则》（HJ2000-2010）中流速宜取15m/s左右的要求。</w:t>
            </w:r>
            <w:r>
              <w:rPr>
                <w:rFonts w:hint="eastAsia" w:ascii="Times New Roman" w:hAnsi="Times New Roman" w:eastAsia="宋体" w:cs="Times New Roman"/>
                <w:bCs/>
                <w:color w:val="auto"/>
                <w:sz w:val="21"/>
                <w:szCs w:val="21"/>
                <w:highlight w:val="none"/>
                <w:lang w:val="en-US" w:eastAsia="zh-CN"/>
              </w:rPr>
              <w:t>根据</w:t>
            </w:r>
            <w:r>
              <w:rPr>
                <w:rFonts w:hint="eastAsia" w:ascii="Times New Roman" w:hAnsi="Times New Roman" w:eastAsia="宋体" w:cs="Times New Roman"/>
                <w:bCs/>
                <w:color w:val="auto"/>
                <w:sz w:val="21"/>
                <w:szCs w:val="21"/>
                <w:highlight w:val="none"/>
              </w:rPr>
              <w:t>《</w:t>
            </w:r>
            <w:r>
              <w:rPr>
                <w:rFonts w:hint="eastAsia" w:ascii="Times New Roman" w:hAnsi="Times New Roman" w:eastAsia="宋体" w:cs="Times New Roman"/>
                <w:bCs/>
                <w:color w:val="auto"/>
                <w:sz w:val="21"/>
                <w:szCs w:val="21"/>
                <w:highlight w:val="none"/>
                <w:lang w:val="en-US" w:eastAsia="zh-CN"/>
              </w:rPr>
              <w:t>工业炉窑大气污染物</w:t>
            </w:r>
            <w:r>
              <w:rPr>
                <w:rFonts w:hint="eastAsia" w:ascii="Times New Roman" w:hAnsi="Times New Roman" w:eastAsia="宋体" w:cs="Times New Roman"/>
                <w:bCs/>
                <w:color w:val="auto"/>
                <w:sz w:val="21"/>
                <w:szCs w:val="21"/>
                <w:highlight w:val="none"/>
              </w:rPr>
              <w:t>排放标准》（DB32/</w:t>
            </w:r>
            <w:r>
              <w:rPr>
                <w:rFonts w:hint="eastAsia" w:ascii="Times New Roman" w:hAnsi="Times New Roman" w:eastAsia="宋体" w:cs="Times New Roman"/>
                <w:bCs/>
                <w:color w:val="auto"/>
                <w:sz w:val="21"/>
                <w:szCs w:val="21"/>
                <w:highlight w:val="none"/>
                <w:lang w:val="en-US" w:eastAsia="zh-CN"/>
              </w:rPr>
              <w:t>3728-2019</w:t>
            </w:r>
            <w:r>
              <w:rPr>
                <w:rFonts w:hint="eastAsia" w:ascii="Times New Roman" w:hAnsi="Times New Roman" w:eastAsia="宋体" w:cs="Times New Roman"/>
                <w:bCs/>
                <w:color w:val="auto"/>
                <w:sz w:val="21"/>
                <w:szCs w:val="21"/>
                <w:highlight w:val="none"/>
              </w:rPr>
              <w:t>）</w:t>
            </w:r>
            <w:r>
              <w:rPr>
                <w:rFonts w:hint="eastAsia" w:ascii="Times New Roman" w:hAnsi="Times New Roman" w:eastAsia="宋体" w:cs="Times New Roman"/>
                <w:bCs/>
                <w:color w:val="auto"/>
                <w:sz w:val="21"/>
                <w:szCs w:val="21"/>
                <w:highlight w:val="none"/>
                <w:lang w:val="en-US" w:eastAsia="zh-CN"/>
              </w:rPr>
              <w:t>4.3.1</w:t>
            </w:r>
            <w:r>
              <w:rPr>
                <w:rFonts w:hint="eastAsia" w:ascii="Times New Roman" w:hAnsi="Times New Roman" w:eastAsia="宋体" w:cs="Times New Roman"/>
                <w:bCs/>
                <w:color w:val="auto"/>
                <w:sz w:val="21"/>
                <w:szCs w:val="21"/>
                <w:highlight w:val="none"/>
              </w:rPr>
              <w:t>工业炉窑排气筒高度应不低于15m</w:t>
            </w:r>
            <w:r>
              <w:rPr>
                <w:rFonts w:hint="eastAsia" w:ascii="Times New Roman" w:hAnsi="Times New Roman" w:eastAsia="宋体" w:cs="Times New Roman"/>
                <w:bCs/>
                <w:color w:val="auto"/>
                <w:sz w:val="21"/>
                <w:szCs w:val="21"/>
                <w:highlight w:val="none"/>
                <w:lang w:eastAsia="zh-CN"/>
              </w:rPr>
              <w:t>、</w:t>
            </w:r>
            <w:r>
              <w:rPr>
                <w:rFonts w:hint="eastAsia" w:ascii="Times New Roman" w:hAnsi="Times New Roman" w:eastAsia="宋体" w:cs="Times New Roman"/>
                <w:bCs/>
                <w:color w:val="auto"/>
                <w:sz w:val="21"/>
                <w:szCs w:val="21"/>
                <w:highlight w:val="none"/>
              </w:rPr>
              <w:t>4.3.2当排气筒周围半径200m距离内有建筑物时，除应执行4.3.1规定外，排气筒还应高出最高</w:t>
            </w:r>
            <w:r>
              <w:rPr>
                <w:rFonts w:hint="eastAsia" w:ascii="Times New Roman" w:hAnsi="Times New Roman" w:eastAsia="宋体" w:cs="Times New Roman"/>
                <w:bCs/>
                <w:color w:val="auto"/>
                <w:sz w:val="21"/>
                <w:szCs w:val="21"/>
                <w:highlight w:val="none"/>
                <w:lang w:val="en-US" w:eastAsia="zh-CN"/>
              </w:rPr>
              <w:t>建筑物3m以上。本项目DA001</w:t>
            </w:r>
            <w:r>
              <w:rPr>
                <w:rFonts w:hint="eastAsia" w:ascii="Times New Roman" w:hAnsi="Times New Roman" w:eastAsia="宋体" w:cs="Times New Roman"/>
                <w:bCs/>
                <w:color w:val="auto"/>
                <w:sz w:val="21"/>
                <w:szCs w:val="21"/>
                <w:highlight w:val="none"/>
              </w:rPr>
              <w:t>排气筒</w:t>
            </w:r>
            <w:r>
              <w:rPr>
                <w:rFonts w:hint="eastAsia" w:ascii="Times New Roman" w:hAnsi="Times New Roman" w:eastAsia="宋体" w:cs="Times New Roman"/>
                <w:bCs/>
                <w:color w:val="auto"/>
                <w:sz w:val="21"/>
                <w:szCs w:val="21"/>
                <w:highlight w:val="none"/>
                <w:lang w:val="en-US" w:eastAsia="zh-CN"/>
              </w:rPr>
              <w:t>周围半径200m内最高建筑物约15.6m，排气筒高度</w:t>
            </w:r>
            <w:r>
              <w:rPr>
                <w:rFonts w:hint="eastAsia" w:ascii="Times New Roman" w:hAnsi="Times New Roman" w:eastAsia="宋体" w:cs="Times New Roman"/>
                <w:bCs/>
                <w:color w:val="auto"/>
                <w:sz w:val="21"/>
                <w:szCs w:val="21"/>
                <w:highlight w:val="none"/>
              </w:rPr>
              <w:t>设为</w:t>
            </w:r>
            <w:r>
              <w:rPr>
                <w:rFonts w:hint="eastAsia" w:ascii="Times New Roman" w:hAnsi="Times New Roman" w:eastAsia="宋体" w:cs="Times New Roman"/>
                <w:bCs/>
                <w:color w:val="auto"/>
                <w:sz w:val="21"/>
                <w:szCs w:val="21"/>
                <w:highlight w:val="none"/>
                <w:lang w:val="en-US" w:eastAsia="zh-CN"/>
              </w:rPr>
              <w:t>20</w:t>
            </w:r>
            <w:r>
              <w:rPr>
                <w:rFonts w:hint="eastAsia" w:ascii="Times New Roman" w:hAnsi="Times New Roman" w:eastAsia="宋体" w:cs="Times New Roman"/>
                <w:bCs/>
                <w:color w:val="auto"/>
                <w:sz w:val="21"/>
                <w:szCs w:val="21"/>
                <w:highlight w:val="none"/>
              </w:rPr>
              <w:t>m</w:t>
            </w:r>
            <w:r>
              <w:rPr>
                <w:rFonts w:hint="eastAsia" w:ascii="Times New Roman" w:hAnsi="Times New Roman" w:eastAsia="宋体" w:cs="Times New Roman"/>
                <w:bCs/>
                <w:color w:val="auto"/>
                <w:sz w:val="21"/>
                <w:szCs w:val="21"/>
                <w:highlight w:val="none"/>
                <w:lang w:eastAsia="zh-CN"/>
              </w:rPr>
              <w:t>；</w:t>
            </w:r>
            <w:r>
              <w:rPr>
                <w:rFonts w:hint="eastAsia" w:ascii="Times New Roman" w:hAnsi="Times New Roman" w:eastAsia="宋体" w:cs="Times New Roman"/>
                <w:bCs/>
                <w:color w:val="auto"/>
                <w:sz w:val="21"/>
                <w:szCs w:val="21"/>
                <w:highlight w:val="none"/>
                <w:lang w:val="en-US" w:eastAsia="zh-CN"/>
              </w:rPr>
              <w:t>DA007、DA003、DA008、DA004、DA005、DA009</w:t>
            </w:r>
            <w:r>
              <w:rPr>
                <w:rFonts w:hint="eastAsia" w:ascii="Times New Roman" w:hAnsi="Times New Roman" w:eastAsia="宋体" w:cs="Times New Roman"/>
                <w:bCs/>
                <w:color w:val="auto"/>
                <w:sz w:val="21"/>
                <w:szCs w:val="21"/>
                <w:highlight w:val="none"/>
              </w:rPr>
              <w:t>排气筒</w:t>
            </w:r>
            <w:r>
              <w:rPr>
                <w:rFonts w:hint="eastAsia" w:ascii="Times New Roman" w:hAnsi="Times New Roman" w:eastAsia="宋体" w:cs="Times New Roman"/>
                <w:bCs/>
                <w:color w:val="auto"/>
                <w:sz w:val="21"/>
                <w:szCs w:val="21"/>
                <w:highlight w:val="none"/>
                <w:lang w:val="en-US" w:eastAsia="zh-CN"/>
              </w:rPr>
              <w:t>周围半径200m内最高建筑物约12.7m，排气筒高度</w:t>
            </w:r>
            <w:r>
              <w:rPr>
                <w:rFonts w:hint="eastAsia" w:ascii="Times New Roman" w:hAnsi="Times New Roman" w:eastAsia="宋体" w:cs="Times New Roman"/>
                <w:bCs/>
                <w:color w:val="auto"/>
                <w:sz w:val="21"/>
                <w:szCs w:val="21"/>
                <w:highlight w:val="none"/>
              </w:rPr>
              <w:t>设为</w:t>
            </w:r>
            <w:r>
              <w:rPr>
                <w:rFonts w:hint="eastAsia" w:ascii="Times New Roman" w:hAnsi="Times New Roman" w:eastAsia="宋体" w:cs="Times New Roman"/>
                <w:bCs/>
                <w:color w:val="auto"/>
                <w:sz w:val="21"/>
                <w:szCs w:val="21"/>
                <w:highlight w:val="none"/>
                <w:lang w:val="en-US" w:eastAsia="zh-CN"/>
              </w:rPr>
              <w:t>16</w:t>
            </w:r>
            <w:r>
              <w:rPr>
                <w:rFonts w:hint="eastAsia" w:ascii="Times New Roman" w:hAnsi="Times New Roman" w:eastAsia="宋体" w:cs="Times New Roman"/>
                <w:bCs/>
                <w:color w:val="auto"/>
                <w:sz w:val="21"/>
                <w:szCs w:val="21"/>
                <w:highlight w:val="none"/>
              </w:rPr>
              <w:t>m符合相关要求，排放的大气污染物对周围环境影响较小，可确保大气环境质量达标，排气筒高度设置合理。</w:t>
            </w:r>
          </w:p>
          <w:p>
            <w:pPr>
              <w:keepNext w:val="0"/>
              <w:keepLines w:val="0"/>
              <w:pageBreakBefore w:val="0"/>
              <w:widowControl w:val="0"/>
              <w:kinsoku/>
              <w:wordWrap/>
              <w:overflowPunct/>
              <w:topLinePunct w:val="0"/>
              <w:autoSpaceDE/>
              <w:autoSpaceDN/>
              <w:bidi w:val="0"/>
              <w:adjustRightInd w:val="0"/>
              <w:snapToGrid w:val="0"/>
              <w:spacing w:line="500" w:lineRule="exact"/>
              <w:ind w:firstLine="422" w:firstLineChars="200"/>
              <w:textAlignment w:val="auto"/>
              <w:rPr>
                <w:rFonts w:hint="eastAsia" w:ascii="Times New Roman" w:hAnsi="Times New Roman" w:cs="Times New Roman"/>
                <w:b/>
                <w:bCs/>
                <w:color w:val="auto"/>
                <w:szCs w:val="21"/>
                <w:highlight w:val="none"/>
                <w:lang w:eastAsia="zh-CN"/>
              </w:rPr>
            </w:pPr>
            <w:r>
              <w:rPr>
                <w:rFonts w:hint="eastAsia" w:ascii="Times New Roman" w:hAnsi="Times New Roman" w:cs="Times New Roman"/>
                <w:b/>
                <w:bCs/>
                <w:color w:val="auto"/>
                <w:szCs w:val="21"/>
                <w:highlight w:val="none"/>
                <w:lang w:eastAsia="zh-CN"/>
              </w:rPr>
              <w:t>卫生防护距离计算：</w:t>
            </w:r>
          </w:p>
          <w:p>
            <w:pPr>
              <w:adjustRightInd w:val="0"/>
              <w:snapToGrid w:val="0"/>
              <w:spacing w:line="500" w:lineRule="exact"/>
              <w:ind w:firstLine="420" w:firstLineChars="200"/>
              <w:jc w:val="both"/>
              <w:rPr>
                <w:rFonts w:hint="eastAsia"/>
                <w:bCs/>
                <w:color w:val="auto"/>
                <w:sz w:val="21"/>
                <w:szCs w:val="21"/>
                <w:highlight w:val="none"/>
              </w:rPr>
            </w:pPr>
            <w:r>
              <w:rPr>
                <w:rFonts w:hint="eastAsia"/>
                <w:bCs/>
                <w:color w:val="auto"/>
                <w:sz w:val="21"/>
                <w:szCs w:val="21"/>
                <w:highlight w:val="none"/>
              </w:rPr>
              <w:t>根据《大气有害物质无组织排放卫生防护距离推导技术导则》（GB/T39499-2020）中推荐的公式计算：</w:t>
            </w:r>
          </w:p>
          <w:p>
            <w:pPr>
              <w:widowControl w:val="0"/>
              <w:adjustRightInd w:val="0"/>
              <w:snapToGrid w:val="0"/>
              <w:spacing w:before="120" w:beforeLines="50" w:after="120" w:afterLines="50"/>
              <w:jc w:val="center"/>
              <w:rPr>
                <w:rFonts w:hint="eastAsia"/>
                <w:bCs/>
                <w:color w:val="auto"/>
                <w:sz w:val="21"/>
                <w:szCs w:val="21"/>
                <w:highlight w:val="none"/>
              </w:rPr>
            </w:pPr>
            <w:r>
              <w:rPr>
                <w:rFonts w:hint="eastAsia"/>
                <w:bCs/>
                <w:color w:val="auto"/>
                <w:position w:val="-30"/>
                <w:sz w:val="21"/>
                <w:szCs w:val="21"/>
                <w:highlight w:val="none"/>
              </w:rPr>
              <w:object>
                <v:shape id="_x0000_i1025" o:spt="75" type="#_x0000_t75" style="height:34pt;width:135pt;" o:ole="t" filled="f" o:preferrelative="t" stroked="f" coordsize="21600,21600">
                  <v:path/>
                  <v:fill on="f" focussize="0,0"/>
                  <v:stroke on="f"/>
                  <v:imagedata r:id="rId12" o:title=""/>
                  <o:lock v:ext="edit" aspectratio="t"/>
                  <w10:wrap type="none"/>
                  <w10:anchorlock/>
                </v:shape>
                <o:OLEObject Type="Embed" ProgID="Equation.KSEE3" ShapeID="_x0000_i1025" DrawAspect="Content" ObjectID="_1468075726" r:id="rId11">
                  <o:LockedField>false</o:LockedField>
                </o:OLEObject>
              </w:object>
            </w:r>
          </w:p>
          <w:p>
            <w:pPr>
              <w:widowControl w:val="0"/>
              <w:adjustRightInd w:val="0"/>
              <w:snapToGrid w:val="0"/>
              <w:spacing w:line="500" w:lineRule="exact"/>
              <w:ind w:firstLine="420" w:firstLineChars="200"/>
              <w:rPr>
                <w:rFonts w:hint="eastAsia"/>
                <w:bCs/>
                <w:color w:val="auto"/>
                <w:sz w:val="21"/>
                <w:szCs w:val="21"/>
                <w:highlight w:val="none"/>
              </w:rPr>
            </w:pPr>
            <w:r>
              <w:rPr>
                <w:rFonts w:hint="eastAsia"/>
                <w:bCs/>
                <w:color w:val="auto"/>
                <w:sz w:val="21"/>
                <w:szCs w:val="21"/>
                <w:highlight w:val="none"/>
              </w:rPr>
              <w:t>式中：</w:t>
            </w:r>
          </w:p>
          <w:p>
            <w:pPr>
              <w:widowControl w:val="0"/>
              <w:adjustRightInd w:val="0"/>
              <w:snapToGrid w:val="0"/>
              <w:spacing w:line="500" w:lineRule="exact"/>
              <w:ind w:firstLine="420" w:firstLineChars="200"/>
              <w:rPr>
                <w:rFonts w:hint="eastAsia"/>
                <w:bCs/>
                <w:color w:val="auto"/>
                <w:sz w:val="21"/>
                <w:szCs w:val="21"/>
                <w:highlight w:val="none"/>
              </w:rPr>
            </w:pPr>
            <w:r>
              <w:rPr>
                <w:rFonts w:hint="eastAsia"/>
                <w:bCs/>
                <w:color w:val="auto"/>
                <w:sz w:val="21"/>
                <w:szCs w:val="21"/>
                <w:highlight w:val="none"/>
              </w:rPr>
              <w:t>Q</w:t>
            </w:r>
            <w:r>
              <w:rPr>
                <w:rFonts w:hint="eastAsia"/>
                <w:bCs/>
                <w:color w:val="auto"/>
                <w:sz w:val="21"/>
                <w:szCs w:val="21"/>
                <w:highlight w:val="none"/>
                <w:vertAlign w:val="subscript"/>
              </w:rPr>
              <w:t>c</w:t>
            </w:r>
            <w:r>
              <w:rPr>
                <w:rFonts w:hint="eastAsia"/>
                <w:bCs/>
                <w:color w:val="auto"/>
                <w:sz w:val="21"/>
                <w:szCs w:val="21"/>
                <w:highlight w:val="none"/>
              </w:rPr>
              <w:t>——大气有害物质的无组织排放量，kg/h</w:t>
            </w:r>
            <w:r>
              <w:rPr>
                <w:rFonts w:hint="eastAsia"/>
                <w:bCs/>
                <w:color w:val="auto"/>
                <w:sz w:val="21"/>
                <w:szCs w:val="21"/>
                <w:highlight w:val="none"/>
                <w:lang w:eastAsia="zh-CN"/>
              </w:rPr>
              <w:t>；</w:t>
            </w:r>
          </w:p>
          <w:p>
            <w:pPr>
              <w:widowControl w:val="0"/>
              <w:adjustRightInd w:val="0"/>
              <w:snapToGrid w:val="0"/>
              <w:spacing w:line="500" w:lineRule="exact"/>
              <w:ind w:firstLine="420" w:firstLineChars="200"/>
              <w:jc w:val="both"/>
              <w:rPr>
                <w:rFonts w:hint="eastAsia"/>
                <w:bCs/>
                <w:color w:val="auto"/>
                <w:sz w:val="21"/>
                <w:szCs w:val="21"/>
                <w:highlight w:val="none"/>
              </w:rPr>
            </w:pPr>
            <w:r>
              <w:rPr>
                <w:rFonts w:hint="eastAsia"/>
                <w:bCs/>
                <w:color w:val="auto"/>
                <w:sz w:val="21"/>
                <w:szCs w:val="21"/>
                <w:highlight w:val="none"/>
              </w:rPr>
              <w:t>C</w:t>
            </w:r>
            <w:r>
              <w:rPr>
                <w:rFonts w:hint="eastAsia"/>
                <w:bCs/>
                <w:color w:val="auto"/>
                <w:sz w:val="21"/>
                <w:szCs w:val="21"/>
                <w:highlight w:val="none"/>
                <w:vertAlign w:val="subscript"/>
              </w:rPr>
              <w:t>m</w:t>
            </w:r>
            <w:r>
              <w:rPr>
                <w:rFonts w:hint="eastAsia"/>
                <w:bCs/>
                <w:color w:val="auto"/>
                <w:sz w:val="21"/>
                <w:szCs w:val="21"/>
                <w:highlight w:val="none"/>
              </w:rPr>
              <w:t>——大气有害物质环境空气质量的标准限值，mg/m</w:t>
            </w:r>
            <w:r>
              <w:rPr>
                <w:rFonts w:hint="eastAsia"/>
                <w:bCs/>
                <w:color w:val="auto"/>
                <w:sz w:val="21"/>
                <w:szCs w:val="21"/>
                <w:highlight w:val="none"/>
                <w:vertAlign w:val="superscript"/>
              </w:rPr>
              <w:t>3</w:t>
            </w:r>
            <w:r>
              <w:rPr>
                <w:rFonts w:hint="eastAsia"/>
                <w:bCs/>
                <w:color w:val="auto"/>
                <w:sz w:val="21"/>
                <w:szCs w:val="21"/>
                <w:highlight w:val="none"/>
                <w:lang w:eastAsia="zh-CN"/>
              </w:rPr>
              <w:t>；</w:t>
            </w:r>
            <w:r>
              <w:rPr>
                <w:rFonts w:hint="eastAsia"/>
                <w:bCs/>
                <w:color w:val="auto"/>
                <w:sz w:val="21"/>
                <w:szCs w:val="21"/>
                <w:highlight w:val="none"/>
              </w:rPr>
              <w:t>当特征大气有害物质在GB3095中有规定的二级标准日均值时，C</w:t>
            </w:r>
            <w:r>
              <w:rPr>
                <w:rFonts w:hint="eastAsia"/>
                <w:bCs/>
                <w:color w:val="auto"/>
                <w:sz w:val="21"/>
                <w:szCs w:val="21"/>
                <w:highlight w:val="none"/>
                <w:vertAlign w:val="subscript"/>
              </w:rPr>
              <w:t>m</w:t>
            </w:r>
            <w:r>
              <w:rPr>
                <w:rFonts w:hint="eastAsia"/>
                <w:bCs/>
                <w:color w:val="auto"/>
                <w:sz w:val="21"/>
                <w:szCs w:val="21"/>
                <w:highlight w:val="none"/>
              </w:rPr>
              <w:t>一般可取其二级标准日均值的三倍</w:t>
            </w:r>
            <w:r>
              <w:rPr>
                <w:rFonts w:hint="eastAsia"/>
                <w:bCs/>
                <w:color w:val="auto"/>
                <w:sz w:val="21"/>
                <w:szCs w:val="21"/>
                <w:highlight w:val="none"/>
                <w:lang w:eastAsia="zh-CN"/>
              </w:rPr>
              <w:t>；</w:t>
            </w:r>
            <w:r>
              <w:rPr>
                <w:rFonts w:hint="eastAsia"/>
                <w:bCs/>
                <w:color w:val="auto"/>
                <w:sz w:val="21"/>
                <w:szCs w:val="21"/>
                <w:highlight w:val="none"/>
              </w:rPr>
              <w:t>但对于致癌物质、毒性可累积的物质如苯、汞、铅等，则直接取其二级标准日均值。当特征大气有害物质在GB3095中无规定时，可按照HJ2.2中规定的1h平均标准值。恶臭类污染物取GB14554中规定的臭气浓度一级标准值。</w:t>
            </w:r>
          </w:p>
          <w:p>
            <w:pPr>
              <w:widowControl w:val="0"/>
              <w:adjustRightInd w:val="0"/>
              <w:snapToGrid w:val="0"/>
              <w:spacing w:line="500" w:lineRule="exact"/>
              <w:ind w:firstLine="420" w:firstLineChars="200"/>
              <w:jc w:val="both"/>
              <w:rPr>
                <w:rFonts w:hint="eastAsia"/>
                <w:bCs/>
                <w:color w:val="auto"/>
                <w:sz w:val="21"/>
                <w:szCs w:val="21"/>
                <w:highlight w:val="none"/>
              </w:rPr>
            </w:pPr>
            <w:r>
              <w:rPr>
                <w:rFonts w:hint="eastAsia"/>
                <w:bCs/>
                <w:color w:val="auto"/>
                <w:sz w:val="21"/>
                <w:szCs w:val="21"/>
                <w:highlight w:val="none"/>
              </w:rPr>
              <w:t>L——大气有害物质卫生防护距离初值，m</w:t>
            </w:r>
            <w:r>
              <w:rPr>
                <w:rFonts w:hint="eastAsia"/>
                <w:bCs/>
                <w:color w:val="auto"/>
                <w:sz w:val="21"/>
                <w:szCs w:val="21"/>
                <w:highlight w:val="none"/>
                <w:lang w:eastAsia="zh-CN"/>
              </w:rPr>
              <w:t>；</w:t>
            </w:r>
          </w:p>
          <w:p>
            <w:pPr>
              <w:widowControl w:val="0"/>
              <w:adjustRightInd w:val="0"/>
              <w:snapToGrid w:val="0"/>
              <w:spacing w:line="500" w:lineRule="exact"/>
              <w:ind w:firstLine="420" w:firstLineChars="200"/>
              <w:jc w:val="both"/>
              <w:rPr>
                <w:rFonts w:hint="eastAsia"/>
                <w:bCs/>
                <w:color w:val="auto"/>
                <w:sz w:val="21"/>
                <w:szCs w:val="21"/>
                <w:highlight w:val="none"/>
              </w:rPr>
            </w:pPr>
            <w:r>
              <w:rPr>
                <w:rFonts w:hint="eastAsia"/>
                <w:bCs/>
                <w:color w:val="auto"/>
                <w:sz w:val="21"/>
                <w:szCs w:val="21"/>
                <w:highlight w:val="none"/>
              </w:rPr>
              <w:t>A、B、C、D——卫生防护距离初值计算系数，无因次，根据工业企业所在地区近5年平均风速及大气污染源构成类别从系数表中查取</w:t>
            </w:r>
            <w:r>
              <w:rPr>
                <w:rFonts w:hint="eastAsia"/>
                <w:bCs/>
                <w:color w:val="auto"/>
                <w:sz w:val="21"/>
                <w:szCs w:val="21"/>
                <w:highlight w:val="none"/>
                <w:lang w:eastAsia="zh-CN"/>
              </w:rPr>
              <w:t>；</w:t>
            </w:r>
            <w:r>
              <w:rPr>
                <w:rFonts w:hint="eastAsia"/>
                <w:bCs/>
                <w:color w:val="auto"/>
                <w:sz w:val="21"/>
                <w:szCs w:val="21"/>
                <w:highlight w:val="none"/>
              </w:rPr>
              <w:t>计算系数具体见</w:t>
            </w:r>
            <w:r>
              <w:rPr>
                <w:rFonts w:hint="eastAsia"/>
                <w:bCs/>
                <w:color w:val="auto"/>
                <w:sz w:val="21"/>
                <w:szCs w:val="21"/>
                <w:highlight w:val="none"/>
                <w:lang w:val="en-US" w:eastAsia="zh-CN"/>
              </w:rPr>
              <w:t>下表</w:t>
            </w:r>
            <w:r>
              <w:rPr>
                <w:rFonts w:hint="eastAsia"/>
                <w:bCs/>
                <w:color w:val="auto"/>
                <w:sz w:val="21"/>
                <w:szCs w:val="21"/>
                <w:highlight w:val="none"/>
              </w:rPr>
              <w:t>。</w:t>
            </w:r>
          </w:p>
          <w:p>
            <w:pPr>
              <w:widowControl w:val="0"/>
              <w:adjustRightInd w:val="0"/>
              <w:snapToGrid w:val="0"/>
              <w:spacing w:line="500" w:lineRule="exact"/>
              <w:ind w:firstLine="420" w:firstLineChars="200"/>
              <w:jc w:val="both"/>
              <w:rPr>
                <w:rFonts w:hint="eastAsia"/>
                <w:bCs/>
                <w:color w:val="auto"/>
                <w:sz w:val="21"/>
                <w:szCs w:val="21"/>
                <w:highlight w:val="none"/>
              </w:rPr>
            </w:pPr>
            <w:r>
              <w:rPr>
                <w:rFonts w:hint="eastAsia"/>
                <w:bCs/>
                <w:color w:val="auto"/>
                <w:sz w:val="21"/>
                <w:szCs w:val="21"/>
                <w:highlight w:val="none"/>
              </w:rPr>
              <w:t>r——大气有害物质无组织排放源所在生产单元的等效半径，m，可按生产单元占地面积S换算：</w:t>
            </w:r>
          </w:p>
          <w:p>
            <w:pPr>
              <w:adjustRightInd w:val="0"/>
              <w:snapToGrid w:val="0"/>
              <w:spacing w:line="500" w:lineRule="exact"/>
              <w:ind w:firstLine="420" w:firstLineChars="200"/>
              <w:jc w:val="center"/>
              <w:rPr>
                <w:rFonts w:hint="eastAsia"/>
                <w:bCs/>
                <w:color w:val="auto"/>
                <w:sz w:val="21"/>
                <w:szCs w:val="21"/>
                <w:highlight w:val="none"/>
              </w:rPr>
            </w:pPr>
            <w:r>
              <w:rPr>
                <w:rFonts w:hint="eastAsia"/>
                <w:bCs/>
                <w:color w:val="auto"/>
                <w:position w:val="-8"/>
                <w:sz w:val="21"/>
                <w:szCs w:val="21"/>
                <w:highlight w:val="none"/>
              </w:rPr>
              <w:object>
                <v:shape id="_x0000_i1026" o:spt="75" type="#_x0000_t75" style="height:18pt;width:52pt;" o:ole="t" filled="f" o:preferrelative="t" stroked="f" coordsize="21600,21600">
                  <v:path/>
                  <v:fill on="f" focussize="0,0"/>
                  <v:stroke on="f"/>
                  <v:imagedata r:id="rId14" o:title=""/>
                  <o:lock v:ext="edit" aspectratio="t"/>
                  <w10:wrap type="none"/>
                  <w10:anchorlock/>
                </v:shape>
                <o:OLEObject Type="Embed" ProgID="Equation.KSEE3" ShapeID="_x0000_i1026" DrawAspect="Content" ObjectID="_1468075727" r:id="rId13">
                  <o:LockedField>false</o:LockedField>
                </o:OLEObject>
              </w:object>
            </w:r>
          </w:p>
          <w:p>
            <w:pPr>
              <w:adjustRightInd w:val="0"/>
              <w:snapToGrid w:val="0"/>
              <w:spacing w:line="500" w:lineRule="exact"/>
              <w:ind w:firstLine="420" w:firstLineChars="200"/>
              <w:jc w:val="both"/>
              <w:rPr>
                <w:bCs/>
                <w:color w:val="auto"/>
                <w:sz w:val="24"/>
                <w:szCs w:val="24"/>
                <w:highlight w:val="none"/>
              </w:rPr>
            </w:pPr>
            <w:r>
              <w:rPr>
                <w:rFonts w:hint="eastAsia"/>
                <w:bCs/>
                <w:color w:val="auto"/>
                <w:sz w:val="21"/>
                <w:szCs w:val="21"/>
                <w:highlight w:val="none"/>
              </w:rPr>
              <w:t>项目</w:t>
            </w:r>
            <w:r>
              <w:rPr>
                <w:rFonts w:hint="eastAsia"/>
                <w:bCs/>
                <w:color w:val="auto"/>
                <w:sz w:val="21"/>
                <w:szCs w:val="21"/>
                <w:highlight w:val="none"/>
                <w:lang w:eastAsia="zh-CN"/>
              </w:rPr>
              <w:t>机加工车间</w:t>
            </w:r>
            <w:r>
              <w:rPr>
                <w:rFonts w:hint="eastAsia"/>
                <w:bCs/>
                <w:color w:val="auto"/>
                <w:sz w:val="21"/>
                <w:szCs w:val="21"/>
                <w:highlight w:val="none"/>
              </w:rPr>
              <w:t>占地面积约</w:t>
            </w:r>
            <w:r>
              <w:rPr>
                <w:rFonts w:hint="eastAsia" w:eastAsia="宋体" w:cs="Times New Roman"/>
                <w:color w:val="auto"/>
                <w:sz w:val="21"/>
                <w:szCs w:val="21"/>
                <w:lang w:val="en-US" w:eastAsia="zh-CN"/>
              </w:rPr>
              <w:t>18279.04</w:t>
            </w:r>
            <w:r>
              <w:rPr>
                <w:rFonts w:hint="eastAsia"/>
                <w:bCs/>
                <w:color w:val="auto"/>
                <w:sz w:val="21"/>
                <w:szCs w:val="21"/>
                <w:highlight w:val="none"/>
              </w:rPr>
              <w:t>m</w:t>
            </w:r>
            <w:r>
              <w:rPr>
                <w:rFonts w:hint="eastAsia"/>
                <w:bCs/>
                <w:color w:val="auto"/>
                <w:sz w:val="21"/>
                <w:szCs w:val="21"/>
                <w:highlight w:val="none"/>
                <w:vertAlign w:val="superscript"/>
              </w:rPr>
              <w:t>2</w:t>
            </w:r>
            <w:r>
              <w:rPr>
                <w:rFonts w:hint="eastAsia"/>
                <w:bCs/>
                <w:color w:val="auto"/>
                <w:sz w:val="21"/>
                <w:szCs w:val="21"/>
                <w:highlight w:val="none"/>
              </w:rPr>
              <w:t>，则r</w:t>
            </w:r>
            <w:r>
              <w:rPr>
                <w:rFonts w:hint="eastAsia"/>
                <w:bCs/>
                <w:color w:val="auto"/>
                <w:sz w:val="21"/>
                <w:szCs w:val="21"/>
                <w:highlight w:val="none"/>
                <w:vertAlign w:val="subscript"/>
                <w:lang w:val="en-US" w:eastAsia="zh-CN"/>
              </w:rPr>
              <w:t>1</w:t>
            </w:r>
            <w:r>
              <w:rPr>
                <w:rFonts w:hint="eastAsia"/>
                <w:bCs/>
                <w:color w:val="auto"/>
                <w:sz w:val="21"/>
                <w:szCs w:val="21"/>
                <w:highlight w:val="none"/>
              </w:rPr>
              <w:t>=</w:t>
            </w:r>
            <w:r>
              <w:rPr>
                <w:rFonts w:hint="eastAsia"/>
                <w:bCs/>
                <w:color w:val="auto"/>
                <w:sz w:val="21"/>
                <w:szCs w:val="21"/>
                <w:highlight w:val="none"/>
                <w:lang w:val="en-US" w:eastAsia="zh-CN"/>
              </w:rPr>
              <w:t>76.30</w:t>
            </w:r>
            <w:r>
              <w:rPr>
                <w:rFonts w:hint="eastAsia"/>
                <w:bCs/>
                <w:color w:val="auto"/>
                <w:sz w:val="21"/>
                <w:szCs w:val="21"/>
                <w:highlight w:val="none"/>
              </w:rPr>
              <w:t>m。</w:t>
            </w:r>
          </w:p>
          <w:p>
            <w:pPr>
              <w:autoSpaceDE w:val="0"/>
              <w:autoSpaceDN w:val="0"/>
              <w:adjustRightInd w:val="0"/>
              <w:spacing w:line="500" w:lineRule="exact"/>
              <w:jc w:val="center"/>
              <w:rPr>
                <w:rFonts w:hint="eastAsia"/>
                <w:b/>
                <w:bCs/>
                <w:color w:val="auto"/>
                <w:szCs w:val="21"/>
                <w:highlight w:val="none"/>
              </w:rPr>
            </w:pPr>
            <w:r>
              <w:rPr>
                <w:b/>
                <w:bCs/>
                <w:color w:val="auto"/>
                <w:szCs w:val="21"/>
                <w:highlight w:val="none"/>
              </w:rPr>
              <w:t>表</w:t>
            </w:r>
            <w:r>
              <w:rPr>
                <w:rFonts w:hint="eastAsia"/>
                <w:b/>
                <w:bCs/>
                <w:color w:val="auto"/>
                <w:szCs w:val="21"/>
                <w:highlight w:val="none"/>
                <w:lang w:val="en-US" w:eastAsia="zh-CN"/>
              </w:rPr>
              <w:t>4-9</w:t>
            </w:r>
            <w:r>
              <w:rPr>
                <w:b/>
                <w:bCs/>
                <w:color w:val="auto"/>
                <w:szCs w:val="21"/>
                <w:highlight w:val="none"/>
              </w:rPr>
              <w:t xml:space="preserve"> </w:t>
            </w:r>
            <w:r>
              <w:rPr>
                <w:rFonts w:hint="eastAsia"/>
                <w:b/>
                <w:bCs/>
                <w:color w:val="auto"/>
                <w:szCs w:val="21"/>
                <w:highlight w:val="none"/>
              </w:rPr>
              <w:t>卫生防护距离初值计算系数</w:t>
            </w:r>
          </w:p>
          <w:tbl>
            <w:tblPr>
              <w:tblStyle w:val="2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69"/>
              <w:gridCol w:w="887"/>
              <w:gridCol w:w="710"/>
              <w:gridCol w:w="710"/>
              <w:gridCol w:w="713"/>
              <w:gridCol w:w="710"/>
              <w:gridCol w:w="710"/>
              <w:gridCol w:w="713"/>
              <w:gridCol w:w="710"/>
              <w:gridCol w:w="710"/>
              <w:gridCol w:w="7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532" w:type="pct"/>
                  <w:vMerge w:val="restart"/>
                  <w:noWrap w:val="0"/>
                  <w:vAlign w:val="center"/>
                </w:tcPr>
                <w:p>
                  <w:pPr>
                    <w:jc w:val="center"/>
                    <w:rPr>
                      <w:b/>
                      <w:bCs/>
                      <w:color w:val="auto"/>
                      <w:sz w:val="18"/>
                      <w:szCs w:val="18"/>
                      <w:highlight w:val="none"/>
                    </w:rPr>
                  </w:pPr>
                  <w:r>
                    <w:rPr>
                      <w:rFonts w:hint="eastAsia"/>
                      <w:b/>
                      <w:bCs/>
                      <w:color w:val="auto"/>
                      <w:sz w:val="18"/>
                      <w:szCs w:val="18"/>
                      <w:highlight w:val="none"/>
                    </w:rPr>
                    <w:t>卫生防护距离初值计算系数</w:t>
                  </w:r>
                </w:p>
              </w:tc>
              <w:tc>
                <w:tcPr>
                  <w:tcW w:w="543" w:type="pct"/>
                  <w:vMerge w:val="restart"/>
                  <w:noWrap w:val="0"/>
                  <w:vAlign w:val="center"/>
                </w:tcPr>
                <w:p>
                  <w:pPr>
                    <w:jc w:val="both"/>
                    <w:rPr>
                      <w:b/>
                      <w:bCs/>
                      <w:color w:val="auto"/>
                      <w:sz w:val="18"/>
                      <w:szCs w:val="18"/>
                      <w:highlight w:val="none"/>
                    </w:rPr>
                  </w:pPr>
                  <w:r>
                    <w:rPr>
                      <w:rFonts w:hint="eastAsia"/>
                      <w:b/>
                      <w:bCs/>
                      <w:color w:val="auto"/>
                      <w:sz w:val="18"/>
                      <w:szCs w:val="18"/>
                      <w:highlight w:val="none"/>
                    </w:rPr>
                    <w:t>工业企业所在地区近5年平均风速/（m/s）</w:t>
                  </w:r>
                </w:p>
              </w:tc>
              <w:tc>
                <w:tcPr>
                  <w:tcW w:w="3923" w:type="pct"/>
                  <w:gridSpan w:val="9"/>
                  <w:noWrap w:val="0"/>
                  <w:vAlign w:val="center"/>
                </w:tcPr>
                <w:p>
                  <w:pPr>
                    <w:jc w:val="center"/>
                    <w:rPr>
                      <w:b/>
                      <w:bCs/>
                      <w:color w:val="auto"/>
                      <w:sz w:val="18"/>
                      <w:szCs w:val="18"/>
                      <w:highlight w:val="none"/>
                    </w:rPr>
                  </w:pPr>
                  <w:r>
                    <w:rPr>
                      <w:rFonts w:hint="eastAsia"/>
                      <w:b/>
                      <w:bCs/>
                      <w:color w:val="auto"/>
                      <w:sz w:val="18"/>
                      <w:szCs w:val="18"/>
                      <w:highlight w:val="none"/>
                    </w:rPr>
                    <w:t>卫生防护距离L/m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532" w:type="pct"/>
                  <w:vMerge w:val="continue"/>
                  <w:noWrap w:val="0"/>
                  <w:vAlign w:val="center"/>
                </w:tcPr>
                <w:p>
                  <w:pPr>
                    <w:jc w:val="center"/>
                    <w:rPr>
                      <w:b/>
                      <w:bCs/>
                      <w:color w:val="auto"/>
                      <w:sz w:val="18"/>
                      <w:szCs w:val="18"/>
                      <w:highlight w:val="none"/>
                    </w:rPr>
                  </w:pPr>
                </w:p>
              </w:tc>
              <w:tc>
                <w:tcPr>
                  <w:tcW w:w="543" w:type="pct"/>
                  <w:vMerge w:val="continue"/>
                  <w:noWrap w:val="0"/>
                  <w:vAlign w:val="center"/>
                </w:tcPr>
                <w:p>
                  <w:pPr>
                    <w:jc w:val="center"/>
                    <w:rPr>
                      <w:b/>
                      <w:bCs/>
                      <w:color w:val="auto"/>
                      <w:sz w:val="18"/>
                      <w:szCs w:val="18"/>
                      <w:highlight w:val="none"/>
                    </w:rPr>
                  </w:pPr>
                </w:p>
              </w:tc>
              <w:tc>
                <w:tcPr>
                  <w:tcW w:w="1307" w:type="pct"/>
                  <w:gridSpan w:val="3"/>
                  <w:noWrap w:val="0"/>
                  <w:vAlign w:val="center"/>
                </w:tcPr>
                <w:p>
                  <w:pPr>
                    <w:jc w:val="center"/>
                    <w:rPr>
                      <w:b/>
                      <w:bCs/>
                      <w:color w:val="auto"/>
                      <w:sz w:val="18"/>
                      <w:szCs w:val="18"/>
                      <w:highlight w:val="none"/>
                    </w:rPr>
                  </w:pPr>
                  <w:r>
                    <w:rPr>
                      <w:rFonts w:hint="eastAsia"/>
                      <w:b/>
                      <w:bCs/>
                      <w:color w:val="auto"/>
                      <w:sz w:val="18"/>
                      <w:szCs w:val="18"/>
                      <w:highlight w:val="none"/>
                    </w:rPr>
                    <w:t>L≤1000</w:t>
                  </w:r>
                </w:p>
              </w:tc>
              <w:tc>
                <w:tcPr>
                  <w:tcW w:w="1307" w:type="pct"/>
                  <w:gridSpan w:val="3"/>
                  <w:noWrap w:val="0"/>
                  <w:vAlign w:val="center"/>
                </w:tcPr>
                <w:p>
                  <w:pPr>
                    <w:jc w:val="center"/>
                    <w:rPr>
                      <w:b/>
                      <w:bCs/>
                      <w:color w:val="auto"/>
                      <w:sz w:val="18"/>
                      <w:szCs w:val="18"/>
                      <w:highlight w:val="none"/>
                    </w:rPr>
                  </w:pPr>
                  <w:r>
                    <w:rPr>
                      <w:rFonts w:hint="eastAsia"/>
                      <w:b/>
                      <w:bCs/>
                      <w:color w:val="auto"/>
                      <w:sz w:val="18"/>
                      <w:szCs w:val="18"/>
                      <w:highlight w:val="none"/>
                    </w:rPr>
                    <w:t>1000＜L≤2000</w:t>
                  </w:r>
                </w:p>
              </w:tc>
              <w:tc>
                <w:tcPr>
                  <w:tcW w:w="1308" w:type="pct"/>
                  <w:gridSpan w:val="3"/>
                  <w:noWrap w:val="0"/>
                  <w:vAlign w:val="center"/>
                </w:tcPr>
                <w:p>
                  <w:pPr>
                    <w:jc w:val="center"/>
                    <w:rPr>
                      <w:b/>
                      <w:bCs/>
                      <w:color w:val="auto"/>
                      <w:sz w:val="18"/>
                      <w:szCs w:val="18"/>
                      <w:highlight w:val="none"/>
                    </w:rPr>
                  </w:pPr>
                  <w:r>
                    <w:rPr>
                      <w:rFonts w:hint="eastAsia"/>
                      <w:b/>
                      <w:bCs/>
                      <w:color w:val="auto"/>
                      <w:sz w:val="18"/>
                      <w:szCs w:val="18"/>
                      <w:highlight w:val="none"/>
                    </w:rPr>
                    <w:t>L＞2000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532" w:type="pct"/>
                  <w:vMerge w:val="continue"/>
                  <w:noWrap w:val="0"/>
                  <w:vAlign w:val="center"/>
                </w:tcPr>
                <w:p>
                  <w:pPr>
                    <w:jc w:val="center"/>
                    <w:rPr>
                      <w:b/>
                      <w:bCs/>
                      <w:color w:val="auto"/>
                      <w:sz w:val="18"/>
                      <w:szCs w:val="18"/>
                      <w:highlight w:val="none"/>
                    </w:rPr>
                  </w:pPr>
                </w:p>
              </w:tc>
              <w:tc>
                <w:tcPr>
                  <w:tcW w:w="543" w:type="pct"/>
                  <w:vMerge w:val="continue"/>
                  <w:noWrap w:val="0"/>
                  <w:vAlign w:val="center"/>
                </w:tcPr>
                <w:p>
                  <w:pPr>
                    <w:jc w:val="center"/>
                    <w:rPr>
                      <w:b/>
                      <w:bCs/>
                      <w:color w:val="auto"/>
                      <w:sz w:val="18"/>
                      <w:szCs w:val="18"/>
                      <w:highlight w:val="none"/>
                    </w:rPr>
                  </w:pPr>
                </w:p>
              </w:tc>
              <w:tc>
                <w:tcPr>
                  <w:tcW w:w="3923" w:type="pct"/>
                  <w:gridSpan w:val="9"/>
                  <w:noWrap w:val="0"/>
                  <w:vAlign w:val="center"/>
                </w:tcPr>
                <w:p>
                  <w:pPr>
                    <w:jc w:val="center"/>
                    <w:rPr>
                      <w:b/>
                      <w:bCs/>
                      <w:color w:val="auto"/>
                      <w:sz w:val="18"/>
                      <w:szCs w:val="18"/>
                      <w:highlight w:val="none"/>
                    </w:rPr>
                  </w:pPr>
                  <w:r>
                    <w:rPr>
                      <w:rFonts w:hint="eastAsia"/>
                      <w:b/>
                      <w:bCs/>
                      <w:color w:val="auto"/>
                      <w:sz w:val="18"/>
                      <w:szCs w:val="18"/>
                      <w:highlight w:val="none"/>
                    </w:rPr>
                    <w:t>工业企业大气污染源构成类型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532" w:type="pct"/>
                  <w:vMerge w:val="continue"/>
                  <w:noWrap w:val="0"/>
                  <w:vAlign w:val="center"/>
                </w:tcPr>
                <w:p>
                  <w:pPr>
                    <w:jc w:val="center"/>
                    <w:rPr>
                      <w:b/>
                      <w:bCs/>
                      <w:color w:val="auto"/>
                      <w:sz w:val="18"/>
                      <w:szCs w:val="18"/>
                      <w:highlight w:val="none"/>
                    </w:rPr>
                  </w:pPr>
                </w:p>
              </w:tc>
              <w:tc>
                <w:tcPr>
                  <w:tcW w:w="543" w:type="pct"/>
                  <w:vMerge w:val="continue"/>
                  <w:noWrap w:val="0"/>
                  <w:vAlign w:val="center"/>
                </w:tcPr>
                <w:p>
                  <w:pPr>
                    <w:jc w:val="center"/>
                    <w:rPr>
                      <w:b/>
                      <w:bCs/>
                      <w:color w:val="auto"/>
                      <w:sz w:val="18"/>
                      <w:szCs w:val="18"/>
                      <w:highlight w:val="none"/>
                    </w:rPr>
                  </w:pPr>
                </w:p>
              </w:tc>
              <w:tc>
                <w:tcPr>
                  <w:tcW w:w="435" w:type="pct"/>
                  <w:noWrap w:val="0"/>
                  <w:vAlign w:val="center"/>
                </w:tcPr>
                <w:p>
                  <w:pPr>
                    <w:jc w:val="center"/>
                    <w:rPr>
                      <w:b/>
                      <w:bCs/>
                      <w:color w:val="auto"/>
                      <w:sz w:val="18"/>
                      <w:szCs w:val="18"/>
                      <w:highlight w:val="none"/>
                    </w:rPr>
                  </w:pPr>
                  <w:r>
                    <w:rPr>
                      <w:b/>
                      <w:bCs/>
                      <w:color w:val="auto"/>
                      <w:sz w:val="18"/>
                      <w:szCs w:val="18"/>
                      <w:highlight w:val="none"/>
                    </w:rPr>
                    <w:t>Ⅰ</w:t>
                  </w:r>
                </w:p>
              </w:tc>
              <w:tc>
                <w:tcPr>
                  <w:tcW w:w="435" w:type="pct"/>
                  <w:noWrap w:val="0"/>
                  <w:vAlign w:val="center"/>
                </w:tcPr>
                <w:p>
                  <w:pPr>
                    <w:jc w:val="center"/>
                    <w:rPr>
                      <w:b/>
                      <w:bCs/>
                      <w:color w:val="auto"/>
                      <w:sz w:val="18"/>
                      <w:szCs w:val="18"/>
                      <w:highlight w:val="none"/>
                    </w:rPr>
                  </w:pPr>
                  <w:r>
                    <w:rPr>
                      <w:b/>
                      <w:bCs/>
                      <w:color w:val="auto"/>
                      <w:sz w:val="18"/>
                      <w:szCs w:val="18"/>
                      <w:highlight w:val="none"/>
                    </w:rPr>
                    <w:t>Ⅱ</w:t>
                  </w:r>
                </w:p>
              </w:tc>
              <w:tc>
                <w:tcPr>
                  <w:tcW w:w="436" w:type="pct"/>
                  <w:noWrap w:val="0"/>
                  <w:vAlign w:val="center"/>
                </w:tcPr>
                <w:p>
                  <w:pPr>
                    <w:jc w:val="center"/>
                    <w:rPr>
                      <w:b/>
                      <w:bCs/>
                      <w:color w:val="auto"/>
                      <w:sz w:val="18"/>
                      <w:szCs w:val="18"/>
                      <w:highlight w:val="none"/>
                    </w:rPr>
                  </w:pPr>
                  <w:r>
                    <w:rPr>
                      <w:b/>
                      <w:bCs/>
                      <w:color w:val="auto"/>
                      <w:sz w:val="18"/>
                      <w:szCs w:val="18"/>
                      <w:highlight w:val="none"/>
                    </w:rPr>
                    <w:t>Ⅲ</w:t>
                  </w:r>
                </w:p>
              </w:tc>
              <w:tc>
                <w:tcPr>
                  <w:tcW w:w="435" w:type="pct"/>
                  <w:noWrap w:val="0"/>
                  <w:vAlign w:val="center"/>
                </w:tcPr>
                <w:p>
                  <w:pPr>
                    <w:jc w:val="center"/>
                    <w:rPr>
                      <w:b/>
                      <w:bCs/>
                      <w:color w:val="auto"/>
                      <w:sz w:val="18"/>
                      <w:szCs w:val="18"/>
                      <w:highlight w:val="none"/>
                    </w:rPr>
                  </w:pPr>
                  <w:r>
                    <w:rPr>
                      <w:b/>
                      <w:bCs/>
                      <w:color w:val="auto"/>
                      <w:sz w:val="18"/>
                      <w:szCs w:val="18"/>
                      <w:highlight w:val="none"/>
                    </w:rPr>
                    <w:t>Ⅰ</w:t>
                  </w:r>
                </w:p>
              </w:tc>
              <w:tc>
                <w:tcPr>
                  <w:tcW w:w="435" w:type="pct"/>
                  <w:noWrap w:val="0"/>
                  <w:vAlign w:val="center"/>
                </w:tcPr>
                <w:p>
                  <w:pPr>
                    <w:jc w:val="center"/>
                    <w:rPr>
                      <w:b/>
                      <w:bCs/>
                      <w:color w:val="auto"/>
                      <w:sz w:val="18"/>
                      <w:szCs w:val="18"/>
                      <w:highlight w:val="none"/>
                    </w:rPr>
                  </w:pPr>
                  <w:r>
                    <w:rPr>
                      <w:b/>
                      <w:bCs/>
                      <w:color w:val="auto"/>
                      <w:sz w:val="18"/>
                      <w:szCs w:val="18"/>
                      <w:highlight w:val="none"/>
                    </w:rPr>
                    <w:t>Ⅱ</w:t>
                  </w:r>
                </w:p>
              </w:tc>
              <w:tc>
                <w:tcPr>
                  <w:tcW w:w="436" w:type="pct"/>
                  <w:noWrap w:val="0"/>
                  <w:vAlign w:val="center"/>
                </w:tcPr>
                <w:p>
                  <w:pPr>
                    <w:jc w:val="center"/>
                    <w:rPr>
                      <w:b/>
                      <w:bCs/>
                      <w:color w:val="auto"/>
                      <w:sz w:val="18"/>
                      <w:szCs w:val="18"/>
                      <w:highlight w:val="none"/>
                    </w:rPr>
                  </w:pPr>
                  <w:r>
                    <w:rPr>
                      <w:b/>
                      <w:bCs/>
                      <w:color w:val="auto"/>
                      <w:sz w:val="18"/>
                      <w:szCs w:val="18"/>
                      <w:highlight w:val="none"/>
                    </w:rPr>
                    <w:t>Ⅲ</w:t>
                  </w:r>
                </w:p>
              </w:tc>
              <w:tc>
                <w:tcPr>
                  <w:tcW w:w="435" w:type="pct"/>
                  <w:noWrap w:val="0"/>
                  <w:vAlign w:val="center"/>
                </w:tcPr>
                <w:p>
                  <w:pPr>
                    <w:jc w:val="center"/>
                    <w:rPr>
                      <w:b/>
                      <w:bCs/>
                      <w:color w:val="auto"/>
                      <w:sz w:val="18"/>
                      <w:szCs w:val="18"/>
                      <w:highlight w:val="none"/>
                    </w:rPr>
                  </w:pPr>
                  <w:r>
                    <w:rPr>
                      <w:b/>
                      <w:bCs/>
                      <w:color w:val="auto"/>
                      <w:sz w:val="18"/>
                      <w:szCs w:val="18"/>
                      <w:highlight w:val="none"/>
                    </w:rPr>
                    <w:t>Ⅰ</w:t>
                  </w:r>
                </w:p>
              </w:tc>
              <w:tc>
                <w:tcPr>
                  <w:tcW w:w="435" w:type="pct"/>
                  <w:noWrap w:val="0"/>
                  <w:vAlign w:val="center"/>
                </w:tcPr>
                <w:p>
                  <w:pPr>
                    <w:jc w:val="center"/>
                    <w:rPr>
                      <w:b/>
                      <w:bCs/>
                      <w:color w:val="auto"/>
                      <w:sz w:val="18"/>
                      <w:szCs w:val="18"/>
                      <w:highlight w:val="none"/>
                    </w:rPr>
                  </w:pPr>
                  <w:r>
                    <w:rPr>
                      <w:b/>
                      <w:bCs/>
                      <w:color w:val="auto"/>
                      <w:sz w:val="18"/>
                      <w:szCs w:val="18"/>
                      <w:highlight w:val="none"/>
                    </w:rPr>
                    <w:t>Ⅱ</w:t>
                  </w:r>
                </w:p>
              </w:tc>
              <w:tc>
                <w:tcPr>
                  <w:tcW w:w="436" w:type="pct"/>
                  <w:noWrap w:val="0"/>
                  <w:vAlign w:val="center"/>
                </w:tcPr>
                <w:p>
                  <w:pPr>
                    <w:jc w:val="center"/>
                    <w:rPr>
                      <w:b/>
                      <w:bCs/>
                      <w:color w:val="auto"/>
                      <w:sz w:val="18"/>
                      <w:szCs w:val="18"/>
                      <w:highlight w:val="none"/>
                    </w:rPr>
                  </w:pPr>
                  <w:r>
                    <w:rPr>
                      <w:b/>
                      <w:bCs/>
                      <w:color w:val="auto"/>
                      <w:sz w:val="18"/>
                      <w:szCs w:val="18"/>
                      <w:highlight w:val="none"/>
                    </w:rPr>
                    <w:t>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532" w:type="pct"/>
                  <w:vMerge w:val="restart"/>
                  <w:noWrap w:val="0"/>
                  <w:vAlign w:val="center"/>
                </w:tcPr>
                <w:p>
                  <w:pPr>
                    <w:jc w:val="center"/>
                    <w:rPr>
                      <w:rFonts w:hint="eastAsia"/>
                      <w:color w:val="auto"/>
                      <w:sz w:val="18"/>
                      <w:szCs w:val="18"/>
                      <w:highlight w:val="none"/>
                    </w:rPr>
                  </w:pPr>
                  <w:r>
                    <w:rPr>
                      <w:rFonts w:hint="eastAsia"/>
                      <w:color w:val="auto"/>
                      <w:sz w:val="18"/>
                      <w:szCs w:val="18"/>
                      <w:highlight w:val="none"/>
                    </w:rPr>
                    <w:t>A</w:t>
                  </w:r>
                </w:p>
              </w:tc>
              <w:tc>
                <w:tcPr>
                  <w:tcW w:w="543" w:type="pct"/>
                  <w:noWrap w:val="0"/>
                  <w:vAlign w:val="center"/>
                </w:tcPr>
                <w:p>
                  <w:pPr>
                    <w:jc w:val="center"/>
                    <w:rPr>
                      <w:color w:val="auto"/>
                      <w:sz w:val="18"/>
                      <w:szCs w:val="18"/>
                      <w:highlight w:val="none"/>
                    </w:rPr>
                  </w:pPr>
                  <w:r>
                    <w:rPr>
                      <w:rFonts w:hint="eastAsia"/>
                      <w:color w:val="auto"/>
                      <w:sz w:val="18"/>
                      <w:szCs w:val="18"/>
                      <w:highlight w:val="none"/>
                    </w:rPr>
                    <w:t>＜2</w:t>
                  </w:r>
                </w:p>
              </w:tc>
              <w:tc>
                <w:tcPr>
                  <w:tcW w:w="435" w:type="pct"/>
                  <w:noWrap w:val="0"/>
                  <w:vAlign w:val="center"/>
                </w:tcPr>
                <w:p>
                  <w:pPr>
                    <w:jc w:val="center"/>
                    <w:rPr>
                      <w:color w:val="auto"/>
                      <w:sz w:val="18"/>
                      <w:szCs w:val="18"/>
                      <w:highlight w:val="none"/>
                    </w:rPr>
                  </w:pPr>
                  <w:r>
                    <w:rPr>
                      <w:rFonts w:hint="eastAsia"/>
                      <w:color w:val="auto"/>
                      <w:sz w:val="18"/>
                      <w:szCs w:val="18"/>
                      <w:highlight w:val="none"/>
                    </w:rPr>
                    <w:t>400</w:t>
                  </w:r>
                </w:p>
              </w:tc>
              <w:tc>
                <w:tcPr>
                  <w:tcW w:w="435" w:type="pct"/>
                  <w:noWrap w:val="0"/>
                  <w:vAlign w:val="center"/>
                </w:tcPr>
                <w:p>
                  <w:pPr>
                    <w:jc w:val="center"/>
                    <w:rPr>
                      <w:color w:val="auto"/>
                      <w:sz w:val="18"/>
                      <w:szCs w:val="18"/>
                      <w:highlight w:val="none"/>
                    </w:rPr>
                  </w:pPr>
                  <w:r>
                    <w:rPr>
                      <w:rFonts w:hint="eastAsia"/>
                      <w:color w:val="auto"/>
                      <w:sz w:val="18"/>
                      <w:szCs w:val="18"/>
                      <w:highlight w:val="none"/>
                    </w:rPr>
                    <w:t>400</w:t>
                  </w:r>
                </w:p>
              </w:tc>
              <w:tc>
                <w:tcPr>
                  <w:tcW w:w="436" w:type="pct"/>
                  <w:noWrap w:val="0"/>
                  <w:vAlign w:val="center"/>
                </w:tcPr>
                <w:p>
                  <w:pPr>
                    <w:jc w:val="center"/>
                    <w:rPr>
                      <w:color w:val="auto"/>
                      <w:sz w:val="18"/>
                      <w:szCs w:val="18"/>
                      <w:highlight w:val="none"/>
                    </w:rPr>
                  </w:pPr>
                  <w:r>
                    <w:rPr>
                      <w:rFonts w:hint="eastAsia"/>
                      <w:color w:val="auto"/>
                      <w:sz w:val="18"/>
                      <w:szCs w:val="18"/>
                      <w:highlight w:val="none"/>
                    </w:rPr>
                    <w:t>400</w:t>
                  </w:r>
                </w:p>
              </w:tc>
              <w:tc>
                <w:tcPr>
                  <w:tcW w:w="435" w:type="pct"/>
                  <w:noWrap w:val="0"/>
                  <w:vAlign w:val="center"/>
                </w:tcPr>
                <w:p>
                  <w:pPr>
                    <w:jc w:val="center"/>
                    <w:rPr>
                      <w:color w:val="auto"/>
                      <w:sz w:val="18"/>
                      <w:szCs w:val="18"/>
                      <w:highlight w:val="none"/>
                    </w:rPr>
                  </w:pPr>
                  <w:r>
                    <w:rPr>
                      <w:rFonts w:hint="eastAsia"/>
                      <w:color w:val="auto"/>
                      <w:sz w:val="18"/>
                      <w:szCs w:val="18"/>
                      <w:highlight w:val="none"/>
                    </w:rPr>
                    <w:t>400</w:t>
                  </w:r>
                </w:p>
              </w:tc>
              <w:tc>
                <w:tcPr>
                  <w:tcW w:w="435" w:type="pct"/>
                  <w:noWrap w:val="0"/>
                  <w:vAlign w:val="center"/>
                </w:tcPr>
                <w:p>
                  <w:pPr>
                    <w:jc w:val="center"/>
                    <w:rPr>
                      <w:color w:val="auto"/>
                      <w:sz w:val="18"/>
                      <w:szCs w:val="18"/>
                      <w:highlight w:val="none"/>
                    </w:rPr>
                  </w:pPr>
                  <w:r>
                    <w:rPr>
                      <w:rFonts w:hint="eastAsia"/>
                      <w:color w:val="auto"/>
                      <w:sz w:val="18"/>
                      <w:szCs w:val="18"/>
                      <w:highlight w:val="none"/>
                    </w:rPr>
                    <w:t>400</w:t>
                  </w:r>
                </w:p>
              </w:tc>
              <w:tc>
                <w:tcPr>
                  <w:tcW w:w="436" w:type="pct"/>
                  <w:noWrap w:val="0"/>
                  <w:vAlign w:val="center"/>
                </w:tcPr>
                <w:p>
                  <w:pPr>
                    <w:jc w:val="center"/>
                    <w:rPr>
                      <w:color w:val="auto"/>
                      <w:sz w:val="18"/>
                      <w:szCs w:val="18"/>
                      <w:highlight w:val="none"/>
                    </w:rPr>
                  </w:pPr>
                  <w:r>
                    <w:rPr>
                      <w:rFonts w:hint="eastAsia"/>
                      <w:color w:val="auto"/>
                      <w:sz w:val="18"/>
                      <w:szCs w:val="18"/>
                      <w:highlight w:val="none"/>
                    </w:rPr>
                    <w:t>400</w:t>
                  </w:r>
                </w:p>
              </w:tc>
              <w:tc>
                <w:tcPr>
                  <w:tcW w:w="435" w:type="pct"/>
                  <w:noWrap w:val="0"/>
                  <w:vAlign w:val="center"/>
                </w:tcPr>
                <w:p>
                  <w:pPr>
                    <w:jc w:val="center"/>
                    <w:rPr>
                      <w:color w:val="auto"/>
                      <w:sz w:val="18"/>
                      <w:szCs w:val="18"/>
                      <w:highlight w:val="none"/>
                    </w:rPr>
                  </w:pPr>
                  <w:r>
                    <w:rPr>
                      <w:rFonts w:hint="eastAsia"/>
                      <w:color w:val="auto"/>
                      <w:sz w:val="18"/>
                      <w:szCs w:val="18"/>
                      <w:highlight w:val="none"/>
                    </w:rPr>
                    <w:t>80</w:t>
                  </w:r>
                </w:p>
              </w:tc>
              <w:tc>
                <w:tcPr>
                  <w:tcW w:w="435" w:type="pct"/>
                  <w:noWrap w:val="0"/>
                  <w:vAlign w:val="center"/>
                </w:tcPr>
                <w:p>
                  <w:pPr>
                    <w:jc w:val="center"/>
                    <w:rPr>
                      <w:color w:val="auto"/>
                      <w:sz w:val="18"/>
                      <w:szCs w:val="18"/>
                      <w:highlight w:val="none"/>
                    </w:rPr>
                  </w:pPr>
                  <w:r>
                    <w:rPr>
                      <w:rFonts w:hint="eastAsia"/>
                      <w:color w:val="auto"/>
                      <w:sz w:val="18"/>
                      <w:szCs w:val="18"/>
                      <w:highlight w:val="none"/>
                    </w:rPr>
                    <w:t>80</w:t>
                  </w:r>
                </w:p>
              </w:tc>
              <w:tc>
                <w:tcPr>
                  <w:tcW w:w="436" w:type="pct"/>
                  <w:noWrap w:val="0"/>
                  <w:vAlign w:val="center"/>
                </w:tcPr>
                <w:p>
                  <w:pPr>
                    <w:jc w:val="center"/>
                    <w:rPr>
                      <w:color w:val="auto"/>
                      <w:sz w:val="18"/>
                      <w:szCs w:val="18"/>
                      <w:highlight w:val="none"/>
                    </w:rPr>
                  </w:pPr>
                  <w:r>
                    <w:rPr>
                      <w:rFonts w:hint="eastAsia"/>
                      <w:color w:val="auto"/>
                      <w:sz w:val="18"/>
                      <w:szCs w:val="18"/>
                      <w:highlight w:val="none"/>
                    </w:rPr>
                    <w:t>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532" w:type="pct"/>
                  <w:vMerge w:val="continue"/>
                  <w:noWrap w:val="0"/>
                  <w:vAlign w:val="center"/>
                </w:tcPr>
                <w:p>
                  <w:pPr>
                    <w:jc w:val="center"/>
                    <w:rPr>
                      <w:color w:val="auto"/>
                      <w:sz w:val="18"/>
                      <w:szCs w:val="18"/>
                      <w:highlight w:val="none"/>
                    </w:rPr>
                  </w:pPr>
                </w:p>
              </w:tc>
              <w:tc>
                <w:tcPr>
                  <w:tcW w:w="543" w:type="pct"/>
                  <w:noWrap w:val="0"/>
                  <w:vAlign w:val="center"/>
                </w:tcPr>
                <w:p>
                  <w:pPr>
                    <w:jc w:val="center"/>
                    <w:rPr>
                      <w:color w:val="auto"/>
                      <w:sz w:val="18"/>
                      <w:szCs w:val="18"/>
                      <w:highlight w:val="none"/>
                    </w:rPr>
                  </w:pPr>
                  <w:r>
                    <w:rPr>
                      <w:rFonts w:hint="eastAsia"/>
                      <w:color w:val="auto"/>
                      <w:sz w:val="18"/>
                      <w:szCs w:val="18"/>
                      <w:highlight w:val="none"/>
                    </w:rPr>
                    <w:t>2~4</w:t>
                  </w:r>
                </w:p>
              </w:tc>
              <w:tc>
                <w:tcPr>
                  <w:tcW w:w="435" w:type="pct"/>
                  <w:noWrap w:val="0"/>
                  <w:vAlign w:val="center"/>
                </w:tcPr>
                <w:p>
                  <w:pPr>
                    <w:jc w:val="center"/>
                    <w:rPr>
                      <w:color w:val="auto"/>
                      <w:sz w:val="18"/>
                      <w:szCs w:val="18"/>
                      <w:highlight w:val="none"/>
                    </w:rPr>
                  </w:pPr>
                  <w:r>
                    <w:rPr>
                      <w:rFonts w:hint="eastAsia"/>
                      <w:color w:val="auto"/>
                      <w:sz w:val="18"/>
                      <w:szCs w:val="18"/>
                      <w:highlight w:val="none"/>
                    </w:rPr>
                    <w:t>700</w:t>
                  </w:r>
                </w:p>
              </w:tc>
              <w:tc>
                <w:tcPr>
                  <w:tcW w:w="435" w:type="pct"/>
                  <w:noWrap w:val="0"/>
                  <w:vAlign w:val="center"/>
                </w:tcPr>
                <w:p>
                  <w:pPr>
                    <w:jc w:val="center"/>
                    <w:rPr>
                      <w:color w:val="auto"/>
                      <w:sz w:val="18"/>
                      <w:szCs w:val="18"/>
                      <w:highlight w:val="none"/>
                    </w:rPr>
                  </w:pPr>
                  <w:r>
                    <w:rPr>
                      <w:rFonts w:hint="eastAsia"/>
                      <w:color w:val="auto"/>
                      <w:sz w:val="18"/>
                      <w:szCs w:val="18"/>
                      <w:highlight w:val="none"/>
                    </w:rPr>
                    <w:t>470</w:t>
                  </w:r>
                </w:p>
              </w:tc>
              <w:tc>
                <w:tcPr>
                  <w:tcW w:w="436" w:type="pct"/>
                  <w:noWrap w:val="0"/>
                  <w:vAlign w:val="center"/>
                </w:tcPr>
                <w:p>
                  <w:pPr>
                    <w:jc w:val="center"/>
                    <w:rPr>
                      <w:color w:val="auto"/>
                      <w:sz w:val="18"/>
                      <w:szCs w:val="18"/>
                      <w:highlight w:val="none"/>
                    </w:rPr>
                  </w:pPr>
                  <w:r>
                    <w:rPr>
                      <w:rFonts w:hint="eastAsia"/>
                      <w:color w:val="auto"/>
                      <w:sz w:val="18"/>
                      <w:szCs w:val="18"/>
                      <w:highlight w:val="none"/>
                    </w:rPr>
                    <w:t>350</w:t>
                  </w:r>
                </w:p>
              </w:tc>
              <w:tc>
                <w:tcPr>
                  <w:tcW w:w="435" w:type="pct"/>
                  <w:noWrap w:val="0"/>
                  <w:vAlign w:val="center"/>
                </w:tcPr>
                <w:p>
                  <w:pPr>
                    <w:jc w:val="center"/>
                    <w:rPr>
                      <w:color w:val="auto"/>
                      <w:sz w:val="18"/>
                      <w:szCs w:val="18"/>
                      <w:highlight w:val="none"/>
                    </w:rPr>
                  </w:pPr>
                  <w:r>
                    <w:rPr>
                      <w:rFonts w:hint="eastAsia"/>
                      <w:color w:val="auto"/>
                      <w:sz w:val="18"/>
                      <w:szCs w:val="18"/>
                      <w:highlight w:val="none"/>
                    </w:rPr>
                    <w:t>700</w:t>
                  </w:r>
                </w:p>
              </w:tc>
              <w:tc>
                <w:tcPr>
                  <w:tcW w:w="435" w:type="pct"/>
                  <w:noWrap w:val="0"/>
                  <w:vAlign w:val="center"/>
                </w:tcPr>
                <w:p>
                  <w:pPr>
                    <w:jc w:val="center"/>
                    <w:rPr>
                      <w:color w:val="auto"/>
                      <w:sz w:val="18"/>
                      <w:szCs w:val="18"/>
                      <w:highlight w:val="none"/>
                    </w:rPr>
                  </w:pPr>
                  <w:r>
                    <w:rPr>
                      <w:rFonts w:hint="eastAsia"/>
                      <w:color w:val="auto"/>
                      <w:sz w:val="18"/>
                      <w:szCs w:val="18"/>
                      <w:highlight w:val="none"/>
                    </w:rPr>
                    <w:t>470</w:t>
                  </w:r>
                </w:p>
              </w:tc>
              <w:tc>
                <w:tcPr>
                  <w:tcW w:w="436" w:type="pct"/>
                  <w:noWrap w:val="0"/>
                  <w:vAlign w:val="center"/>
                </w:tcPr>
                <w:p>
                  <w:pPr>
                    <w:jc w:val="center"/>
                    <w:rPr>
                      <w:color w:val="auto"/>
                      <w:sz w:val="18"/>
                      <w:szCs w:val="18"/>
                      <w:highlight w:val="none"/>
                    </w:rPr>
                  </w:pPr>
                  <w:r>
                    <w:rPr>
                      <w:rFonts w:hint="eastAsia"/>
                      <w:color w:val="auto"/>
                      <w:sz w:val="18"/>
                      <w:szCs w:val="18"/>
                      <w:highlight w:val="none"/>
                    </w:rPr>
                    <w:t>350</w:t>
                  </w:r>
                </w:p>
              </w:tc>
              <w:tc>
                <w:tcPr>
                  <w:tcW w:w="435" w:type="pct"/>
                  <w:noWrap w:val="0"/>
                  <w:vAlign w:val="center"/>
                </w:tcPr>
                <w:p>
                  <w:pPr>
                    <w:jc w:val="center"/>
                    <w:rPr>
                      <w:color w:val="auto"/>
                      <w:sz w:val="18"/>
                      <w:szCs w:val="18"/>
                      <w:highlight w:val="none"/>
                    </w:rPr>
                  </w:pPr>
                  <w:r>
                    <w:rPr>
                      <w:rFonts w:hint="eastAsia"/>
                      <w:color w:val="auto"/>
                      <w:sz w:val="18"/>
                      <w:szCs w:val="18"/>
                      <w:highlight w:val="none"/>
                    </w:rPr>
                    <w:t>380</w:t>
                  </w:r>
                </w:p>
              </w:tc>
              <w:tc>
                <w:tcPr>
                  <w:tcW w:w="435" w:type="pct"/>
                  <w:noWrap w:val="0"/>
                  <w:vAlign w:val="center"/>
                </w:tcPr>
                <w:p>
                  <w:pPr>
                    <w:jc w:val="center"/>
                    <w:rPr>
                      <w:color w:val="auto"/>
                      <w:sz w:val="18"/>
                      <w:szCs w:val="18"/>
                      <w:highlight w:val="none"/>
                    </w:rPr>
                  </w:pPr>
                  <w:r>
                    <w:rPr>
                      <w:rFonts w:hint="eastAsia"/>
                      <w:color w:val="auto"/>
                      <w:sz w:val="18"/>
                      <w:szCs w:val="18"/>
                      <w:highlight w:val="none"/>
                    </w:rPr>
                    <w:t>250</w:t>
                  </w:r>
                </w:p>
              </w:tc>
              <w:tc>
                <w:tcPr>
                  <w:tcW w:w="436" w:type="pct"/>
                  <w:noWrap w:val="0"/>
                  <w:vAlign w:val="center"/>
                </w:tcPr>
                <w:p>
                  <w:pPr>
                    <w:jc w:val="center"/>
                    <w:rPr>
                      <w:color w:val="auto"/>
                      <w:sz w:val="18"/>
                      <w:szCs w:val="18"/>
                      <w:highlight w:val="none"/>
                    </w:rPr>
                  </w:pPr>
                  <w:r>
                    <w:rPr>
                      <w:rFonts w:hint="eastAsia"/>
                      <w:color w:val="auto"/>
                      <w:sz w:val="18"/>
                      <w:szCs w:val="18"/>
                      <w:highlight w:val="none"/>
                    </w:rPr>
                    <w:t>190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532" w:type="pct"/>
                  <w:vMerge w:val="continue"/>
                  <w:noWrap w:val="0"/>
                  <w:vAlign w:val="center"/>
                </w:tcPr>
                <w:p>
                  <w:pPr>
                    <w:jc w:val="center"/>
                    <w:rPr>
                      <w:color w:val="auto"/>
                      <w:sz w:val="18"/>
                      <w:szCs w:val="18"/>
                      <w:highlight w:val="none"/>
                    </w:rPr>
                  </w:pPr>
                </w:p>
              </w:tc>
              <w:tc>
                <w:tcPr>
                  <w:tcW w:w="543" w:type="pct"/>
                  <w:noWrap w:val="0"/>
                  <w:vAlign w:val="center"/>
                </w:tcPr>
                <w:p>
                  <w:pPr>
                    <w:jc w:val="center"/>
                    <w:rPr>
                      <w:color w:val="auto"/>
                      <w:sz w:val="18"/>
                      <w:szCs w:val="18"/>
                      <w:highlight w:val="none"/>
                    </w:rPr>
                  </w:pPr>
                  <w:r>
                    <w:rPr>
                      <w:rFonts w:hint="eastAsia"/>
                      <w:color w:val="auto"/>
                      <w:sz w:val="18"/>
                      <w:szCs w:val="18"/>
                      <w:highlight w:val="none"/>
                    </w:rPr>
                    <w:t>＞4</w:t>
                  </w:r>
                </w:p>
              </w:tc>
              <w:tc>
                <w:tcPr>
                  <w:tcW w:w="435" w:type="pct"/>
                  <w:noWrap w:val="0"/>
                  <w:vAlign w:val="center"/>
                </w:tcPr>
                <w:p>
                  <w:pPr>
                    <w:jc w:val="center"/>
                    <w:rPr>
                      <w:color w:val="auto"/>
                      <w:sz w:val="18"/>
                      <w:szCs w:val="18"/>
                      <w:highlight w:val="none"/>
                    </w:rPr>
                  </w:pPr>
                  <w:r>
                    <w:rPr>
                      <w:rFonts w:hint="eastAsia"/>
                      <w:color w:val="auto"/>
                      <w:sz w:val="18"/>
                      <w:szCs w:val="18"/>
                      <w:highlight w:val="none"/>
                    </w:rPr>
                    <w:t>530</w:t>
                  </w:r>
                </w:p>
              </w:tc>
              <w:tc>
                <w:tcPr>
                  <w:tcW w:w="435" w:type="pct"/>
                  <w:noWrap w:val="0"/>
                  <w:vAlign w:val="center"/>
                </w:tcPr>
                <w:p>
                  <w:pPr>
                    <w:jc w:val="center"/>
                    <w:rPr>
                      <w:color w:val="auto"/>
                      <w:sz w:val="18"/>
                      <w:szCs w:val="18"/>
                      <w:highlight w:val="none"/>
                    </w:rPr>
                  </w:pPr>
                  <w:r>
                    <w:rPr>
                      <w:rFonts w:hint="eastAsia"/>
                      <w:color w:val="auto"/>
                      <w:sz w:val="18"/>
                      <w:szCs w:val="18"/>
                      <w:highlight w:val="none"/>
                    </w:rPr>
                    <w:t>350</w:t>
                  </w:r>
                </w:p>
              </w:tc>
              <w:tc>
                <w:tcPr>
                  <w:tcW w:w="436" w:type="pct"/>
                  <w:noWrap w:val="0"/>
                  <w:vAlign w:val="center"/>
                </w:tcPr>
                <w:p>
                  <w:pPr>
                    <w:jc w:val="center"/>
                    <w:rPr>
                      <w:color w:val="auto"/>
                      <w:sz w:val="18"/>
                      <w:szCs w:val="18"/>
                      <w:highlight w:val="none"/>
                    </w:rPr>
                  </w:pPr>
                  <w:r>
                    <w:rPr>
                      <w:rFonts w:hint="eastAsia"/>
                      <w:color w:val="auto"/>
                      <w:sz w:val="18"/>
                      <w:szCs w:val="18"/>
                      <w:highlight w:val="none"/>
                    </w:rPr>
                    <w:t>260</w:t>
                  </w:r>
                </w:p>
              </w:tc>
              <w:tc>
                <w:tcPr>
                  <w:tcW w:w="435" w:type="pct"/>
                  <w:noWrap w:val="0"/>
                  <w:vAlign w:val="center"/>
                </w:tcPr>
                <w:p>
                  <w:pPr>
                    <w:jc w:val="center"/>
                    <w:rPr>
                      <w:color w:val="auto"/>
                      <w:sz w:val="18"/>
                      <w:szCs w:val="18"/>
                      <w:highlight w:val="none"/>
                    </w:rPr>
                  </w:pPr>
                  <w:r>
                    <w:rPr>
                      <w:rFonts w:hint="eastAsia"/>
                      <w:color w:val="auto"/>
                      <w:sz w:val="18"/>
                      <w:szCs w:val="18"/>
                      <w:highlight w:val="none"/>
                    </w:rPr>
                    <w:t>530</w:t>
                  </w:r>
                </w:p>
              </w:tc>
              <w:tc>
                <w:tcPr>
                  <w:tcW w:w="435" w:type="pct"/>
                  <w:noWrap w:val="0"/>
                  <w:vAlign w:val="center"/>
                </w:tcPr>
                <w:p>
                  <w:pPr>
                    <w:jc w:val="center"/>
                    <w:rPr>
                      <w:color w:val="auto"/>
                      <w:sz w:val="18"/>
                      <w:szCs w:val="18"/>
                      <w:highlight w:val="none"/>
                    </w:rPr>
                  </w:pPr>
                  <w:r>
                    <w:rPr>
                      <w:rFonts w:hint="eastAsia"/>
                      <w:color w:val="auto"/>
                      <w:sz w:val="18"/>
                      <w:szCs w:val="18"/>
                      <w:highlight w:val="none"/>
                    </w:rPr>
                    <w:t>350</w:t>
                  </w:r>
                </w:p>
              </w:tc>
              <w:tc>
                <w:tcPr>
                  <w:tcW w:w="436" w:type="pct"/>
                  <w:noWrap w:val="0"/>
                  <w:vAlign w:val="center"/>
                </w:tcPr>
                <w:p>
                  <w:pPr>
                    <w:jc w:val="center"/>
                    <w:rPr>
                      <w:color w:val="auto"/>
                      <w:sz w:val="18"/>
                      <w:szCs w:val="18"/>
                      <w:highlight w:val="none"/>
                    </w:rPr>
                  </w:pPr>
                  <w:r>
                    <w:rPr>
                      <w:rFonts w:hint="eastAsia"/>
                      <w:color w:val="auto"/>
                      <w:sz w:val="18"/>
                      <w:szCs w:val="18"/>
                      <w:highlight w:val="none"/>
                    </w:rPr>
                    <w:t>260</w:t>
                  </w:r>
                </w:p>
              </w:tc>
              <w:tc>
                <w:tcPr>
                  <w:tcW w:w="435" w:type="pct"/>
                  <w:noWrap w:val="0"/>
                  <w:vAlign w:val="center"/>
                </w:tcPr>
                <w:p>
                  <w:pPr>
                    <w:jc w:val="center"/>
                    <w:rPr>
                      <w:color w:val="auto"/>
                      <w:sz w:val="18"/>
                      <w:szCs w:val="18"/>
                      <w:highlight w:val="none"/>
                    </w:rPr>
                  </w:pPr>
                  <w:r>
                    <w:rPr>
                      <w:rFonts w:hint="eastAsia"/>
                      <w:color w:val="auto"/>
                      <w:sz w:val="18"/>
                      <w:szCs w:val="18"/>
                      <w:highlight w:val="none"/>
                    </w:rPr>
                    <w:t>290</w:t>
                  </w:r>
                </w:p>
              </w:tc>
              <w:tc>
                <w:tcPr>
                  <w:tcW w:w="435" w:type="pct"/>
                  <w:noWrap w:val="0"/>
                  <w:vAlign w:val="center"/>
                </w:tcPr>
                <w:p>
                  <w:pPr>
                    <w:jc w:val="center"/>
                    <w:rPr>
                      <w:color w:val="auto"/>
                      <w:sz w:val="18"/>
                      <w:szCs w:val="18"/>
                      <w:highlight w:val="none"/>
                    </w:rPr>
                  </w:pPr>
                  <w:r>
                    <w:rPr>
                      <w:rFonts w:hint="eastAsia"/>
                      <w:color w:val="auto"/>
                      <w:sz w:val="18"/>
                      <w:szCs w:val="18"/>
                      <w:highlight w:val="none"/>
                    </w:rPr>
                    <w:t>190</w:t>
                  </w:r>
                </w:p>
              </w:tc>
              <w:tc>
                <w:tcPr>
                  <w:tcW w:w="436" w:type="pct"/>
                  <w:noWrap w:val="0"/>
                  <w:vAlign w:val="center"/>
                </w:tcPr>
                <w:p>
                  <w:pPr>
                    <w:jc w:val="center"/>
                    <w:rPr>
                      <w:color w:val="auto"/>
                      <w:sz w:val="18"/>
                      <w:szCs w:val="18"/>
                      <w:highlight w:val="none"/>
                    </w:rPr>
                  </w:pPr>
                  <w:r>
                    <w:rPr>
                      <w:rFonts w:hint="eastAsia"/>
                      <w:color w:val="auto"/>
                      <w:sz w:val="18"/>
                      <w:szCs w:val="18"/>
                      <w:highlight w:val="none"/>
                    </w:rPr>
                    <w:t>110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532" w:type="pct"/>
                  <w:vMerge w:val="restart"/>
                  <w:noWrap w:val="0"/>
                  <w:vAlign w:val="center"/>
                </w:tcPr>
                <w:p>
                  <w:pPr>
                    <w:jc w:val="center"/>
                    <w:rPr>
                      <w:rFonts w:hint="eastAsia"/>
                      <w:color w:val="auto"/>
                      <w:sz w:val="18"/>
                      <w:szCs w:val="18"/>
                      <w:highlight w:val="none"/>
                    </w:rPr>
                  </w:pPr>
                  <w:r>
                    <w:rPr>
                      <w:rFonts w:hint="eastAsia"/>
                      <w:color w:val="auto"/>
                      <w:sz w:val="18"/>
                      <w:szCs w:val="18"/>
                      <w:highlight w:val="none"/>
                    </w:rPr>
                    <w:t>B</w:t>
                  </w:r>
                </w:p>
              </w:tc>
              <w:tc>
                <w:tcPr>
                  <w:tcW w:w="543" w:type="pct"/>
                  <w:noWrap w:val="0"/>
                  <w:vAlign w:val="center"/>
                </w:tcPr>
                <w:p>
                  <w:pPr>
                    <w:jc w:val="center"/>
                    <w:rPr>
                      <w:color w:val="auto"/>
                      <w:sz w:val="18"/>
                      <w:szCs w:val="18"/>
                      <w:highlight w:val="none"/>
                    </w:rPr>
                  </w:pPr>
                  <w:r>
                    <w:rPr>
                      <w:rFonts w:hint="eastAsia"/>
                      <w:color w:val="auto"/>
                      <w:sz w:val="18"/>
                      <w:szCs w:val="18"/>
                      <w:highlight w:val="none"/>
                    </w:rPr>
                    <w:t>＜2</w:t>
                  </w:r>
                </w:p>
              </w:tc>
              <w:tc>
                <w:tcPr>
                  <w:tcW w:w="1307" w:type="pct"/>
                  <w:gridSpan w:val="3"/>
                  <w:noWrap w:val="0"/>
                  <w:vAlign w:val="center"/>
                </w:tcPr>
                <w:p>
                  <w:pPr>
                    <w:jc w:val="center"/>
                    <w:rPr>
                      <w:color w:val="auto"/>
                      <w:sz w:val="18"/>
                      <w:szCs w:val="18"/>
                      <w:highlight w:val="none"/>
                    </w:rPr>
                  </w:pPr>
                  <w:r>
                    <w:rPr>
                      <w:rFonts w:hint="eastAsia"/>
                      <w:color w:val="auto"/>
                      <w:sz w:val="18"/>
                      <w:szCs w:val="18"/>
                      <w:highlight w:val="none"/>
                    </w:rPr>
                    <w:t>0.01</w:t>
                  </w:r>
                </w:p>
              </w:tc>
              <w:tc>
                <w:tcPr>
                  <w:tcW w:w="1307" w:type="pct"/>
                  <w:gridSpan w:val="3"/>
                  <w:noWrap w:val="0"/>
                  <w:vAlign w:val="center"/>
                </w:tcPr>
                <w:p>
                  <w:pPr>
                    <w:jc w:val="center"/>
                    <w:rPr>
                      <w:color w:val="auto"/>
                      <w:sz w:val="18"/>
                      <w:szCs w:val="18"/>
                      <w:highlight w:val="none"/>
                    </w:rPr>
                  </w:pPr>
                  <w:r>
                    <w:rPr>
                      <w:rFonts w:hint="eastAsia"/>
                      <w:color w:val="auto"/>
                      <w:sz w:val="18"/>
                      <w:szCs w:val="18"/>
                      <w:highlight w:val="none"/>
                    </w:rPr>
                    <w:t>0.015</w:t>
                  </w:r>
                </w:p>
              </w:tc>
              <w:tc>
                <w:tcPr>
                  <w:tcW w:w="1308" w:type="pct"/>
                  <w:gridSpan w:val="3"/>
                  <w:noWrap w:val="0"/>
                  <w:vAlign w:val="center"/>
                </w:tcPr>
                <w:p>
                  <w:pPr>
                    <w:jc w:val="center"/>
                    <w:rPr>
                      <w:color w:val="auto"/>
                      <w:sz w:val="18"/>
                      <w:szCs w:val="18"/>
                      <w:highlight w:val="none"/>
                    </w:rPr>
                  </w:pPr>
                  <w:r>
                    <w:rPr>
                      <w:rFonts w:hint="eastAsia"/>
                      <w:color w:val="auto"/>
                      <w:sz w:val="18"/>
                      <w:szCs w:val="18"/>
                      <w:highlight w:val="none"/>
                    </w:rPr>
                    <w:t>0.015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532" w:type="pct"/>
                  <w:vMerge w:val="continue"/>
                  <w:noWrap w:val="0"/>
                  <w:vAlign w:val="center"/>
                </w:tcPr>
                <w:p>
                  <w:pPr>
                    <w:jc w:val="center"/>
                    <w:rPr>
                      <w:rFonts w:hint="eastAsia"/>
                      <w:color w:val="auto"/>
                      <w:sz w:val="18"/>
                      <w:szCs w:val="18"/>
                      <w:highlight w:val="none"/>
                    </w:rPr>
                  </w:pPr>
                </w:p>
              </w:tc>
              <w:tc>
                <w:tcPr>
                  <w:tcW w:w="543" w:type="pct"/>
                  <w:noWrap w:val="0"/>
                  <w:vAlign w:val="center"/>
                </w:tcPr>
                <w:p>
                  <w:pPr>
                    <w:jc w:val="center"/>
                    <w:rPr>
                      <w:rFonts w:hint="eastAsia"/>
                      <w:color w:val="auto"/>
                      <w:sz w:val="18"/>
                      <w:szCs w:val="18"/>
                      <w:highlight w:val="none"/>
                    </w:rPr>
                  </w:pPr>
                  <w:r>
                    <w:rPr>
                      <w:rFonts w:hint="eastAsia"/>
                      <w:color w:val="auto"/>
                      <w:sz w:val="18"/>
                      <w:szCs w:val="18"/>
                      <w:highlight w:val="none"/>
                    </w:rPr>
                    <w:t>＞2</w:t>
                  </w:r>
                </w:p>
              </w:tc>
              <w:tc>
                <w:tcPr>
                  <w:tcW w:w="1307" w:type="pct"/>
                  <w:gridSpan w:val="3"/>
                  <w:noWrap w:val="0"/>
                  <w:vAlign w:val="center"/>
                </w:tcPr>
                <w:p>
                  <w:pPr>
                    <w:jc w:val="center"/>
                    <w:rPr>
                      <w:color w:val="auto"/>
                      <w:sz w:val="18"/>
                      <w:szCs w:val="18"/>
                      <w:highlight w:val="none"/>
                    </w:rPr>
                  </w:pPr>
                  <w:r>
                    <w:rPr>
                      <w:rFonts w:hint="eastAsia"/>
                      <w:color w:val="auto"/>
                      <w:sz w:val="18"/>
                      <w:szCs w:val="18"/>
                      <w:highlight w:val="none"/>
                    </w:rPr>
                    <w:t>0.021</w:t>
                  </w:r>
                </w:p>
              </w:tc>
              <w:tc>
                <w:tcPr>
                  <w:tcW w:w="1307" w:type="pct"/>
                  <w:gridSpan w:val="3"/>
                  <w:noWrap w:val="0"/>
                  <w:vAlign w:val="center"/>
                </w:tcPr>
                <w:p>
                  <w:pPr>
                    <w:jc w:val="center"/>
                    <w:rPr>
                      <w:color w:val="auto"/>
                      <w:sz w:val="18"/>
                      <w:szCs w:val="18"/>
                      <w:highlight w:val="none"/>
                    </w:rPr>
                  </w:pPr>
                  <w:r>
                    <w:rPr>
                      <w:rFonts w:hint="eastAsia"/>
                      <w:color w:val="auto"/>
                      <w:sz w:val="18"/>
                      <w:szCs w:val="18"/>
                      <w:highlight w:val="none"/>
                    </w:rPr>
                    <w:t>0.036</w:t>
                  </w:r>
                </w:p>
              </w:tc>
              <w:tc>
                <w:tcPr>
                  <w:tcW w:w="1308" w:type="pct"/>
                  <w:gridSpan w:val="3"/>
                  <w:noWrap w:val="0"/>
                  <w:vAlign w:val="center"/>
                </w:tcPr>
                <w:p>
                  <w:pPr>
                    <w:jc w:val="center"/>
                    <w:rPr>
                      <w:color w:val="auto"/>
                      <w:sz w:val="18"/>
                      <w:szCs w:val="18"/>
                      <w:highlight w:val="none"/>
                    </w:rPr>
                  </w:pPr>
                  <w:r>
                    <w:rPr>
                      <w:rFonts w:hint="eastAsia"/>
                      <w:color w:val="auto"/>
                      <w:sz w:val="18"/>
                      <w:szCs w:val="18"/>
                      <w:highlight w:val="none"/>
                    </w:rPr>
                    <w:t>0.036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532" w:type="pct"/>
                  <w:vMerge w:val="restart"/>
                  <w:noWrap w:val="0"/>
                  <w:vAlign w:val="center"/>
                </w:tcPr>
                <w:p>
                  <w:pPr>
                    <w:jc w:val="center"/>
                    <w:rPr>
                      <w:rFonts w:hint="eastAsia"/>
                      <w:color w:val="auto"/>
                      <w:sz w:val="18"/>
                      <w:szCs w:val="18"/>
                      <w:highlight w:val="none"/>
                    </w:rPr>
                  </w:pPr>
                  <w:r>
                    <w:rPr>
                      <w:rFonts w:hint="eastAsia"/>
                      <w:color w:val="auto"/>
                      <w:sz w:val="18"/>
                      <w:szCs w:val="18"/>
                      <w:highlight w:val="none"/>
                    </w:rPr>
                    <w:t>C</w:t>
                  </w:r>
                </w:p>
              </w:tc>
              <w:tc>
                <w:tcPr>
                  <w:tcW w:w="543" w:type="pct"/>
                  <w:noWrap w:val="0"/>
                  <w:vAlign w:val="center"/>
                </w:tcPr>
                <w:p>
                  <w:pPr>
                    <w:jc w:val="center"/>
                    <w:rPr>
                      <w:rFonts w:hint="eastAsia"/>
                      <w:color w:val="auto"/>
                      <w:sz w:val="18"/>
                      <w:szCs w:val="18"/>
                      <w:highlight w:val="none"/>
                    </w:rPr>
                  </w:pPr>
                  <w:r>
                    <w:rPr>
                      <w:rFonts w:hint="eastAsia"/>
                      <w:color w:val="auto"/>
                      <w:sz w:val="18"/>
                      <w:szCs w:val="18"/>
                      <w:highlight w:val="none"/>
                    </w:rPr>
                    <w:t>＜2</w:t>
                  </w:r>
                </w:p>
              </w:tc>
              <w:tc>
                <w:tcPr>
                  <w:tcW w:w="1307" w:type="pct"/>
                  <w:gridSpan w:val="3"/>
                  <w:noWrap w:val="0"/>
                  <w:vAlign w:val="center"/>
                </w:tcPr>
                <w:p>
                  <w:pPr>
                    <w:jc w:val="center"/>
                    <w:rPr>
                      <w:color w:val="auto"/>
                      <w:sz w:val="18"/>
                      <w:szCs w:val="18"/>
                      <w:highlight w:val="none"/>
                    </w:rPr>
                  </w:pPr>
                  <w:r>
                    <w:rPr>
                      <w:rFonts w:hint="eastAsia"/>
                      <w:color w:val="auto"/>
                      <w:sz w:val="18"/>
                      <w:szCs w:val="18"/>
                      <w:highlight w:val="none"/>
                    </w:rPr>
                    <w:t>1.85</w:t>
                  </w:r>
                </w:p>
              </w:tc>
              <w:tc>
                <w:tcPr>
                  <w:tcW w:w="1307" w:type="pct"/>
                  <w:gridSpan w:val="3"/>
                  <w:noWrap w:val="0"/>
                  <w:vAlign w:val="center"/>
                </w:tcPr>
                <w:p>
                  <w:pPr>
                    <w:jc w:val="center"/>
                    <w:rPr>
                      <w:color w:val="auto"/>
                      <w:sz w:val="18"/>
                      <w:szCs w:val="18"/>
                      <w:highlight w:val="none"/>
                    </w:rPr>
                  </w:pPr>
                  <w:r>
                    <w:rPr>
                      <w:rFonts w:hint="eastAsia"/>
                      <w:color w:val="auto"/>
                      <w:sz w:val="18"/>
                      <w:szCs w:val="18"/>
                      <w:highlight w:val="none"/>
                    </w:rPr>
                    <w:t>1.79</w:t>
                  </w:r>
                </w:p>
              </w:tc>
              <w:tc>
                <w:tcPr>
                  <w:tcW w:w="1308" w:type="pct"/>
                  <w:gridSpan w:val="3"/>
                  <w:noWrap w:val="0"/>
                  <w:vAlign w:val="center"/>
                </w:tcPr>
                <w:p>
                  <w:pPr>
                    <w:jc w:val="center"/>
                    <w:rPr>
                      <w:color w:val="auto"/>
                      <w:sz w:val="18"/>
                      <w:szCs w:val="18"/>
                      <w:highlight w:val="none"/>
                    </w:rPr>
                  </w:pPr>
                  <w:r>
                    <w:rPr>
                      <w:rFonts w:hint="eastAsia"/>
                      <w:color w:val="auto"/>
                      <w:sz w:val="18"/>
                      <w:szCs w:val="18"/>
                      <w:highlight w:val="none"/>
                    </w:rPr>
                    <w:t>1.79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532" w:type="pct"/>
                  <w:vMerge w:val="continue"/>
                  <w:noWrap w:val="0"/>
                  <w:vAlign w:val="center"/>
                </w:tcPr>
                <w:p>
                  <w:pPr>
                    <w:jc w:val="center"/>
                    <w:rPr>
                      <w:rFonts w:hint="eastAsia"/>
                      <w:color w:val="auto"/>
                      <w:sz w:val="18"/>
                      <w:szCs w:val="18"/>
                      <w:highlight w:val="none"/>
                    </w:rPr>
                  </w:pPr>
                </w:p>
              </w:tc>
              <w:tc>
                <w:tcPr>
                  <w:tcW w:w="543" w:type="pct"/>
                  <w:noWrap w:val="0"/>
                  <w:vAlign w:val="center"/>
                </w:tcPr>
                <w:p>
                  <w:pPr>
                    <w:jc w:val="center"/>
                    <w:rPr>
                      <w:rFonts w:hint="eastAsia"/>
                      <w:color w:val="auto"/>
                      <w:sz w:val="18"/>
                      <w:szCs w:val="18"/>
                      <w:highlight w:val="none"/>
                    </w:rPr>
                  </w:pPr>
                  <w:r>
                    <w:rPr>
                      <w:rFonts w:hint="eastAsia"/>
                      <w:color w:val="auto"/>
                      <w:sz w:val="18"/>
                      <w:szCs w:val="18"/>
                      <w:highlight w:val="none"/>
                    </w:rPr>
                    <w:t>＞2</w:t>
                  </w:r>
                </w:p>
              </w:tc>
              <w:tc>
                <w:tcPr>
                  <w:tcW w:w="1307" w:type="pct"/>
                  <w:gridSpan w:val="3"/>
                  <w:noWrap w:val="0"/>
                  <w:vAlign w:val="center"/>
                </w:tcPr>
                <w:p>
                  <w:pPr>
                    <w:jc w:val="center"/>
                    <w:rPr>
                      <w:color w:val="auto"/>
                      <w:sz w:val="18"/>
                      <w:szCs w:val="18"/>
                      <w:highlight w:val="none"/>
                    </w:rPr>
                  </w:pPr>
                  <w:r>
                    <w:rPr>
                      <w:rFonts w:hint="eastAsia"/>
                      <w:color w:val="auto"/>
                      <w:sz w:val="18"/>
                      <w:szCs w:val="18"/>
                      <w:highlight w:val="none"/>
                    </w:rPr>
                    <w:t>1.85</w:t>
                  </w:r>
                </w:p>
              </w:tc>
              <w:tc>
                <w:tcPr>
                  <w:tcW w:w="1307" w:type="pct"/>
                  <w:gridSpan w:val="3"/>
                  <w:noWrap w:val="0"/>
                  <w:vAlign w:val="center"/>
                </w:tcPr>
                <w:p>
                  <w:pPr>
                    <w:jc w:val="center"/>
                    <w:rPr>
                      <w:color w:val="auto"/>
                      <w:sz w:val="18"/>
                      <w:szCs w:val="18"/>
                      <w:highlight w:val="none"/>
                    </w:rPr>
                  </w:pPr>
                  <w:r>
                    <w:rPr>
                      <w:rFonts w:hint="eastAsia"/>
                      <w:color w:val="auto"/>
                      <w:sz w:val="18"/>
                      <w:szCs w:val="18"/>
                      <w:highlight w:val="none"/>
                    </w:rPr>
                    <w:t>1.77</w:t>
                  </w:r>
                </w:p>
              </w:tc>
              <w:tc>
                <w:tcPr>
                  <w:tcW w:w="1308" w:type="pct"/>
                  <w:gridSpan w:val="3"/>
                  <w:noWrap w:val="0"/>
                  <w:vAlign w:val="center"/>
                </w:tcPr>
                <w:p>
                  <w:pPr>
                    <w:jc w:val="center"/>
                    <w:rPr>
                      <w:color w:val="auto"/>
                      <w:sz w:val="18"/>
                      <w:szCs w:val="18"/>
                      <w:highlight w:val="none"/>
                    </w:rPr>
                  </w:pPr>
                  <w:r>
                    <w:rPr>
                      <w:rFonts w:hint="eastAsia"/>
                      <w:color w:val="auto"/>
                      <w:sz w:val="18"/>
                      <w:szCs w:val="18"/>
                      <w:highlight w:val="none"/>
                    </w:rPr>
                    <w:t>1.77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532" w:type="pct"/>
                  <w:vMerge w:val="restart"/>
                  <w:noWrap w:val="0"/>
                  <w:vAlign w:val="center"/>
                </w:tcPr>
                <w:p>
                  <w:pPr>
                    <w:jc w:val="center"/>
                    <w:rPr>
                      <w:rFonts w:hint="eastAsia"/>
                      <w:color w:val="auto"/>
                      <w:sz w:val="18"/>
                      <w:szCs w:val="18"/>
                      <w:highlight w:val="none"/>
                    </w:rPr>
                  </w:pPr>
                  <w:r>
                    <w:rPr>
                      <w:rFonts w:hint="eastAsia"/>
                      <w:color w:val="auto"/>
                      <w:sz w:val="18"/>
                      <w:szCs w:val="18"/>
                      <w:highlight w:val="none"/>
                    </w:rPr>
                    <w:t>D</w:t>
                  </w:r>
                </w:p>
              </w:tc>
              <w:tc>
                <w:tcPr>
                  <w:tcW w:w="543" w:type="pct"/>
                  <w:noWrap w:val="0"/>
                  <w:vAlign w:val="center"/>
                </w:tcPr>
                <w:p>
                  <w:pPr>
                    <w:jc w:val="center"/>
                    <w:rPr>
                      <w:rFonts w:hint="eastAsia"/>
                      <w:color w:val="auto"/>
                      <w:sz w:val="18"/>
                      <w:szCs w:val="18"/>
                      <w:highlight w:val="none"/>
                    </w:rPr>
                  </w:pPr>
                  <w:r>
                    <w:rPr>
                      <w:rFonts w:hint="eastAsia"/>
                      <w:color w:val="auto"/>
                      <w:sz w:val="18"/>
                      <w:szCs w:val="18"/>
                      <w:highlight w:val="none"/>
                    </w:rPr>
                    <w:t>＜2</w:t>
                  </w:r>
                </w:p>
              </w:tc>
              <w:tc>
                <w:tcPr>
                  <w:tcW w:w="1307" w:type="pct"/>
                  <w:gridSpan w:val="3"/>
                  <w:noWrap w:val="0"/>
                  <w:vAlign w:val="center"/>
                </w:tcPr>
                <w:p>
                  <w:pPr>
                    <w:jc w:val="center"/>
                    <w:rPr>
                      <w:color w:val="auto"/>
                      <w:sz w:val="18"/>
                      <w:szCs w:val="18"/>
                      <w:highlight w:val="none"/>
                    </w:rPr>
                  </w:pPr>
                  <w:r>
                    <w:rPr>
                      <w:rFonts w:hint="eastAsia"/>
                      <w:color w:val="auto"/>
                      <w:sz w:val="18"/>
                      <w:szCs w:val="18"/>
                      <w:highlight w:val="none"/>
                    </w:rPr>
                    <w:t>0.78</w:t>
                  </w:r>
                </w:p>
              </w:tc>
              <w:tc>
                <w:tcPr>
                  <w:tcW w:w="1307" w:type="pct"/>
                  <w:gridSpan w:val="3"/>
                  <w:noWrap w:val="0"/>
                  <w:vAlign w:val="center"/>
                </w:tcPr>
                <w:p>
                  <w:pPr>
                    <w:jc w:val="center"/>
                    <w:rPr>
                      <w:color w:val="auto"/>
                      <w:sz w:val="18"/>
                      <w:szCs w:val="18"/>
                      <w:highlight w:val="none"/>
                    </w:rPr>
                  </w:pPr>
                  <w:r>
                    <w:rPr>
                      <w:rFonts w:hint="eastAsia"/>
                      <w:color w:val="auto"/>
                      <w:sz w:val="18"/>
                      <w:szCs w:val="18"/>
                      <w:highlight w:val="none"/>
                    </w:rPr>
                    <w:t>0.78</w:t>
                  </w:r>
                </w:p>
              </w:tc>
              <w:tc>
                <w:tcPr>
                  <w:tcW w:w="1308" w:type="pct"/>
                  <w:gridSpan w:val="3"/>
                  <w:noWrap w:val="0"/>
                  <w:vAlign w:val="center"/>
                </w:tcPr>
                <w:p>
                  <w:pPr>
                    <w:jc w:val="center"/>
                    <w:rPr>
                      <w:color w:val="auto"/>
                      <w:sz w:val="18"/>
                      <w:szCs w:val="18"/>
                      <w:highlight w:val="none"/>
                    </w:rPr>
                  </w:pPr>
                  <w:r>
                    <w:rPr>
                      <w:rFonts w:hint="eastAsia"/>
                      <w:color w:val="auto"/>
                      <w:sz w:val="18"/>
                      <w:szCs w:val="18"/>
                      <w:highlight w:val="none"/>
                    </w:rPr>
                    <w:t>0.57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532" w:type="pct"/>
                  <w:vMerge w:val="continue"/>
                  <w:tcBorders>
                    <w:bottom w:val="single" w:color="auto" w:sz="12" w:space="0"/>
                  </w:tcBorders>
                  <w:noWrap w:val="0"/>
                  <w:vAlign w:val="center"/>
                </w:tcPr>
                <w:p>
                  <w:pPr>
                    <w:jc w:val="center"/>
                    <w:rPr>
                      <w:rFonts w:hint="eastAsia"/>
                      <w:color w:val="auto"/>
                      <w:sz w:val="18"/>
                      <w:szCs w:val="18"/>
                      <w:highlight w:val="none"/>
                    </w:rPr>
                  </w:pPr>
                </w:p>
              </w:tc>
              <w:tc>
                <w:tcPr>
                  <w:tcW w:w="543" w:type="pct"/>
                  <w:tcBorders>
                    <w:bottom w:val="single" w:color="auto" w:sz="12" w:space="0"/>
                  </w:tcBorders>
                  <w:noWrap w:val="0"/>
                  <w:vAlign w:val="center"/>
                </w:tcPr>
                <w:p>
                  <w:pPr>
                    <w:jc w:val="center"/>
                    <w:rPr>
                      <w:rFonts w:hint="eastAsia"/>
                      <w:color w:val="auto"/>
                      <w:sz w:val="18"/>
                      <w:szCs w:val="18"/>
                      <w:highlight w:val="none"/>
                    </w:rPr>
                  </w:pPr>
                  <w:r>
                    <w:rPr>
                      <w:rFonts w:hint="eastAsia"/>
                      <w:color w:val="auto"/>
                      <w:sz w:val="18"/>
                      <w:szCs w:val="18"/>
                      <w:highlight w:val="none"/>
                    </w:rPr>
                    <w:t>＞2</w:t>
                  </w:r>
                </w:p>
              </w:tc>
              <w:tc>
                <w:tcPr>
                  <w:tcW w:w="1307" w:type="pct"/>
                  <w:gridSpan w:val="3"/>
                  <w:tcBorders>
                    <w:bottom w:val="single" w:color="auto" w:sz="12" w:space="0"/>
                  </w:tcBorders>
                  <w:noWrap w:val="0"/>
                  <w:vAlign w:val="center"/>
                </w:tcPr>
                <w:p>
                  <w:pPr>
                    <w:jc w:val="center"/>
                    <w:rPr>
                      <w:color w:val="auto"/>
                      <w:sz w:val="18"/>
                      <w:szCs w:val="18"/>
                      <w:highlight w:val="none"/>
                    </w:rPr>
                  </w:pPr>
                  <w:r>
                    <w:rPr>
                      <w:rFonts w:hint="eastAsia"/>
                      <w:color w:val="auto"/>
                      <w:sz w:val="18"/>
                      <w:szCs w:val="18"/>
                      <w:highlight w:val="none"/>
                    </w:rPr>
                    <w:t>0.84</w:t>
                  </w:r>
                </w:p>
              </w:tc>
              <w:tc>
                <w:tcPr>
                  <w:tcW w:w="1307" w:type="pct"/>
                  <w:gridSpan w:val="3"/>
                  <w:tcBorders>
                    <w:bottom w:val="single" w:color="auto" w:sz="12" w:space="0"/>
                  </w:tcBorders>
                  <w:noWrap w:val="0"/>
                  <w:vAlign w:val="center"/>
                </w:tcPr>
                <w:p>
                  <w:pPr>
                    <w:jc w:val="center"/>
                    <w:rPr>
                      <w:color w:val="auto"/>
                      <w:sz w:val="18"/>
                      <w:szCs w:val="18"/>
                      <w:highlight w:val="none"/>
                    </w:rPr>
                  </w:pPr>
                  <w:r>
                    <w:rPr>
                      <w:rFonts w:hint="eastAsia"/>
                      <w:color w:val="auto"/>
                      <w:sz w:val="18"/>
                      <w:szCs w:val="18"/>
                      <w:highlight w:val="none"/>
                    </w:rPr>
                    <w:t>0.84</w:t>
                  </w:r>
                </w:p>
              </w:tc>
              <w:tc>
                <w:tcPr>
                  <w:tcW w:w="1308" w:type="pct"/>
                  <w:gridSpan w:val="3"/>
                  <w:tcBorders>
                    <w:bottom w:val="single" w:color="auto" w:sz="12" w:space="0"/>
                  </w:tcBorders>
                  <w:noWrap w:val="0"/>
                  <w:vAlign w:val="center"/>
                </w:tcPr>
                <w:p>
                  <w:pPr>
                    <w:jc w:val="center"/>
                    <w:rPr>
                      <w:color w:val="auto"/>
                      <w:sz w:val="18"/>
                      <w:szCs w:val="18"/>
                      <w:highlight w:val="none"/>
                    </w:rPr>
                  </w:pPr>
                  <w:r>
                    <w:rPr>
                      <w:rFonts w:hint="eastAsia"/>
                      <w:color w:val="auto"/>
                      <w:sz w:val="18"/>
                      <w:szCs w:val="18"/>
                      <w:highlight w:val="none"/>
                    </w:rPr>
                    <w:t>0.76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11"/>
                  <w:tcBorders>
                    <w:top w:val="single" w:color="auto" w:sz="12" w:space="0"/>
                  </w:tcBorders>
                  <w:noWrap w:val="0"/>
                  <w:vAlign w:val="center"/>
                </w:tcPr>
                <w:p>
                  <w:pPr>
                    <w:jc w:val="both"/>
                    <w:rPr>
                      <w:rFonts w:hint="eastAsia"/>
                      <w:color w:val="auto"/>
                      <w:sz w:val="18"/>
                      <w:szCs w:val="18"/>
                      <w:highlight w:val="none"/>
                    </w:rPr>
                  </w:pPr>
                  <w:r>
                    <w:rPr>
                      <w:rFonts w:hint="eastAsia"/>
                      <w:color w:val="auto"/>
                      <w:sz w:val="18"/>
                      <w:szCs w:val="18"/>
                      <w:highlight w:val="none"/>
                    </w:rPr>
                    <w:t>注：I类：与无组织排放源共存的排放同种有害气体的排气</w:t>
                  </w:r>
                  <w:r>
                    <w:rPr>
                      <w:rFonts w:hint="eastAsia"/>
                      <w:color w:val="auto"/>
                      <w:sz w:val="18"/>
                      <w:szCs w:val="18"/>
                      <w:highlight w:val="none"/>
                      <w:lang w:val="en-US" w:eastAsia="zh-CN"/>
                    </w:rPr>
                    <w:t>筒</w:t>
                  </w:r>
                  <w:r>
                    <w:rPr>
                      <w:rFonts w:hint="eastAsia"/>
                      <w:color w:val="auto"/>
                      <w:sz w:val="18"/>
                      <w:szCs w:val="18"/>
                      <w:highlight w:val="none"/>
                    </w:rPr>
                    <w:t>的排放量，大于或等于标准规定的允许排放量的1/3者。</w:t>
                  </w:r>
                </w:p>
                <w:p>
                  <w:pPr>
                    <w:jc w:val="both"/>
                    <w:rPr>
                      <w:rFonts w:hint="eastAsia"/>
                      <w:color w:val="auto"/>
                      <w:sz w:val="18"/>
                      <w:szCs w:val="18"/>
                      <w:highlight w:val="none"/>
                    </w:rPr>
                  </w:pPr>
                  <w:r>
                    <w:rPr>
                      <w:rFonts w:hint="eastAsia"/>
                      <w:color w:val="auto"/>
                      <w:sz w:val="18"/>
                      <w:szCs w:val="18"/>
                      <w:highlight w:val="none"/>
                    </w:rPr>
                    <w:t>II类：与无组织排放源共存的排放同种有害气体的排气</w:t>
                  </w:r>
                  <w:r>
                    <w:rPr>
                      <w:rFonts w:hint="eastAsia"/>
                      <w:color w:val="auto"/>
                      <w:sz w:val="18"/>
                      <w:szCs w:val="18"/>
                      <w:highlight w:val="none"/>
                      <w:lang w:val="en-US" w:eastAsia="zh-CN"/>
                    </w:rPr>
                    <w:t>筒</w:t>
                  </w:r>
                  <w:r>
                    <w:rPr>
                      <w:rFonts w:hint="eastAsia"/>
                      <w:color w:val="auto"/>
                      <w:sz w:val="18"/>
                      <w:szCs w:val="18"/>
                      <w:highlight w:val="none"/>
                    </w:rPr>
                    <w:t>的排放量，小于标准规定的允许排放量的1/3，或虽无排放同种大气污染物之排气</w:t>
                  </w:r>
                  <w:r>
                    <w:rPr>
                      <w:rFonts w:hint="eastAsia"/>
                      <w:color w:val="auto"/>
                      <w:sz w:val="18"/>
                      <w:szCs w:val="18"/>
                      <w:highlight w:val="none"/>
                      <w:lang w:val="en-US" w:eastAsia="zh-CN"/>
                    </w:rPr>
                    <w:t>筒</w:t>
                  </w:r>
                  <w:r>
                    <w:rPr>
                      <w:rFonts w:hint="eastAsia"/>
                      <w:color w:val="auto"/>
                      <w:sz w:val="18"/>
                      <w:szCs w:val="18"/>
                      <w:highlight w:val="none"/>
                    </w:rPr>
                    <w:t>共存，但无组织排放的有害物质的容许浓度指标是按急性反应指标确定者。</w:t>
                  </w:r>
                </w:p>
                <w:p>
                  <w:pPr>
                    <w:jc w:val="both"/>
                    <w:rPr>
                      <w:color w:val="auto"/>
                      <w:sz w:val="18"/>
                      <w:szCs w:val="18"/>
                      <w:highlight w:val="none"/>
                    </w:rPr>
                  </w:pPr>
                  <w:r>
                    <w:rPr>
                      <w:color w:val="auto"/>
                      <w:sz w:val="18"/>
                      <w:szCs w:val="18"/>
                      <w:highlight w:val="none"/>
                    </w:rPr>
                    <w:t>Ⅲ</w:t>
                  </w:r>
                  <w:r>
                    <w:rPr>
                      <w:rFonts w:hint="eastAsia"/>
                      <w:color w:val="auto"/>
                      <w:sz w:val="18"/>
                      <w:szCs w:val="18"/>
                      <w:highlight w:val="none"/>
                    </w:rPr>
                    <w:t>类：无排放同种有害物质的排气</w:t>
                  </w:r>
                  <w:r>
                    <w:rPr>
                      <w:rFonts w:hint="eastAsia"/>
                      <w:color w:val="auto"/>
                      <w:sz w:val="18"/>
                      <w:szCs w:val="18"/>
                      <w:highlight w:val="none"/>
                      <w:lang w:val="en-US" w:eastAsia="zh-CN"/>
                    </w:rPr>
                    <w:t>筒</w:t>
                  </w:r>
                  <w:r>
                    <w:rPr>
                      <w:rFonts w:hint="eastAsia"/>
                      <w:color w:val="auto"/>
                      <w:sz w:val="18"/>
                      <w:szCs w:val="18"/>
                      <w:highlight w:val="none"/>
                    </w:rPr>
                    <w:t>与无组织排放源共存，但无组织排放的有害物质的容许浓度是按慢性反应指标确定者。</w:t>
                  </w:r>
                </w:p>
              </w:tc>
            </w:tr>
          </w:tbl>
          <w:p>
            <w:pPr>
              <w:widowControl w:val="0"/>
              <w:adjustRightInd w:val="0"/>
              <w:snapToGrid w:val="0"/>
              <w:spacing w:line="500" w:lineRule="exact"/>
              <w:ind w:firstLine="420" w:firstLineChars="200"/>
              <w:jc w:val="both"/>
              <w:rPr>
                <w:bCs/>
                <w:color w:val="auto"/>
                <w:sz w:val="21"/>
                <w:szCs w:val="21"/>
                <w:highlight w:val="none"/>
              </w:rPr>
            </w:pPr>
            <w:r>
              <w:rPr>
                <w:rFonts w:hint="eastAsia"/>
                <w:bCs/>
                <w:color w:val="auto"/>
                <w:sz w:val="21"/>
                <w:szCs w:val="21"/>
                <w:highlight w:val="none"/>
              </w:rPr>
              <w:t>1）</w:t>
            </w:r>
            <w:r>
              <w:rPr>
                <w:rFonts w:hint="eastAsia"/>
                <w:bCs/>
                <w:color w:val="auto"/>
                <w:sz w:val="21"/>
                <w:szCs w:val="21"/>
                <w:highlight w:val="none"/>
                <w:lang w:eastAsia="zh-CN"/>
              </w:rPr>
              <w:t>机加工车间</w:t>
            </w:r>
            <w:r>
              <w:rPr>
                <w:rFonts w:hint="eastAsia" w:cs="宋体"/>
                <w:bCs/>
                <w:color w:val="auto"/>
                <w:kern w:val="0"/>
                <w:sz w:val="21"/>
                <w:szCs w:val="21"/>
                <w:highlight w:val="none"/>
              </w:rPr>
              <w:t>卫生防护距离</w:t>
            </w:r>
          </w:p>
          <w:p>
            <w:pPr>
              <w:widowControl w:val="0"/>
              <w:adjustRightInd w:val="0"/>
              <w:snapToGrid w:val="0"/>
              <w:spacing w:line="500" w:lineRule="exact"/>
              <w:ind w:firstLine="420" w:firstLineChars="200"/>
              <w:jc w:val="both"/>
              <w:rPr>
                <w:rFonts w:hint="eastAsia"/>
                <w:bCs/>
                <w:color w:val="auto"/>
                <w:sz w:val="21"/>
                <w:szCs w:val="21"/>
                <w:highlight w:val="none"/>
              </w:rPr>
            </w:pPr>
            <w:r>
              <w:rPr>
                <w:rFonts w:hint="eastAsia"/>
                <w:bCs/>
                <w:color w:val="auto"/>
                <w:sz w:val="21"/>
                <w:szCs w:val="21"/>
                <w:highlight w:val="none"/>
              </w:rPr>
              <w:t>等标排放量计算：</w:t>
            </w:r>
          </w:p>
          <w:p>
            <w:pPr>
              <w:widowControl w:val="0"/>
              <w:adjustRightInd w:val="0"/>
              <w:snapToGrid w:val="0"/>
              <w:spacing w:line="500" w:lineRule="exact"/>
              <w:ind w:firstLine="420" w:firstLineChars="200"/>
              <w:jc w:val="both"/>
              <w:rPr>
                <w:rFonts w:hint="default" w:eastAsia="宋体"/>
                <w:bCs/>
                <w:color w:val="auto"/>
                <w:sz w:val="21"/>
                <w:szCs w:val="21"/>
                <w:highlight w:val="none"/>
                <w:lang w:val="en-US" w:eastAsia="zh-CN"/>
              </w:rPr>
            </w:pPr>
            <w:r>
              <w:rPr>
                <w:rFonts w:hint="eastAsia"/>
                <w:bCs/>
                <w:color w:val="auto"/>
                <w:sz w:val="21"/>
                <w:szCs w:val="21"/>
                <w:highlight w:val="none"/>
              </w:rPr>
              <w:t>颗粒物：Q</w:t>
            </w:r>
            <w:r>
              <w:rPr>
                <w:rFonts w:hint="eastAsia"/>
                <w:bCs/>
                <w:color w:val="auto"/>
                <w:sz w:val="21"/>
                <w:szCs w:val="21"/>
                <w:highlight w:val="none"/>
                <w:vertAlign w:val="subscript"/>
              </w:rPr>
              <w:t>c</w:t>
            </w:r>
            <w:r>
              <w:rPr>
                <w:rFonts w:hint="eastAsia"/>
                <w:bCs/>
                <w:color w:val="auto"/>
                <w:sz w:val="21"/>
                <w:szCs w:val="21"/>
                <w:highlight w:val="none"/>
              </w:rPr>
              <w:t>/C</w:t>
            </w:r>
            <w:r>
              <w:rPr>
                <w:rFonts w:hint="eastAsia"/>
                <w:bCs/>
                <w:color w:val="auto"/>
                <w:sz w:val="21"/>
                <w:szCs w:val="21"/>
                <w:highlight w:val="none"/>
                <w:vertAlign w:val="subscript"/>
              </w:rPr>
              <w:t>m</w:t>
            </w:r>
            <w:r>
              <w:rPr>
                <w:rFonts w:hint="eastAsia"/>
                <w:bCs/>
                <w:color w:val="auto"/>
                <w:sz w:val="21"/>
                <w:szCs w:val="21"/>
                <w:highlight w:val="none"/>
              </w:rPr>
              <w:t>=</w:t>
            </w:r>
            <w:r>
              <w:rPr>
                <w:rFonts w:hint="eastAsia"/>
                <w:bCs/>
                <w:color w:val="auto"/>
                <w:sz w:val="21"/>
                <w:szCs w:val="21"/>
                <w:highlight w:val="none"/>
                <w:lang w:val="en-US" w:eastAsia="zh-CN"/>
              </w:rPr>
              <w:t>0.5209</w:t>
            </w:r>
            <w:r>
              <w:rPr>
                <w:rFonts w:hint="eastAsia"/>
                <w:bCs/>
                <w:color w:val="auto"/>
                <w:sz w:val="21"/>
                <w:szCs w:val="21"/>
                <w:highlight w:val="none"/>
              </w:rPr>
              <w:t>/0.9=</w:t>
            </w:r>
            <w:r>
              <w:rPr>
                <w:rFonts w:hint="eastAsia"/>
                <w:bCs/>
                <w:color w:val="auto"/>
                <w:sz w:val="21"/>
                <w:szCs w:val="21"/>
                <w:highlight w:val="none"/>
                <w:lang w:val="en-US" w:eastAsia="zh-CN"/>
              </w:rPr>
              <w:t>0.5788</w:t>
            </w:r>
          </w:p>
          <w:p>
            <w:pPr>
              <w:widowControl w:val="0"/>
              <w:adjustRightInd w:val="0"/>
              <w:snapToGrid w:val="0"/>
              <w:spacing w:line="500" w:lineRule="exact"/>
              <w:ind w:firstLine="420" w:firstLineChars="200"/>
              <w:jc w:val="both"/>
              <w:rPr>
                <w:bCs/>
                <w:color w:val="auto"/>
                <w:sz w:val="21"/>
                <w:szCs w:val="21"/>
                <w:highlight w:val="none"/>
              </w:rPr>
            </w:pPr>
            <w:r>
              <w:rPr>
                <w:rFonts w:hint="eastAsia"/>
                <w:bCs/>
                <w:color w:val="auto"/>
                <w:sz w:val="21"/>
                <w:szCs w:val="21"/>
                <w:highlight w:val="none"/>
              </w:rPr>
              <w:t>计算如下：</w:t>
            </w:r>
          </w:p>
          <w:p>
            <w:pPr>
              <w:widowControl w:val="0"/>
              <w:adjustRightInd w:val="0"/>
              <w:snapToGrid w:val="0"/>
              <w:spacing w:before="120" w:beforeLines="50" w:after="120" w:afterLines="50"/>
              <w:jc w:val="center"/>
              <w:rPr>
                <w:rFonts w:hint="eastAsia"/>
                <w:bCs/>
                <w:color w:val="auto"/>
                <w:sz w:val="21"/>
                <w:szCs w:val="21"/>
                <w:highlight w:val="none"/>
              </w:rPr>
            </w:pPr>
            <w:r>
              <w:rPr>
                <w:rFonts w:hint="eastAsia"/>
                <w:bCs/>
                <w:color w:val="auto"/>
                <w:position w:val="-24"/>
                <w:sz w:val="21"/>
                <w:szCs w:val="21"/>
                <w:highlight w:val="none"/>
              </w:rPr>
              <w:object>
                <v:shape id="_x0000_i1027" o:spt="75" type="#_x0000_t75" style="height:31pt;width:224pt;" o:ole="t" filled="f" o:preferrelative="t" stroked="f" coordsize="21600,21600">
                  <v:path/>
                  <v:fill on="f" focussize="0,0"/>
                  <v:stroke on="f"/>
                  <v:imagedata r:id="rId16" o:title=""/>
                  <o:lock v:ext="edit" aspectratio="t"/>
                  <w10:wrap type="none"/>
                  <w10:anchorlock/>
                </v:shape>
                <o:OLEObject Type="Embed" ProgID="Equation.KSEE3" ShapeID="_x0000_i1027" DrawAspect="Content" ObjectID="_1468075728" r:id="rId15">
                  <o:LockedField>false</o:LockedField>
                </o:OLEObject>
              </w:object>
            </w:r>
          </w:p>
          <w:p>
            <w:pPr>
              <w:autoSpaceDE w:val="0"/>
              <w:autoSpaceDN w:val="0"/>
              <w:adjustRightInd w:val="0"/>
              <w:spacing w:line="500" w:lineRule="exact"/>
              <w:ind w:firstLine="420" w:firstLineChars="200"/>
              <w:jc w:val="both"/>
              <w:rPr>
                <w:rFonts w:hint="eastAsia" w:cs="宋体"/>
                <w:bCs/>
                <w:color w:val="auto"/>
                <w:kern w:val="0"/>
                <w:sz w:val="21"/>
                <w:szCs w:val="21"/>
                <w:highlight w:val="none"/>
              </w:rPr>
            </w:pPr>
            <w:r>
              <w:rPr>
                <w:rFonts w:hint="eastAsia"/>
                <w:bCs/>
                <w:color w:val="auto"/>
                <w:sz w:val="21"/>
                <w:szCs w:val="21"/>
                <w:highlight w:val="none"/>
              </w:rPr>
              <w:t>则L=</w:t>
            </w:r>
            <w:r>
              <w:rPr>
                <w:rFonts w:hint="eastAsia"/>
                <w:bCs/>
                <w:color w:val="auto"/>
                <w:sz w:val="21"/>
                <w:szCs w:val="21"/>
                <w:highlight w:val="none"/>
                <w:lang w:val="en-US" w:eastAsia="zh-CN"/>
              </w:rPr>
              <w:t>7.29</w:t>
            </w:r>
            <w:r>
              <w:rPr>
                <w:rFonts w:hint="eastAsia"/>
                <w:bCs/>
                <w:color w:val="auto"/>
                <w:sz w:val="21"/>
                <w:szCs w:val="21"/>
                <w:highlight w:val="none"/>
              </w:rPr>
              <w:t>。</w:t>
            </w:r>
          </w:p>
          <w:p>
            <w:pPr>
              <w:widowControl w:val="0"/>
              <w:adjustRightInd w:val="0"/>
              <w:snapToGrid w:val="0"/>
              <w:spacing w:line="500" w:lineRule="exact"/>
              <w:ind w:firstLine="420" w:firstLineChars="200"/>
              <w:jc w:val="both"/>
              <w:rPr>
                <w:rFonts w:hint="default" w:eastAsia="宋体"/>
                <w:bCs/>
                <w:color w:val="auto"/>
                <w:sz w:val="21"/>
                <w:szCs w:val="21"/>
                <w:highlight w:val="none"/>
                <w:lang w:val="en-US" w:eastAsia="zh-CN"/>
              </w:rPr>
            </w:pPr>
            <w:r>
              <w:rPr>
                <w:rFonts w:hint="eastAsia"/>
                <w:bCs/>
                <w:color w:val="auto"/>
                <w:sz w:val="21"/>
                <w:szCs w:val="21"/>
                <w:highlight w:val="none"/>
                <w:lang w:eastAsia="zh-CN"/>
              </w:rPr>
              <w:t>非甲烷总烃</w:t>
            </w:r>
            <w:r>
              <w:rPr>
                <w:rFonts w:hint="eastAsia"/>
                <w:bCs/>
                <w:color w:val="auto"/>
                <w:sz w:val="21"/>
                <w:szCs w:val="21"/>
                <w:highlight w:val="none"/>
              </w:rPr>
              <w:t>：Q</w:t>
            </w:r>
            <w:r>
              <w:rPr>
                <w:rFonts w:hint="eastAsia"/>
                <w:bCs/>
                <w:color w:val="auto"/>
                <w:sz w:val="21"/>
                <w:szCs w:val="21"/>
                <w:highlight w:val="none"/>
                <w:vertAlign w:val="subscript"/>
              </w:rPr>
              <w:t>c</w:t>
            </w:r>
            <w:r>
              <w:rPr>
                <w:rFonts w:hint="eastAsia"/>
                <w:bCs/>
                <w:color w:val="auto"/>
                <w:sz w:val="21"/>
                <w:szCs w:val="21"/>
                <w:highlight w:val="none"/>
              </w:rPr>
              <w:t>/C</w:t>
            </w:r>
            <w:r>
              <w:rPr>
                <w:rFonts w:hint="eastAsia"/>
                <w:bCs/>
                <w:color w:val="auto"/>
                <w:sz w:val="21"/>
                <w:szCs w:val="21"/>
                <w:highlight w:val="none"/>
                <w:vertAlign w:val="subscript"/>
              </w:rPr>
              <w:t>m</w:t>
            </w:r>
            <w:r>
              <w:rPr>
                <w:rFonts w:hint="eastAsia"/>
                <w:bCs/>
                <w:color w:val="auto"/>
                <w:sz w:val="21"/>
                <w:szCs w:val="21"/>
                <w:highlight w:val="none"/>
              </w:rPr>
              <w:t>=</w:t>
            </w:r>
            <w:r>
              <w:rPr>
                <w:rFonts w:hint="eastAsia"/>
                <w:bCs/>
                <w:color w:val="auto"/>
                <w:sz w:val="21"/>
                <w:szCs w:val="21"/>
                <w:highlight w:val="none"/>
                <w:lang w:val="en-US" w:eastAsia="zh-CN"/>
              </w:rPr>
              <w:t>0.0002</w:t>
            </w:r>
            <w:r>
              <w:rPr>
                <w:rFonts w:hint="eastAsia"/>
                <w:bCs/>
                <w:color w:val="auto"/>
                <w:sz w:val="21"/>
                <w:szCs w:val="21"/>
                <w:highlight w:val="none"/>
              </w:rPr>
              <w:t>/</w:t>
            </w:r>
            <w:r>
              <w:rPr>
                <w:rFonts w:hint="eastAsia"/>
                <w:bCs/>
                <w:color w:val="auto"/>
                <w:sz w:val="21"/>
                <w:szCs w:val="21"/>
                <w:highlight w:val="none"/>
                <w:lang w:val="en-US" w:eastAsia="zh-CN"/>
              </w:rPr>
              <w:t>2</w:t>
            </w:r>
            <w:r>
              <w:rPr>
                <w:rFonts w:hint="eastAsia"/>
                <w:bCs/>
                <w:color w:val="auto"/>
                <w:sz w:val="21"/>
                <w:szCs w:val="21"/>
                <w:highlight w:val="none"/>
              </w:rPr>
              <w:t>=</w:t>
            </w:r>
            <w:r>
              <w:rPr>
                <w:rFonts w:hint="eastAsia"/>
                <w:bCs/>
                <w:color w:val="auto"/>
                <w:sz w:val="21"/>
                <w:szCs w:val="21"/>
                <w:highlight w:val="none"/>
                <w:lang w:val="en-US" w:eastAsia="zh-CN"/>
              </w:rPr>
              <w:t>0.5788</w:t>
            </w:r>
          </w:p>
          <w:p>
            <w:pPr>
              <w:widowControl w:val="0"/>
              <w:adjustRightInd w:val="0"/>
              <w:snapToGrid w:val="0"/>
              <w:spacing w:line="500" w:lineRule="exact"/>
              <w:ind w:firstLine="420" w:firstLineChars="200"/>
              <w:jc w:val="both"/>
              <w:rPr>
                <w:bCs/>
                <w:color w:val="auto"/>
                <w:sz w:val="21"/>
                <w:szCs w:val="21"/>
                <w:highlight w:val="none"/>
              </w:rPr>
            </w:pPr>
            <w:r>
              <w:rPr>
                <w:rFonts w:hint="eastAsia"/>
                <w:bCs/>
                <w:color w:val="auto"/>
                <w:sz w:val="21"/>
                <w:szCs w:val="21"/>
                <w:highlight w:val="none"/>
              </w:rPr>
              <w:t>计算如下：</w:t>
            </w:r>
          </w:p>
          <w:p>
            <w:pPr>
              <w:widowControl w:val="0"/>
              <w:adjustRightInd w:val="0"/>
              <w:snapToGrid w:val="0"/>
              <w:spacing w:before="120" w:beforeLines="50" w:after="120" w:afterLines="50"/>
              <w:jc w:val="center"/>
              <w:rPr>
                <w:rFonts w:hint="eastAsia"/>
                <w:bCs/>
                <w:color w:val="auto"/>
                <w:sz w:val="21"/>
                <w:szCs w:val="21"/>
                <w:highlight w:val="none"/>
              </w:rPr>
            </w:pPr>
            <w:r>
              <w:rPr>
                <w:rFonts w:hint="eastAsia"/>
                <w:bCs/>
                <w:color w:val="auto"/>
                <w:position w:val="-24"/>
                <w:sz w:val="21"/>
                <w:szCs w:val="21"/>
                <w:highlight w:val="none"/>
              </w:rPr>
              <w:object>
                <v:shape id="_x0000_i1028" o:spt="75" type="#_x0000_t75" style="height:31pt;width:224pt;" o:ole="t" filled="f" o:preferrelative="t" stroked="f" coordsize="21600,21600">
                  <v:path/>
                  <v:fill on="f" focussize="0,0"/>
                  <v:stroke on="f"/>
                  <v:imagedata r:id="rId18" o:title=""/>
                  <o:lock v:ext="edit" aspectratio="t"/>
                  <w10:wrap type="none"/>
                  <w10:anchorlock/>
                </v:shape>
                <o:OLEObject Type="Embed" ProgID="Equation.KSEE3" ShapeID="_x0000_i1028" DrawAspect="Content" ObjectID="_1468075729" r:id="rId17">
                  <o:LockedField>false</o:LockedField>
                </o:OLEObject>
              </w:object>
            </w:r>
          </w:p>
          <w:p>
            <w:pPr>
              <w:autoSpaceDE w:val="0"/>
              <w:autoSpaceDN w:val="0"/>
              <w:adjustRightInd w:val="0"/>
              <w:spacing w:line="500" w:lineRule="exact"/>
              <w:ind w:firstLine="420" w:firstLineChars="200"/>
              <w:jc w:val="both"/>
              <w:rPr>
                <w:rFonts w:hint="eastAsia" w:cs="宋体"/>
                <w:bCs/>
                <w:color w:val="auto"/>
                <w:kern w:val="0"/>
                <w:sz w:val="21"/>
                <w:szCs w:val="21"/>
                <w:highlight w:val="none"/>
              </w:rPr>
            </w:pPr>
            <w:r>
              <w:rPr>
                <w:rFonts w:hint="eastAsia"/>
                <w:bCs/>
                <w:color w:val="auto"/>
                <w:sz w:val="21"/>
                <w:szCs w:val="21"/>
                <w:highlight w:val="none"/>
              </w:rPr>
              <w:t>则L=</w:t>
            </w:r>
            <w:r>
              <w:rPr>
                <w:rFonts w:hint="eastAsia"/>
                <w:bCs/>
                <w:color w:val="auto"/>
                <w:sz w:val="21"/>
                <w:szCs w:val="21"/>
                <w:highlight w:val="none"/>
                <w:lang w:val="en-US" w:eastAsia="zh-CN"/>
              </w:rPr>
              <w:t>0.0003</w:t>
            </w:r>
            <w:r>
              <w:rPr>
                <w:rFonts w:hint="eastAsia"/>
                <w:bCs/>
                <w:color w:val="auto"/>
                <w:sz w:val="21"/>
                <w:szCs w:val="21"/>
                <w:highlight w:val="none"/>
              </w:rPr>
              <w:t>。</w:t>
            </w:r>
          </w:p>
          <w:p>
            <w:pPr>
              <w:widowControl w:val="0"/>
              <w:adjustRightInd w:val="0"/>
              <w:snapToGrid w:val="0"/>
              <w:spacing w:line="500" w:lineRule="exact"/>
              <w:ind w:firstLine="420" w:firstLineChars="200"/>
              <w:jc w:val="both"/>
              <w:rPr>
                <w:rFonts w:hint="eastAsia"/>
                <w:bCs/>
                <w:color w:val="auto"/>
                <w:sz w:val="21"/>
                <w:szCs w:val="21"/>
                <w:highlight w:val="none"/>
              </w:rPr>
            </w:pPr>
            <w:r>
              <w:rPr>
                <w:rFonts w:hint="eastAsia"/>
                <w:bCs/>
                <w:color w:val="auto"/>
                <w:sz w:val="21"/>
                <w:szCs w:val="21"/>
                <w:highlight w:val="none"/>
                <w:lang w:eastAsia="zh-CN"/>
              </w:rPr>
              <w:t>机加工车间</w:t>
            </w:r>
            <w:r>
              <w:rPr>
                <w:rFonts w:hint="eastAsia"/>
                <w:bCs/>
                <w:color w:val="auto"/>
                <w:sz w:val="21"/>
                <w:szCs w:val="21"/>
                <w:highlight w:val="none"/>
                <w:lang w:val="en-US" w:eastAsia="zh-CN"/>
              </w:rPr>
              <w:t>无组织排放存在多种特征大气有害物质，且各特征大气有害物质卫生防护距离初值在同一级别，因此车间三卫生防护距离防护距离提交一级</w:t>
            </w:r>
            <w:r>
              <w:rPr>
                <w:rFonts w:hint="eastAsia"/>
                <w:bCs/>
                <w:color w:val="auto"/>
                <w:sz w:val="21"/>
                <w:szCs w:val="21"/>
                <w:highlight w:val="none"/>
              </w:rPr>
              <w:t>。</w:t>
            </w:r>
          </w:p>
          <w:p>
            <w:pPr>
              <w:adjustRightInd w:val="0"/>
              <w:snapToGrid w:val="0"/>
              <w:spacing w:line="500" w:lineRule="exact"/>
              <w:ind w:firstLine="420" w:firstLineChars="200"/>
              <w:rPr>
                <w:rFonts w:hint="default" w:eastAsia="宋体"/>
                <w:bCs/>
                <w:color w:val="auto"/>
                <w:sz w:val="21"/>
                <w:szCs w:val="21"/>
                <w:lang w:val="en-US" w:eastAsia="zh-CN"/>
              </w:rPr>
            </w:pPr>
            <w:r>
              <w:rPr>
                <w:rFonts w:hint="eastAsia"/>
                <w:bCs/>
                <w:color w:val="auto"/>
                <w:sz w:val="21"/>
                <w:szCs w:val="21"/>
                <w:lang w:val="en-US" w:eastAsia="zh-CN"/>
              </w:rPr>
              <w:t>则车间三的卫生防护距离提一级。</w:t>
            </w:r>
          </w:p>
          <w:p>
            <w:pPr>
              <w:adjustRightInd w:val="0"/>
              <w:snapToGrid w:val="0"/>
              <w:spacing w:line="500" w:lineRule="exact"/>
              <w:ind w:firstLine="420" w:firstLineChars="200"/>
              <w:rPr>
                <w:rFonts w:hint="eastAsia"/>
                <w:bCs/>
                <w:color w:val="auto"/>
                <w:sz w:val="21"/>
                <w:szCs w:val="21"/>
              </w:rPr>
            </w:pPr>
            <w:r>
              <w:rPr>
                <w:rFonts w:hint="eastAsia"/>
                <w:bCs/>
                <w:color w:val="auto"/>
                <w:sz w:val="21"/>
                <w:szCs w:val="21"/>
              </w:rPr>
              <w:t>综上所述，项目卫生防护距离计算结果见</w:t>
            </w:r>
            <w:r>
              <w:rPr>
                <w:rFonts w:hint="eastAsia"/>
                <w:bCs/>
                <w:color w:val="auto"/>
                <w:sz w:val="21"/>
                <w:szCs w:val="21"/>
                <w:lang w:val="en-US" w:eastAsia="zh-CN"/>
              </w:rPr>
              <w:t>下表</w:t>
            </w:r>
            <w:r>
              <w:rPr>
                <w:rFonts w:hint="eastAsia"/>
                <w:bCs/>
                <w:color w:val="auto"/>
                <w:sz w:val="21"/>
                <w:szCs w:val="21"/>
              </w:rPr>
              <w:t>。</w:t>
            </w:r>
          </w:p>
          <w:p>
            <w:pPr>
              <w:autoSpaceDE w:val="0"/>
              <w:autoSpaceDN w:val="0"/>
              <w:adjustRightInd w:val="0"/>
              <w:spacing w:line="500" w:lineRule="exact"/>
              <w:jc w:val="center"/>
              <w:rPr>
                <w:b/>
                <w:bCs/>
                <w:color w:val="auto"/>
                <w:szCs w:val="21"/>
              </w:rPr>
            </w:pPr>
          </w:p>
          <w:p>
            <w:pPr>
              <w:autoSpaceDE w:val="0"/>
              <w:autoSpaceDN w:val="0"/>
              <w:adjustRightInd w:val="0"/>
              <w:spacing w:line="500" w:lineRule="exact"/>
              <w:jc w:val="center"/>
              <w:rPr>
                <w:b/>
                <w:bCs/>
                <w:color w:val="auto"/>
                <w:szCs w:val="21"/>
              </w:rPr>
            </w:pPr>
          </w:p>
          <w:p>
            <w:pPr>
              <w:autoSpaceDE w:val="0"/>
              <w:autoSpaceDN w:val="0"/>
              <w:adjustRightInd w:val="0"/>
              <w:spacing w:line="500" w:lineRule="exact"/>
              <w:jc w:val="center"/>
              <w:rPr>
                <w:rFonts w:hint="eastAsia"/>
                <w:b/>
                <w:bCs/>
                <w:color w:val="auto"/>
                <w:szCs w:val="21"/>
              </w:rPr>
            </w:pPr>
            <w:r>
              <w:rPr>
                <w:b/>
                <w:bCs/>
                <w:color w:val="auto"/>
                <w:szCs w:val="21"/>
              </w:rPr>
              <w:t>表</w:t>
            </w:r>
            <w:r>
              <w:rPr>
                <w:rFonts w:hint="eastAsia"/>
                <w:b/>
                <w:bCs/>
                <w:color w:val="auto"/>
                <w:szCs w:val="21"/>
                <w:lang w:val="en-US" w:eastAsia="zh-CN"/>
              </w:rPr>
              <w:t>4-10</w:t>
            </w:r>
            <w:r>
              <w:rPr>
                <w:b/>
                <w:bCs/>
                <w:color w:val="auto"/>
                <w:szCs w:val="21"/>
              </w:rPr>
              <w:t xml:space="preserve"> </w:t>
            </w:r>
            <w:r>
              <w:rPr>
                <w:rFonts w:hint="eastAsia"/>
                <w:b/>
                <w:bCs/>
                <w:color w:val="auto"/>
                <w:szCs w:val="21"/>
              </w:rPr>
              <w:t>卫生防护距离计算参数及计算结果</w:t>
            </w:r>
          </w:p>
          <w:tbl>
            <w:tblPr>
              <w:tblStyle w:val="21"/>
              <w:tblW w:w="831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8"/>
              <w:gridCol w:w="951"/>
              <w:gridCol w:w="982"/>
              <w:gridCol w:w="673"/>
              <w:gridCol w:w="685"/>
              <w:gridCol w:w="676"/>
              <w:gridCol w:w="679"/>
              <w:gridCol w:w="1157"/>
              <w:gridCol w:w="863"/>
              <w:gridCol w:w="8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739" w:type="dxa"/>
                  <w:gridSpan w:val="2"/>
                  <w:noWrap w:val="0"/>
                  <w:vAlign w:val="center"/>
                </w:tcPr>
                <w:p>
                  <w:pPr>
                    <w:jc w:val="center"/>
                    <w:rPr>
                      <w:b/>
                      <w:bCs/>
                      <w:color w:val="auto"/>
                      <w:sz w:val="18"/>
                      <w:szCs w:val="18"/>
                    </w:rPr>
                  </w:pPr>
                  <w:r>
                    <w:rPr>
                      <w:rFonts w:hint="eastAsia"/>
                      <w:b/>
                      <w:bCs/>
                      <w:color w:val="auto"/>
                      <w:sz w:val="18"/>
                      <w:szCs w:val="18"/>
                    </w:rPr>
                    <w:t>影响因子</w:t>
                  </w:r>
                </w:p>
              </w:tc>
              <w:tc>
                <w:tcPr>
                  <w:tcW w:w="982" w:type="dxa"/>
                  <w:noWrap w:val="0"/>
                  <w:vAlign w:val="center"/>
                </w:tcPr>
                <w:p>
                  <w:pPr>
                    <w:jc w:val="center"/>
                    <w:rPr>
                      <w:b/>
                      <w:bCs/>
                      <w:color w:val="auto"/>
                      <w:sz w:val="18"/>
                      <w:szCs w:val="18"/>
                    </w:rPr>
                  </w:pPr>
                  <w:r>
                    <w:rPr>
                      <w:rFonts w:hint="eastAsia"/>
                      <w:b/>
                      <w:bCs/>
                      <w:color w:val="auto"/>
                      <w:sz w:val="18"/>
                      <w:szCs w:val="18"/>
                    </w:rPr>
                    <w:t>Qc（kg/h）</w:t>
                  </w:r>
                </w:p>
              </w:tc>
              <w:tc>
                <w:tcPr>
                  <w:tcW w:w="673" w:type="dxa"/>
                  <w:noWrap w:val="0"/>
                  <w:vAlign w:val="center"/>
                </w:tcPr>
                <w:p>
                  <w:pPr>
                    <w:jc w:val="center"/>
                    <w:rPr>
                      <w:rFonts w:hint="eastAsia"/>
                      <w:b/>
                      <w:bCs/>
                      <w:color w:val="auto"/>
                      <w:sz w:val="18"/>
                      <w:szCs w:val="18"/>
                    </w:rPr>
                  </w:pPr>
                  <w:r>
                    <w:rPr>
                      <w:rFonts w:hint="eastAsia"/>
                      <w:b/>
                      <w:bCs/>
                      <w:color w:val="auto"/>
                      <w:sz w:val="18"/>
                      <w:szCs w:val="18"/>
                    </w:rPr>
                    <w:t>A</w:t>
                  </w:r>
                </w:p>
              </w:tc>
              <w:tc>
                <w:tcPr>
                  <w:tcW w:w="685" w:type="dxa"/>
                  <w:noWrap w:val="0"/>
                  <w:vAlign w:val="center"/>
                </w:tcPr>
                <w:p>
                  <w:pPr>
                    <w:jc w:val="center"/>
                    <w:rPr>
                      <w:rFonts w:hint="eastAsia"/>
                      <w:b/>
                      <w:bCs/>
                      <w:color w:val="auto"/>
                      <w:sz w:val="18"/>
                      <w:szCs w:val="18"/>
                    </w:rPr>
                  </w:pPr>
                  <w:r>
                    <w:rPr>
                      <w:rFonts w:hint="eastAsia"/>
                      <w:b/>
                      <w:bCs/>
                      <w:color w:val="auto"/>
                      <w:sz w:val="18"/>
                      <w:szCs w:val="18"/>
                    </w:rPr>
                    <w:t>B</w:t>
                  </w:r>
                </w:p>
              </w:tc>
              <w:tc>
                <w:tcPr>
                  <w:tcW w:w="676" w:type="dxa"/>
                  <w:noWrap w:val="0"/>
                  <w:vAlign w:val="center"/>
                </w:tcPr>
                <w:p>
                  <w:pPr>
                    <w:jc w:val="center"/>
                    <w:rPr>
                      <w:rFonts w:hint="eastAsia"/>
                      <w:b/>
                      <w:bCs/>
                      <w:color w:val="auto"/>
                      <w:sz w:val="18"/>
                      <w:szCs w:val="18"/>
                    </w:rPr>
                  </w:pPr>
                  <w:r>
                    <w:rPr>
                      <w:rFonts w:hint="eastAsia"/>
                      <w:b/>
                      <w:bCs/>
                      <w:color w:val="auto"/>
                      <w:sz w:val="18"/>
                      <w:szCs w:val="18"/>
                    </w:rPr>
                    <w:t>C</w:t>
                  </w:r>
                </w:p>
              </w:tc>
              <w:tc>
                <w:tcPr>
                  <w:tcW w:w="679" w:type="dxa"/>
                  <w:noWrap w:val="0"/>
                  <w:vAlign w:val="center"/>
                </w:tcPr>
                <w:p>
                  <w:pPr>
                    <w:jc w:val="center"/>
                    <w:rPr>
                      <w:rFonts w:hint="eastAsia"/>
                      <w:b/>
                      <w:bCs/>
                      <w:color w:val="auto"/>
                      <w:sz w:val="18"/>
                      <w:szCs w:val="18"/>
                    </w:rPr>
                  </w:pPr>
                  <w:r>
                    <w:rPr>
                      <w:rFonts w:hint="eastAsia"/>
                      <w:b/>
                      <w:bCs/>
                      <w:color w:val="auto"/>
                      <w:sz w:val="18"/>
                      <w:szCs w:val="18"/>
                    </w:rPr>
                    <w:t>D</w:t>
                  </w:r>
                </w:p>
              </w:tc>
              <w:tc>
                <w:tcPr>
                  <w:tcW w:w="1157" w:type="dxa"/>
                  <w:noWrap w:val="0"/>
                  <w:vAlign w:val="center"/>
                </w:tcPr>
                <w:p>
                  <w:pPr>
                    <w:jc w:val="center"/>
                    <w:rPr>
                      <w:b/>
                      <w:bCs/>
                      <w:color w:val="auto"/>
                      <w:sz w:val="18"/>
                      <w:szCs w:val="18"/>
                    </w:rPr>
                  </w:pPr>
                  <w:r>
                    <w:rPr>
                      <w:rFonts w:hint="eastAsia"/>
                      <w:b/>
                      <w:bCs/>
                      <w:color w:val="auto"/>
                      <w:sz w:val="18"/>
                      <w:szCs w:val="18"/>
                    </w:rPr>
                    <w:t>Cm（mg/m</w:t>
                  </w:r>
                  <w:r>
                    <w:rPr>
                      <w:rFonts w:hint="eastAsia"/>
                      <w:b/>
                      <w:bCs/>
                      <w:color w:val="auto"/>
                      <w:sz w:val="18"/>
                      <w:szCs w:val="18"/>
                      <w:vertAlign w:val="superscript"/>
                    </w:rPr>
                    <w:t>3</w:t>
                  </w:r>
                  <w:r>
                    <w:rPr>
                      <w:rFonts w:hint="eastAsia"/>
                      <w:b/>
                      <w:bCs/>
                      <w:color w:val="auto"/>
                      <w:sz w:val="18"/>
                      <w:szCs w:val="18"/>
                    </w:rPr>
                    <w:t>）</w:t>
                  </w:r>
                </w:p>
              </w:tc>
              <w:tc>
                <w:tcPr>
                  <w:tcW w:w="863" w:type="dxa"/>
                  <w:noWrap w:val="0"/>
                  <w:vAlign w:val="center"/>
                </w:tcPr>
                <w:p>
                  <w:pPr>
                    <w:jc w:val="center"/>
                    <w:rPr>
                      <w:b/>
                      <w:bCs/>
                      <w:color w:val="auto"/>
                      <w:sz w:val="18"/>
                      <w:szCs w:val="18"/>
                    </w:rPr>
                  </w:pPr>
                  <w:r>
                    <w:rPr>
                      <w:rFonts w:hint="eastAsia"/>
                      <w:b/>
                      <w:bCs/>
                      <w:color w:val="auto"/>
                      <w:sz w:val="18"/>
                      <w:szCs w:val="18"/>
                    </w:rPr>
                    <w:t>L</w:t>
                  </w:r>
                  <w:r>
                    <w:rPr>
                      <w:rFonts w:hint="eastAsia"/>
                      <w:b/>
                      <w:bCs/>
                      <w:color w:val="auto"/>
                      <w:sz w:val="18"/>
                      <w:szCs w:val="18"/>
                      <w:vertAlign w:val="subscript"/>
                    </w:rPr>
                    <w:t>计算</w:t>
                  </w:r>
                  <w:r>
                    <w:rPr>
                      <w:rFonts w:hint="eastAsia"/>
                      <w:b/>
                      <w:bCs/>
                      <w:color w:val="auto"/>
                      <w:sz w:val="18"/>
                      <w:szCs w:val="18"/>
                    </w:rPr>
                    <w:t>（m）</w:t>
                  </w:r>
                </w:p>
              </w:tc>
              <w:tc>
                <w:tcPr>
                  <w:tcW w:w="862" w:type="dxa"/>
                  <w:noWrap w:val="0"/>
                  <w:vAlign w:val="center"/>
                </w:tcPr>
                <w:p>
                  <w:pPr>
                    <w:jc w:val="center"/>
                    <w:rPr>
                      <w:b/>
                      <w:bCs/>
                      <w:color w:val="auto"/>
                      <w:sz w:val="18"/>
                      <w:szCs w:val="18"/>
                    </w:rPr>
                  </w:pPr>
                  <w:r>
                    <w:rPr>
                      <w:rFonts w:hint="eastAsia"/>
                      <w:b/>
                      <w:bCs/>
                      <w:color w:val="auto"/>
                      <w:sz w:val="18"/>
                      <w:szCs w:val="18"/>
                    </w:rPr>
                    <w:t>L（m）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788" w:type="dxa"/>
                  <w:vMerge w:val="restart"/>
                  <w:noWrap w:val="0"/>
                  <w:vAlign w:val="center"/>
                </w:tcPr>
                <w:p>
                  <w:pPr>
                    <w:jc w:val="center"/>
                    <w:rPr>
                      <w:rFonts w:hint="eastAsia"/>
                      <w:color w:val="auto"/>
                      <w:spacing w:val="-11"/>
                      <w:sz w:val="18"/>
                      <w:szCs w:val="18"/>
                    </w:rPr>
                  </w:pPr>
                  <w:r>
                    <w:rPr>
                      <w:rFonts w:hint="eastAsia"/>
                      <w:color w:val="auto"/>
                      <w:spacing w:val="-11"/>
                      <w:sz w:val="18"/>
                      <w:szCs w:val="18"/>
                      <w:lang w:eastAsia="zh-CN"/>
                    </w:rPr>
                    <w:t>机加工</w:t>
                  </w:r>
                  <w:r>
                    <w:rPr>
                      <w:rFonts w:hint="eastAsia"/>
                      <w:color w:val="auto"/>
                      <w:spacing w:val="-11"/>
                      <w:sz w:val="18"/>
                      <w:szCs w:val="18"/>
                    </w:rPr>
                    <w:t>车间</w:t>
                  </w:r>
                </w:p>
              </w:tc>
              <w:tc>
                <w:tcPr>
                  <w:tcW w:w="951" w:type="dxa"/>
                  <w:noWrap w:val="0"/>
                  <w:vAlign w:val="center"/>
                </w:tcPr>
                <w:p>
                  <w:pPr>
                    <w:jc w:val="center"/>
                    <w:rPr>
                      <w:rFonts w:hint="default" w:eastAsia="宋体"/>
                      <w:color w:val="auto"/>
                      <w:spacing w:val="-11"/>
                      <w:sz w:val="18"/>
                      <w:szCs w:val="18"/>
                      <w:lang w:val="en-US" w:eastAsia="zh-CN"/>
                    </w:rPr>
                  </w:pPr>
                  <w:r>
                    <w:rPr>
                      <w:rFonts w:hint="eastAsia"/>
                      <w:color w:val="auto"/>
                      <w:spacing w:val="-11"/>
                      <w:sz w:val="18"/>
                      <w:szCs w:val="18"/>
                      <w:lang w:val="en-US" w:eastAsia="zh-CN"/>
                    </w:rPr>
                    <w:t>颗粒物</w:t>
                  </w:r>
                </w:p>
              </w:tc>
              <w:tc>
                <w:tcPr>
                  <w:tcW w:w="982" w:type="dxa"/>
                  <w:noWrap w:val="0"/>
                  <w:vAlign w:val="center"/>
                </w:tcPr>
                <w:p>
                  <w:pPr>
                    <w:jc w:val="center"/>
                    <w:rPr>
                      <w:rFonts w:hint="default" w:ascii="Times New Roman" w:hAnsi="Times New Roman" w:eastAsia="宋体" w:cs="Times New Roman"/>
                      <w:bCs/>
                      <w:color w:val="auto"/>
                      <w:sz w:val="18"/>
                      <w:szCs w:val="18"/>
                      <w:highlight w:val="none"/>
                      <w:lang w:val="en-US" w:eastAsia="zh-CN"/>
                    </w:rPr>
                  </w:pPr>
                  <w:r>
                    <w:rPr>
                      <w:rFonts w:hint="eastAsia" w:ascii="Times New Roman" w:hAnsi="Times New Roman" w:eastAsia="宋体" w:cs="Times New Roman"/>
                      <w:bCs/>
                      <w:color w:val="auto"/>
                      <w:sz w:val="18"/>
                      <w:szCs w:val="18"/>
                      <w:highlight w:val="none"/>
                      <w:lang w:val="en-US" w:eastAsia="zh-CN"/>
                    </w:rPr>
                    <w:t>0.5209</w:t>
                  </w:r>
                </w:p>
              </w:tc>
              <w:tc>
                <w:tcPr>
                  <w:tcW w:w="673" w:type="dxa"/>
                  <w:noWrap w:val="0"/>
                  <w:vAlign w:val="center"/>
                </w:tcPr>
                <w:p>
                  <w:pPr>
                    <w:jc w:val="center"/>
                    <w:rPr>
                      <w:rFonts w:hint="eastAsia"/>
                      <w:color w:val="auto"/>
                      <w:sz w:val="18"/>
                      <w:szCs w:val="18"/>
                    </w:rPr>
                  </w:pPr>
                  <w:r>
                    <w:rPr>
                      <w:rFonts w:hint="eastAsia"/>
                      <w:color w:val="auto"/>
                      <w:sz w:val="18"/>
                      <w:szCs w:val="18"/>
                    </w:rPr>
                    <w:t>470</w:t>
                  </w:r>
                </w:p>
              </w:tc>
              <w:tc>
                <w:tcPr>
                  <w:tcW w:w="685" w:type="dxa"/>
                  <w:noWrap w:val="0"/>
                  <w:vAlign w:val="center"/>
                </w:tcPr>
                <w:p>
                  <w:pPr>
                    <w:jc w:val="center"/>
                    <w:rPr>
                      <w:rFonts w:hint="eastAsia"/>
                      <w:color w:val="auto"/>
                      <w:sz w:val="18"/>
                      <w:szCs w:val="18"/>
                    </w:rPr>
                  </w:pPr>
                  <w:r>
                    <w:rPr>
                      <w:rFonts w:hint="eastAsia"/>
                      <w:color w:val="auto"/>
                      <w:sz w:val="18"/>
                      <w:szCs w:val="18"/>
                    </w:rPr>
                    <w:t>0.021</w:t>
                  </w:r>
                </w:p>
              </w:tc>
              <w:tc>
                <w:tcPr>
                  <w:tcW w:w="676" w:type="dxa"/>
                  <w:noWrap w:val="0"/>
                  <w:vAlign w:val="center"/>
                </w:tcPr>
                <w:p>
                  <w:pPr>
                    <w:jc w:val="center"/>
                    <w:rPr>
                      <w:rFonts w:hint="eastAsia"/>
                      <w:color w:val="auto"/>
                      <w:sz w:val="18"/>
                      <w:szCs w:val="18"/>
                    </w:rPr>
                  </w:pPr>
                  <w:r>
                    <w:rPr>
                      <w:rFonts w:hint="eastAsia"/>
                      <w:color w:val="auto"/>
                      <w:sz w:val="18"/>
                      <w:szCs w:val="18"/>
                    </w:rPr>
                    <w:t>1.85</w:t>
                  </w:r>
                </w:p>
              </w:tc>
              <w:tc>
                <w:tcPr>
                  <w:tcW w:w="679" w:type="dxa"/>
                  <w:noWrap w:val="0"/>
                  <w:vAlign w:val="center"/>
                </w:tcPr>
                <w:p>
                  <w:pPr>
                    <w:jc w:val="center"/>
                    <w:rPr>
                      <w:rFonts w:hint="eastAsia"/>
                      <w:color w:val="auto"/>
                      <w:sz w:val="18"/>
                      <w:szCs w:val="18"/>
                    </w:rPr>
                  </w:pPr>
                  <w:r>
                    <w:rPr>
                      <w:rFonts w:hint="eastAsia"/>
                      <w:color w:val="auto"/>
                      <w:sz w:val="18"/>
                      <w:szCs w:val="18"/>
                    </w:rPr>
                    <w:t>0.84</w:t>
                  </w:r>
                </w:p>
              </w:tc>
              <w:tc>
                <w:tcPr>
                  <w:tcW w:w="1157" w:type="dxa"/>
                  <w:noWrap w:val="0"/>
                  <w:vAlign w:val="center"/>
                </w:tcPr>
                <w:p>
                  <w:pPr>
                    <w:jc w:val="center"/>
                    <w:rPr>
                      <w:rFonts w:hint="default" w:eastAsia="宋体"/>
                      <w:color w:val="auto"/>
                      <w:sz w:val="18"/>
                      <w:szCs w:val="18"/>
                      <w:lang w:val="en-US" w:eastAsia="zh-CN"/>
                    </w:rPr>
                  </w:pPr>
                  <w:r>
                    <w:rPr>
                      <w:rFonts w:hint="eastAsia"/>
                      <w:color w:val="auto"/>
                      <w:sz w:val="18"/>
                      <w:szCs w:val="18"/>
                      <w:lang w:val="en-US" w:eastAsia="zh-CN"/>
                    </w:rPr>
                    <w:t>0.9</w:t>
                  </w:r>
                </w:p>
              </w:tc>
              <w:tc>
                <w:tcPr>
                  <w:tcW w:w="863" w:type="dxa"/>
                  <w:noWrap w:val="0"/>
                  <w:vAlign w:val="center"/>
                </w:tcPr>
                <w:p>
                  <w:pPr>
                    <w:jc w:val="center"/>
                    <w:rPr>
                      <w:rFonts w:hint="default" w:eastAsia="宋体"/>
                      <w:color w:val="auto"/>
                      <w:sz w:val="18"/>
                      <w:szCs w:val="18"/>
                      <w:lang w:val="en-US" w:eastAsia="zh-CN"/>
                    </w:rPr>
                  </w:pPr>
                  <w:r>
                    <w:rPr>
                      <w:rFonts w:hint="eastAsia" w:eastAsia="宋体"/>
                      <w:color w:val="auto"/>
                      <w:sz w:val="18"/>
                      <w:szCs w:val="18"/>
                      <w:lang w:val="en-US" w:eastAsia="zh-CN"/>
                    </w:rPr>
                    <w:t>7.29</w:t>
                  </w:r>
                </w:p>
              </w:tc>
              <w:tc>
                <w:tcPr>
                  <w:tcW w:w="862" w:type="dxa"/>
                  <w:vMerge w:val="restart"/>
                  <w:noWrap w:val="0"/>
                  <w:vAlign w:val="center"/>
                </w:tcPr>
                <w:p>
                  <w:pPr>
                    <w:jc w:val="center"/>
                    <w:rPr>
                      <w:rFonts w:hint="default" w:eastAsia="宋体"/>
                      <w:color w:val="auto"/>
                      <w:sz w:val="18"/>
                      <w:szCs w:val="18"/>
                      <w:lang w:val="en-US" w:eastAsia="zh-CN"/>
                    </w:rPr>
                  </w:pPr>
                  <w:r>
                    <w:rPr>
                      <w:rFonts w:hint="eastAsia"/>
                      <w:color w:val="auto"/>
                      <w:sz w:val="18"/>
                      <w:szCs w:val="18"/>
                      <w:lang w:val="en-US" w:eastAsia="zh-CN"/>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788" w:type="dxa"/>
                  <w:vMerge w:val="continue"/>
                  <w:noWrap w:val="0"/>
                  <w:vAlign w:val="center"/>
                </w:tcPr>
                <w:p>
                  <w:pPr>
                    <w:jc w:val="center"/>
                    <w:rPr>
                      <w:rFonts w:hint="eastAsia"/>
                      <w:color w:val="auto"/>
                      <w:spacing w:val="-11"/>
                      <w:sz w:val="18"/>
                      <w:szCs w:val="18"/>
                    </w:rPr>
                  </w:pPr>
                </w:p>
              </w:tc>
              <w:tc>
                <w:tcPr>
                  <w:tcW w:w="951" w:type="dxa"/>
                  <w:noWrap w:val="0"/>
                  <w:vAlign w:val="center"/>
                </w:tcPr>
                <w:p>
                  <w:pPr>
                    <w:jc w:val="center"/>
                    <w:rPr>
                      <w:rFonts w:hint="default"/>
                      <w:color w:val="auto"/>
                      <w:spacing w:val="-11"/>
                      <w:sz w:val="18"/>
                      <w:szCs w:val="18"/>
                      <w:lang w:val="en-US" w:eastAsia="zh-CN"/>
                    </w:rPr>
                  </w:pPr>
                  <w:r>
                    <w:rPr>
                      <w:rFonts w:hint="eastAsia"/>
                      <w:color w:val="auto"/>
                      <w:spacing w:val="-11"/>
                      <w:sz w:val="18"/>
                      <w:szCs w:val="18"/>
                      <w:lang w:val="en-US" w:eastAsia="zh-CN"/>
                    </w:rPr>
                    <w:t>非甲烷总烃</w:t>
                  </w:r>
                </w:p>
              </w:tc>
              <w:tc>
                <w:tcPr>
                  <w:tcW w:w="982" w:type="dxa"/>
                  <w:noWrap w:val="0"/>
                  <w:vAlign w:val="center"/>
                </w:tcPr>
                <w:p>
                  <w:pPr>
                    <w:jc w:val="center"/>
                    <w:rPr>
                      <w:rFonts w:hint="default" w:ascii="Times New Roman" w:hAnsi="Times New Roman" w:eastAsia="宋体" w:cs="Times New Roman"/>
                      <w:bCs/>
                      <w:color w:val="auto"/>
                      <w:sz w:val="18"/>
                      <w:szCs w:val="18"/>
                      <w:highlight w:val="none"/>
                      <w:lang w:val="en-US" w:eastAsia="zh-CN"/>
                    </w:rPr>
                  </w:pPr>
                  <w:r>
                    <w:rPr>
                      <w:rFonts w:hint="eastAsia" w:ascii="Times New Roman" w:hAnsi="Times New Roman" w:eastAsia="宋体" w:cs="Times New Roman"/>
                      <w:bCs/>
                      <w:color w:val="auto"/>
                      <w:sz w:val="18"/>
                      <w:szCs w:val="18"/>
                      <w:highlight w:val="none"/>
                      <w:lang w:val="en-US" w:eastAsia="zh-CN"/>
                    </w:rPr>
                    <w:t>0.0002</w:t>
                  </w:r>
                </w:p>
              </w:tc>
              <w:tc>
                <w:tcPr>
                  <w:tcW w:w="673" w:type="dxa"/>
                  <w:noWrap w:val="0"/>
                  <w:vAlign w:val="center"/>
                </w:tcPr>
                <w:p>
                  <w:pPr>
                    <w:jc w:val="center"/>
                    <w:rPr>
                      <w:rFonts w:hint="eastAsia"/>
                      <w:color w:val="auto"/>
                      <w:sz w:val="18"/>
                      <w:szCs w:val="18"/>
                    </w:rPr>
                  </w:pPr>
                  <w:r>
                    <w:rPr>
                      <w:rFonts w:hint="eastAsia"/>
                      <w:color w:val="auto"/>
                      <w:sz w:val="18"/>
                      <w:szCs w:val="18"/>
                    </w:rPr>
                    <w:t>470</w:t>
                  </w:r>
                </w:p>
              </w:tc>
              <w:tc>
                <w:tcPr>
                  <w:tcW w:w="685" w:type="dxa"/>
                  <w:noWrap w:val="0"/>
                  <w:vAlign w:val="center"/>
                </w:tcPr>
                <w:p>
                  <w:pPr>
                    <w:jc w:val="center"/>
                    <w:rPr>
                      <w:rFonts w:hint="eastAsia"/>
                      <w:color w:val="auto"/>
                      <w:sz w:val="18"/>
                      <w:szCs w:val="18"/>
                    </w:rPr>
                  </w:pPr>
                  <w:r>
                    <w:rPr>
                      <w:rFonts w:hint="eastAsia"/>
                      <w:color w:val="auto"/>
                      <w:sz w:val="18"/>
                      <w:szCs w:val="18"/>
                    </w:rPr>
                    <w:t>0.021</w:t>
                  </w:r>
                </w:p>
              </w:tc>
              <w:tc>
                <w:tcPr>
                  <w:tcW w:w="676" w:type="dxa"/>
                  <w:noWrap w:val="0"/>
                  <w:vAlign w:val="center"/>
                </w:tcPr>
                <w:p>
                  <w:pPr>
                    <w:jc w:val="center"/>
                    <w:rPr>
                      <w:rFonts w:hint="eastAsia"/>
                      <w:color w:val="auto"/>
                      <w:sz w:val="18"/>
                      <w:szCs w:val="18"/>
                    </w:rPr>
                  </w:pPr>
                  <w:r>
                    <w:rPr>
                      <w:rFonts w:hint="eastAsia"/>
                      <w:color w:val="auto"/>
                      <w:sz w:val="18"/>
                      <w:szCs w:val="18"/>
                    </w:rPr>
                    <w:t>1.85</w:t>
                  </w:r>
                </w:p>
              </w:tc>
              <w:tc>
                <w:tcPr>
                  <w:tcW w:w="679" w:type="dxa"/>
                  <w:noWrap w:val="0"/>
                  <w:vAlign w:val="center"/>
                </w:tcPr>
                <w:p>
                  <w:pPr>
                    <w:jc w:val="center"/>
                    <w:rPr>
                      <w:rFonts w:hint="eastAsia"/>
                      <w:color w:val="auto"/>
                      <w:sz w:val="18"/>
                      <w:szCs w:val="18"/>
                    </w:rPr>
                  </w:pPr>
                  <w:r>
                    <w:rPr>
                      <w:rFonts w:hint="eastAsia"/>
                      <w:color w:val="auto"/>
                      <w:sz w:val="18"/>
                      <w:szCs w:val="18"/>
                    </w:rPr>
                    <w:t>0.84</w:t>
                  </w:r>
                </w:p>
              </w:tc>
              <w:tc>
                <w:tcPr>
                  <w:tcW w:w="1157" w:type="dxa"/>
                  <w:noWrap w:val="0"/>
                  <w:vAlign w:val="center"/>
                </w:tcPr>
                <w:p>
                  <w:pPr>
                    <w:jc w:val="center"/>
                    <w:rPr>
                      <w:rFonts w:hint="default"/>
                      <w:color w:val="auto"/>
                      <w:sz w:val="18"/>
                      <w:szCs w:val="18"/>
                      <w:lang w:val="en-US" w:eastAsia="zh-CN"/>
                    </w:rPr>
                  </w:pPr>
                  <w:r>
                    <w:rPr>
                      <w:rFonts w:hint="eastAsia"/>
                      <w:color w:val="auto"/>
                      <w:sz w:val="18"/>
                      <w:szCs w:val="18"/>
                      <w:lang w:val="en-US" w:eastAsia="zh-CN"/>
                    </w:rPr>
                    <w:t>2</w:t>
                  </w:r>
                </w:p>
              </w:tc>
              <w:tc>
                <w:tcPr>
                  <w:tcW w:w="863" w:type="dxa"/>
                  <w:noWrap w:val="0"/>
                  <w:vAlign w:val="center"/>
                </w:tcPr>
                <w:p>
                  <w:pPr>
                    <w:jc w:val="center"/>
                    <w:rPr>
                      <w:rFonts w:hint="default" w:eastAsia="宋体"/>
                      <w:color w:val="auto"/>
                      <w:sz w:val="18"/>
                      <w:szCs w:val="18"/>
                      <w:lang w:val="en-US" w:eastAsia="zh-CN"/>
                    </w:rPr>
                  </w:pPr>
                  <w:r>
                    <w:rPr>
                      <w:rFonts w:hint="eastAsia" w:eastAsia="宋体"/>
                      <w:color w:val="auto"/>
                      <w:sz w:val="18"/>
                      <w:szCs w:val="18"/>
                      <w:lang w:val="en-US" w:eastAsia="zh-CN"/>
                    </w:rPr>
                    <w:t>0.0003</w:t>
                  </w:r>
                </w:p>
              </w:tc>
              <w:tc>
                <w:tcPr>
                  <w:tcW w:w="862" w:type="dxa"/>
                  <w:vMerge w:val="continue"/>
                  <w:noWrap w:val="0"/>
                  <w:vAlign w:val="center"/>
                </w:tcPr>
                <w:p>
                  <w:pPr>
                    <w:jc w:val="center"/>
                    <w:rPr>
                      <w:rFonts w:hint="default" w:eastAsia="宋体"/>
                      <w:color w:val="auto"/>
                      <w:sz w:val="18"/>
                      <w:szCs w:val="18"/>
                      <w:lang w:val="en-US" w:eastAsia="zh-CN"/>
                    </w:rPr>
                  </w:pPr>
                </w:p>
              </w:tc>
            </w:tr>
          </w:tbl>
          <w:p>
            <w:pPr>
              <w:adjustRightInd w:val="0"/>
              <w:snapToGrid w:val="0"/>
              <w:spacing w:line="500" w:lineRule="exact"/>
              <w:ind w:firstLine="420" w:firstLineChars="200"/>
              <w:rPr>
                <w:rFonts w:hint="eastAsia"/>
                <w:bCs/>
                <w:color w:val="auto"/>
                <w:sz w:val="21"/>
                <w:szCs w:val="21"/>
              </w:rPr>
            </w:pPr>
            <w:r>
              <w:rPr>
                <w:rFonts w:hint="eastAsia"/>
                <w:bCs/>
                <w:color w:val="auto"/>
                <w:sz w:val="21"/>
                <w:szCs w:val="21"/>
              </w:rPr>
              <w:t>卫生防护距离初值小于50m时，级差为50m。具体推算见</w:t>
            </w:r>
            <w:r>
              <w:rPr>
                <w:rFonts w:hint="eastAsia"/>
                <w:bCs/>
                <w:color w:val="auto"/>
                <w:sz w:val="21"/>
                <w:szCs w:val="21"/>
                <w:lang w:val="en-US" w:eastAsia="zh-CN"/>
              </w:rPr>
              <w:t>下表</w:t>
            </w:r>
            <w:r>
              <w:rPr>
                <w:rFonts w:hint="eastAsia"/>
                <w:bCs/>
                <w:color w:val="auto"/>
                <w:sz w:val="21"/>
                <w:szCs w:val="21"/>
              </w:rPr>
              <w:t>。</w:t>
            </w:r>
          </w:p>
          <w:p>
            <w:pPr>
              <w:autoSpaceDE w:val="0"/>
              <w:autoSpaceDN w:val="0"/>
              <w:adjustRightInd w:val="0"/>
              <w:spacing w:line="500" w:lineRule="exact"/>
              <w:jc w:val="center"/>
              <w:rPr>
                <w:rFonts w:hint="eastAsia"/>
                <w:b/>
                <w:bCs/>
                <w:color w:val="auto"/>
                <w:szCs w:val="21"/>
              </w:rPr>
            </w:pPr>
            <w:r>
              <w:rPr>
                <w:b/>
                <w:bCs/>
                <w:color w:val="auto"/>
                <w:szCs w:val="21"/>
              </w:rPr>
              <w:t>表</w:t>
            </w:r>
            <w:r>
              <w:rPr>
                <w:rFonts w:hint="eastAsia"/>
                <w:b/>
                <w:bCs/>
                <w:color w:val="auto"/>
                <w:szCs w:val="21"/>
                <w:lang w:val="en-US" w:eastAsia="zh-CN"/>
              </w:rPr>
              <w:t>4-11</w:t>
            </w:r>
            <w:r>
              <w:rPr>
                <w:b/>
                <w:bCs/>
                <w:color w:val="auto"/>
                <w:szCs w:val="21"/>
              </w:rPr>
              <w:t xml:space="preserve"> </w:t>
            </w:r>
            <w:r>
              <w:rPr>
                <w:rFonts w:hint="eastAsia"/>
                <w:b/>
                <w:bCs/>
                <w:color w:val="auto"/>
                <w:szCs w:val="21"/>
              </w:rPr>
              <w:t>卫生防护距离终值极差范围</w:t>
            </w:r>
          </w:p>
          <w:tbl>
            <w:tblPr>
              <w:tblStyle w:val="21"/>
              <w:tblW w:w="872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64"/>
              <w:gridCol w:w="436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364" w:type="dxa"/>
                  <w:noWrap w:val="0"/>
                  <w:vAlign w:val="center"/>
                </w:tcPr>
                <w:p>
                  <w:pPr>
                    <w:jc w:val="center"/>
                    <w:rPr>
                      <w:b/>
                      <w:bCs/>
                      <w:color w:val="auto"/>
                      <w:sz w:val="18"/>
                      <w:szCs w:val="18"/>
                    </w:rPr>
                  </w:pPr>
                  <w:r>
                    <w:rPr>
                      <w:rFonts w:hint="eastAsia"/>
                      <w:b/>
                      <w:bCs/>
                      <w:color w:val="auto"/>
                      <w:sz w:val="18"/>
                      <w:szCs w:val="18"/>
                    </w:rPr>
                    <w:t>卫生防护距离计算初值 L/m</w:t>
                  </w:r>
                </w:p>
              </w:tc>
              <w:tc>
                <w:tcPr>
                  <w:tcW w:w="4365" w:type="dxa"/>
                  <w:noWrap w:val="0"/>
                  <w:vAlign w:val="center"/>
                </w:tcPr>
                <w:p>
                  <w:pPr>
                    <w:jc w:val="center"/>
                    <w:rPr>
                      <w:b/>
                      <w:bCs/>
                      <w:color w:val="auto"/>
                      <w:sz w:val="18"/>
                      <w:szCs w:val="18"/>
                    </w:rPr>
                  </w:pPr>
                  <w:r>
                    <w:rPr>
                      <w:rFonts w:hint="eastAsia"/>
                      <w:b/>
                      <w:bCs/>
                      <w:color w:val="auto"/>
                      <w:sz w:val="18"/>
                      <w:szCs w:val="18"/>
                    </w:rPr>
                    <w:t>极差/m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364" w:type="dxa"/>
                  <w:noWrap w:val="0"/>
                  <w:vAlign w:val="center"/>
                </w:tcPr>
                <w:p>
                  <w:pPr>
                    <w:jc w:val="center"/>
                    <w:rPr>
                      <w:color w:val="auto"/>
                      <w:sz w:val="18"/>
                      <w:szCs w:val="18"/>
                    </w:rPr>
                  </w:pPr>
                  <w:r>
                    <w:rPr>
                      <w:rFonts w:hint="eastAsia"/>
                      <w:color w:val="auto"/>
                      <w:sz w:val="18"/>
                      <w:szCs w:val="18"/>
                    </w:rPr>
                    <w:t>0≤L&lt;50</w:t>
                  </w:r>
                </w:p>
              </w:tc>
              <w:tc>
                <w:tcPr>
                  <w:tcW w:w="4365" w:type="dxa"/>
                  <w:noWrap w:val="0"/>
                  <w:vAlign w:val="center"/>
                </w:tcPr>
                <w:p>
                  <w:pPr>
                    <w:jc w:val="center"/>
                    <w:rPr>
                      <w:color w:val="auto"/>
                      <w:sz w:val="18"/>
                      <w:szCs w:val="18"/>
                    </w:rPr>
                  </w:pPr>
                  <w:r>
                    <w:rPr>
                      <w:rFonts w:hint="eastAsia"/>
                      <w:color w:val="auto"/>
                      <w:sz w:val="18"/>
                      <w:szCs w:val="18"/>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364" w:type="dxa"/>
                  <w:noWrap w:val="0"/>
                  <w:vAlign w:val="center"/>
                </w:tcPr>
                <w:p>
                  <w:pPr>
                    <w:jc w:val="center"/>
                    <w:rPr>
                      <w:color w:val="auto"/>
                      <w:sz w:val="18"/>
                      <w:szCs w:val="18"/>
                    </w:rPr>
                  </w:pPr>
                  <w:r>
                    <w:rPr>
                      <w:rFonts w:hint="eastAsia"/>
                      <w:color w:val="auto"/>
                      <w:sz w:val="18"/>
                      <w:szCs w:val="18"/>
                    </w:rPr>
                    <w:t>50≤L&lt;100</w:t>
                  </w:r>
                </w:p>
              </w:tc>
              <w:tc>
                <w:tcPr>
                  <w:tcW w:w="4365" w:type="dxa"/>
                  <w:noWrap w:val="0"/>
                  <w:vAlign w:val="center"/>
                </w:tcPr>
                <w:p>
                  <w:pPr>
                    <w:jc w:val="center"/>
                    <w:rPr>
                      <w:color w:val="auto"/>
                      <w:sz w:val="18"/>
                      <w:szCs w:val="18"/>
                    </w:rPr>
                  </w:pPr>
                  <w:r>
                    <w:rPr>
                      <w:rFonts w:hint="eastAsia"/>
                      <w:color w:val="auto"/>
                      <w:sz w:val="18"/>
                      <w:szCs w:val="18"/>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364" w:type="dxa"/>
                  <w:noWrap w:val="0"/>
                  <w:vAlign w:val="center"/>
                </w:tcPr>
                <w:p>
                  <w:pPr>
                    <w:jc w:val="center"/>
                    <w:rPr>
                      <w:color w:val="auto"/>
                      <w:sz w:val="18"/>
                      <w:szCs w:val="18"/>
                    </w:rPr>
                  </w:pPr>
                  <w:r>
                    <w:rPr>
                      <w:rFonts w:hint="eastAsia"/>
                      <w:color w:val="auto"/>
                      <w:sz w:val="18"/>
                      <w:szCs w:val="18"/>
                    </w:rPr>
                    <w:t>100≤L&lt;1000</w:t>
                  </w:r>
                </w:p>
              </w:tc>
              <w:tc>
                <w:tcPr>
                  <w:tcW w:w="4365" w:type="dxa"/>
                  <w:noWrap w:val="0"/>
                  <w:vAlign w:val="center"/>
                </w:tcPr>
                <w:p>
                  <w:pPr>
                    <w:jc w:val="center"/>
                    <w:rPr>
                      <w:color w:val="auto"/>
                      <w:sz w:val="18"/>
                      <w:szCs w:val="18"/>
                    </w:rPr>
                  </w:pPr>
                  <w:r>
                    <w:rPr>
                      <w:rFonts w:hint="eastAsia"/>
                      <w:color w:val="auto"/>
                      <w:sz w:val="18"/>
                      <w:szCs w:val="18"/>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364" w:type="dxa"/>
                  <w:noWrap w:val="0"/>
                  <w:vAlign w:val="center"/>
                </w:tcPr>
                <w:p>
                  <w:pPr>
                    <w:jc w:val="center"/>
                    <w:rPr>
                      <w:color w:val="auto"/>
                      <w:sz w:val="18"/>
                      <w:szCs w:val="18"/>
                    </w:rPr>
                  </w:pPr>
                  <w:r>
                    <w:rPr>
                      <w:rFonts w:hint="eastAsia"/>
                      <w:color w:val="auto"/>
                      <w:sz w:val="18"/>
                      <w:szCs w:val="18"/>
                    </w:rPr>
                    <w:t>L＞1000</w:t>
                  </w:r>
                </w:p>
              </w:tc>
              <w:tc>
                <w:tcPr>
                  <w:tcW w:w="4365" w:type="dxa"/>
                  <w:noWrap w:val="0"/>
                  <w:vAlign w:val="center"/>
                </w:tcPr>
                <w:p>
                  <w:pPr>
                    <w:jc w:val="center"/>
                    <w:rPr>
                      <w:color w:val="auto"/>
                      <w:sz w:val="18"/>
                      <w:szCs w:val="18"/>
                    </w:rPr>
                  </w:pPr>
                  <w:r>
                    <w:rPr>
                      <w:rFonts w:hint="eastAsia"/>
                      <w:color w:val="auto"/>
                      <w:sz w:val="18"/>
                      <w:szCs w:val="18"/>
                    </w:rPr>
                    <w:t>200</w:t>
                  </w:r>
                </w:p>
              </w:tc>
            </w:tr>
          </w:tbl>
          <w:p>
            <w:pPr>
              <w:widowControl w:val="0"/>
              <w:adjustRightInd w:val="0"/>
              <w:snapToGrid w:val="0"/>
              <w:spacing w:line="500" w:lineRule="exact"/>
              <w:ind w:firstLine="420" w:firstLineChars="200"/>
              <w:rPr>
                <w:rFonts w:hint="eastAsia" w:eastAsia="宋体"/>
                <w:bCs/>
                <w:color w:val="auto"/>
                <w:sz w:val="21"/>
                <w:szCs w:val="21"/>
                <w:lang w:val="en-US" w:eastAsia="zh-CN"/>
              </w:rPr>
            </w:pPr>
            <w:r>
              <w:rPr>
                <w:rFonts w:hint="eastAsia"/>
                <w:bCs/>
                <w:color w:val="auto"/>
                <w:sz w:val="21"/>
                <w:szCs w:val="21"/>
              </w:rPr>
              <w:t>因此，项目卫生防护距离推荐值：以</w:t>
            </w:r>
            <w:r>
              <w:rPr>
                <w:rFonts w:hint="eastAsia"/>
                <w:bCs/>
                <w:color w:val="auto"/>
                <w:sz w:val="21"/>
                <w:szCs w:val="21"/>
                <w:lang w:eastAsia="zh-CN"/>
              </w:rPr>
              <w:t>机加工</w:t>
            </w:r>
            <w:r>
              <w:rPr>
                <w:rFonts w:hint="eastAsia"/>
                <w:bCs/>
                <w:color w:val="auto"/>
                <w:sz w:val="21"/>
                <w:szCs w:val="21"/>
                <w:lang w:val="en-US" w:eastAsia="zh-CN"/>
              </w:rPr>
              <w:t>车间</w:t>
            </w:r>
            <w:r>
              <w:rPr>
                <w:rFonts w:hint="eastAsia"/>
                <w:bCs/>
                <w:color w:val="auto"/>
                <w:sz w:val="21"/>
                <w:szCs w:val="21"/>
              </w:rPr>
              <w:t>向外设置</w:t>
            </w:r>
            <w:r>
              <w:rPr>
                <w:rFonts w:hint="eastAsia"/>
                <w:bCs/>
                <w:color w:val="auto"/>
                <w:sz w:val="21"/>
                <w:szCs w:val="21"/>
                <w:lang w:val="en-US" w:eastAsia="zh-CN"/>
              </w:rPr>
              <w:t>10</w:t>
            </w:r>
            <w:r>
              <w:rPr>
                <w:rFonts w:hint="eastAsia"/>
                <w:bCs/>
                <w:color w:val="auto"/>
                <w:sz w:val="21"/>
                <w:szCs w:val="21"/>
              </w:rPr>
              <w:t>0m的卫生防护距离</w:t>
            </w:r>
            <w:r>
              <w:rPr>
                <w:rFonts w:hint="eastAsia"/>
                <w:bCs/>
                <w:color w:val="auto"/>
                <w:sz w:val="21"/>
                <w:szCs w:val="21"/>
                <w:lang w:eastAsia="zh-CN"/>
              </w:rPr>
              <w:t>。</w:t>
            </w:r>
          </w:p>
          <w:p>
            <w:pPr>
              <w:widowControl w:val="0"/>
              <w:adjustRightInd w:val="0"/>
              <w:snapToGrid w:val="0"/>
              <w:spacing w:line="500" w:lineRule="exact"/>
              <w:ind w:firstLine="420" w:firstLineChars="200"/>
              <w:rPr>
                <w:rFonts w:hint="eastAsia"/>
                <w:b/>
                <w:bCs/>
                <w:color w:val="auto"/>
                <w:lang w:val="en-US" w:eastAsia="zh-CN"/>
              </w:rPr>
            </w:pPr>
            <w:r>
              <w:rPr>
                <w:rFonts w:hint="eastAsia" w:ascii="Times New Roman" w:hAnsi="Times New Roman" w:eastAsia="宋体" w:cs="Times New Roman"/>
                <w:bCs/>
                <w:color w:val="auto"/>
                <w:sz w:val="21"/>
                <w:szCs w:val="21"/>
              </w:rPr>
              <w:t>由于噪声卫生防护距离（200m）大于大气卫生防护距离（100m），故最终确定以200m作为项目卫生防护距离控制标准。根据现场踏勘，项目卫生防护距离内</w:t>
            </w:r>
            <w:r>
              <w:rPr>
                <w:rFonts w:hint="eastAsia" w:ascii="Times New Roman" w:hAnsi="Times New Roman" w:eastAsia="宋体" w:cs="Times New Roman"/>
                <w:bCs/>
                <w:color w:val="auto"/>
                <w:sz w:val="21"/>
                <w:szCs w:val="21"/>
                <w:lang w:val="en-US" w:eastAsia="zh-CN"/>
              </w:rPr>
              <w:t>无大气环境敏感目标，</w:t>
            </w:r>
            <w:r>
              <w:rPr>
                <w:rFonts w:hint="eastAsia" w:ascii="Times New Roman" w:hAnsi="Times New Roman" w:eastAsia="宋体" w:cs="Times New Roman"/>
                <w:bCs/>
                <w:color w:val="auto"/>
                <w:sz w:val="21"/>
                <w:szCs w:val="21"/>
              </w:rPr>
              <w:t>且在今后引进项目时，卫生防护距离内不适宜建设居住点、学校、医院等对外环境敏感的项目。</w:t>
            </w:r>
          </w:p>
          <w:p>
            <w:pPr>
              <w:spacing w:line="500" w:lineRule="exact"/>
              <w:ind w:firstLine="422" w:firstLineChars="200"/>
              <w:rPr>
                <w:b/>
                <w:bCs/>
                <w:color w:val="auto"/>
              </w:rPr>
            </w:pPr>
            <w:r>
              <w:rPr>
                <w:rFonts w:hint="eastAsia"/>
                <w:b/>
                <w:bCs/>
                <w:color w:val="auto"/>
                <w:lang w:val="en-US" w:eastAsia="zh-CN"/>
              </w:rPr>
              <w:t>5</w:t>
            </w:r>
            <w:r>
              <w:rPr>
                <w:b/>
                <w:bCs/>
                <w:color w:val="auto"/>
              </w:rPr>
              <w:t>、大气污染源监测计划</w:t>
            </w:r>
          </w:p>
          <w:p>
            <w:pPr>
              <w:pStyle w:val="9"/>
              <w:spacing w:line="360" w:lineRule="auto"/>
              <w:ind w:firstLine="411" w:firstLineChars="196"/>
              <w:rPr>
                <w:rFonts w:ascii="Times New Roman" w:hAnsi="Times New Roman"/>
                <w:color w:val="auto"/>
                <w:szCs w:val="21"/>
              </w:rPr>
            </w:pPr>
            <w:r>
              <w:rPr>
                <w:rFonts w:hint="eastAsia" w:ascii="Times New Roman" w:hAnsi="Times New Roman"/>
                <w:color w:val="auto"/>
                <w:szCs w:val="21"/>
              </w:rPr>
              <w:t>本项目废气自行监测要求应根据</w:t>
            </w:r>
            <w:r>
              <w:rPr>
                <w:rFonts w:hint="eastAsia"/>
                <w:color w:val="auto"/>
                <w:vertAlign w:val="baseline"/>
                <w:lang w:eastAsia="zh-CN"/>
              </w:rPr>
              <w:t>《排污许可证申请与核发技术规范 工业炉窑》</w:t>
            </w:r>
            <w:r>
              <w:rPr>
                <w:rFonts w:hint="eastAsia" w:ascii="Times New Roman" w:hAnsi="Times New Roman" w:eastAsia="宋体" w:cs="Times New Roman"/>
                <w:color w:val="auto"/>
                <w:szCs w:val="21"/>
                <w:lang w:eastAsia="zh-CN"/>
              </w:rPr>
              <w:t>（HJ1121-2020）</w:t>
            </w:r>
            <w:r>
              <w:rPr>
                <w:rFonts w:hint="eastAsia" w:ascii="Times New Roman" w:hAnsi="Times New Roman"/>
                <w:color w:val="auto"/>
                <w:szCs w:val="21"/>
              </w:rPr>
              <w:t>、</w:t>
            </w:r>
            <w:r>
              <w:rPr>
                <w:rFonts w:ascii="Times New Roman" w:hAnsi="Times New Roman"/>
                <w:color w:val="auto"/>
                <w:szCs w:val="21"/>
              </w:rPr>
              <w:t>《</w:t>
            </w:r>
            <w:r>
              <w:rPr>
                <w:rFonts w:hint="eastAsia" w:ascii="Times New Roman" w:hAnsi="Times New Roman"/>
                <w:color w:val="auto"/>
                <w:szCs w:val="21"/>
              </w:rPr>
              <w:t>排污单位</w:t>
            </w:r>
            <w:r>
              <w:rPr>
                <w:rFonts w:ascii="Times New Roman" w:hAnsi="Times New Roman"/>
                <w:color w:val="auto"/>
                <w:szCs w:val="21"/>
              </w:rPr>
              <w:t>自行监测技术指南</w:t>
            </w:r>
            <w:r>
              <w:rPr>
                <w:rFonts w:hint="eastAsia" w:ascii="Times New Roman" w:hAnsi="Times New Roman"/>
                <w:color w:val="auto"/>
                <w:szCs w:val="21"/>
                <w:lang w:val="en-US" w:eastAsia="zh-CN"/>
              </w:rPr>
              <w:t xml:space="preserve"> 总则</w:t>
            </w:r>
            <w:r>
              <w:rPr>
                <w:rFonts w:ascii="Times New Roman" w:hAnsi="Times New Roman"/>
                <w:color w:val="auto"/>
                <w:szCs w:val="21"/>
              </w:rPr>
              <w:t>》</w:t>
            </w:r>
            <w:r>
              <w:rPr>
                <w:rFonts w:hint="eastAsia" w:ascii="Times New Roman" w:hAnsi="Times New Roman"/>
                <w:color w:val="auto"/>
                <w:szCs w:val="21"/>
              </w:rPr>
              <w:t>（HJ819-2017）等要求制定。具体</w:t>
            </w:r>
            <w:r>
              <w:rPr>
                <w:rFonts w:ascii="Times New Roman" w:hAnsi="Times New Roman"/>
                <w:color w:val="auto"/>
                <w:szCs w:val="21"/>
              </w:rPr>
              <w:t>见表</w:t>
            </w:r>
            <w:r>
              <w:rPr>
                <w:rFonts w:hint="eastAsia" w:ascii="Times New Roman" w:hAnsi="Times New Roman"/>
                <w:color w:val="auto"/>
                <w:szCs w:val="21"/>
              </w:rPr>
              <w:t>4-</w:t>
            </w:r>
            <w:r>
              <w:rPr>
                <w:rFonts w:hint="eastAsia" w:ascii="Times New Roman" w:hAnsi="Times New Roman"/>
                <w:color w:val="auto"/>
                <w:szCs w:val="21"/>
                <w:lang w:val="en-US" w:eastAsia="zh-CN"/>
              </w:rPr>
              <w:t>12</w:t>
            </w:r>
            <w:r>
              <w:rPr>
                <w:rFonts w:ascii="Times New Roman" w:hAnsi="Times New Roman"/>
                <w:color w:val="auto"/>
                <w:szCs w:val="21"/>
              </w:rPr>
              <w:t>。</w:t>
            </w:r>
          </w:p>
          <w:p>
            <w:pPr>
              <w:spacing w:line="360" w:lineRule="auto"/>
              <w:jc w:val="center"/>
              <w:rPr>
                <w:b/>
                <w:bCs/>
                <w:color w:val="auto"/>
              </w:rPr>
            </w:pPr>
            <w:r>
              <w:rPr>
                <w:b/>
                <w:bCs/>
                <w:color w:val="auto"/>
              </w:rPr>
              <w:t>表 4-</w:t>
            </w:r>
            <w:r>
              <w:rPr>
                <w:rFonts w:hint="eastAsia"/>
                <w:b/>
                <w:bCs/>
                <w:color w:val="auto"/>
                <w:lang w:val="en-US" w:eastAsia="zh-CN"/>
              </w:rPr>
              <w:t>12</w:t>
            </w:r>
            <w:r>
              <w:rPr>
                <w:b/>
                <w:bCs/>
                <w:color w:val="auto"/>
              </w:rPr>
              <w:t xml:space="preserve"> 大气污染源监测计划</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6"/>
              <w:gridCol w:w="2728"/>
              <w:gridCol w:w="2677"/>
              <w:gridCol w:w="16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76" w:type="dxa"/>
                  <w:noWrap w:val="0"/>
                  <w:vAlign w:val="center"/>
                </w:tcPr>
                <w:p>
                  <w:pPr>
                    <w:pStyle w:val="46"/>
                    <w:rPr>
                      <w:b/>
                      <w:bCs/>
                      <w:color w:val="auto"/>
                      <w:kern w:val="2"/>
                      <w:sz w:val="18"/>
                      <w:szCs w:val="18"/>
                    </w:rPr>
                  </w:pPr>
                  <w:r>
                    <w:rPr>
                      <w:rFonts w:hint="eastAsia"/>
                      <w:b/>
                      <w:bCs/>
                      <w:color w:val="auto"/>
                      <w:kern w:val="2"/>
                      <w:sz w:val="18"/>
                      <w:szCs w:val="18"/>
                    </w:rPr>
                    <w:t>监测类型</w:t>
                  </w:r>
                </w:p>
              </w:tc>
              <w:tc>
                <w:tcPr>
                  <w:tcW w:w="2728" w:type="dxa"/>
                  <w:noWrap w:val="0"/>
                  <w:vAlign w:val="center"/>
                </w:tcPr>
                <w:p>
                  <w:pPr>
                    <w:pStyle w:val="46"/>
                    <w:rPr>
                      <w:b/>
                      <w:bCs/>
                      <w:color w:val="auto"/>
                      <w:kern w:val="2"/>
                      <w:sz w:val="18"/>
                      <w:szCs w:val="18"/>
                    </w:rPr>
                  </w:pPr>
                  <w:r>
                    <w:rPr>
                      <w:b/>
                      <w:bCs/>
                      <w:color w:val="auto"/>
                      <w:kern w:val="2"/>
                      <w:sz w:val="18"/>
                      <w:szCs w:val="18"/>
                    </w:rPr>
                    <w:t>监测点位</w:t>
                  </w:r>
                </w:p>
              </w:tc>
              <w:tc>
                <w:tcPr>
                  <w:tcW w:w="2677" w:type="dxa"/>
                  <w:noWrap w:val="0"/>
                  <w:vAlign w:val="center"/>
                </w:tcPr>
                <w:p>
                  <w:pPr>
                    <w:pStyle w:val="46"/>
                    <w:rPr>
                      <w:b/>
                      <w:bCs/>
                      <w:color w:val="auto"/>
                      <w:kern w:val="2"/>
                      <w:sz w:val="18"/>
                      <w:szCs w:val="18"/>
                    </w:rPr>
                  </w:pPr>
                  <w:r>
                    <w:rPr>
                      <w:b/>
                      <w:bCs/>
                      <w:color w:val="auto"/>
                      <w:kern w:val="2"/>
                      <w:sz w:val="18"/>
                      <w:szCs w:val="18"/>
                    </w:rPr>
                    <w:t>监测</w:t>
                  </w:r>
                  <w:r>
                    <w:rPr>
                      <w:rFonts w:hint="eastAsia"/>
                      <w:b/>
                      <w:bCs/>
                      <w:color w:val="auto"/>
                      <w:kern w:val="2"/>
                      <w:sz w:val="18"/>
                      <w:szCs w:val="18"/>
                    </w:rPr>
                    <w:t>因子</w:t>
                  </w:r>
                </w:p>
              </w:tc>
              <w:tc>
                <w:tcPr>
                  <w:tcW w:w="1685" w:type="dxa"/>
                  <w:noWrap w:val="0"/>
                  <w:vAlign w:val="center"/>
                </w:tcPr>
                <w:p>
                  <w:pPr>
                    <w:pStyle w:val="46"/>
                    <w:rPr>
                      <w:b/>
                      <w:bCs/>
                      <w:color w:val="auto"/>
                      <w:kern w:val="2"/>
                      <w:sz w:val="18"/>
                      <w:szCs w:val="18"/>
                    </w:rPr>
                  </w:pPr>
                  <w:r>
                    <w:rPr>
                      <w:b/>
                      <w:bCs/>
                      <w:color w:val="auto"/>
                      <w:kern w:val="2"/>
                      <w:sz w:val="18"/>
                      <w:szCs w:val="18"/>
                    </w:rPr>
                    <w:t>监测频</w:t>
                  </w:r>
                  <w:r>
                    <w:rPr>
                      <w:rFonts w:hint="eastAsia"/>
                      <w:b/>
                      <w:bCs/>
                      <w:color w:val="auto"/>
                      <w:kern w:val="2"/>
                      <w:sz w:val="18"/>
                      <w:szCs w:val="18"/>
                    </w:rPr>
                    <w:t>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76" w:type="dxa"/>
                  <w:vMerge w:val="restart"/>
                  <w:noWrap w:val="0"/>
                  <w:vAlign w:val="center"/>
                </w:tcPr>
                <w:p>
                  <w:pPr>
                    <w:pStyle w:val="46"/>
                    <w:rPr>
                      <w:rFonts w:hint="eastAsia"/>
                      <w:color w:val="auto"/>
                      <w:kern w:val="2"/>
                      <w:sz w:val="18"/>
                      <w:szCs w:val="18"/>
                    </w:rPr>
                  </w:pPr>
                  <w:r>
                    <w:rPr>
                      <w:color w:val="auto"/>
                      <w:kern w:val="2"/>
                      <w:sz w:val="18"/>
                      <w:szCs w:val="18"/>
                    </w:rPr>
                    <w:t>有组织</w:t>
                  </w:r>
                </w:p>
              </w:tc>
              <w:tc>
                <w:tcPr>
                  <w:tcW w:w="2728" w:type="dxa"/>
                  <w:noWrap w:val="0"/>
                  <w:vAlign w:val="center"/>
                </w:tcPr>
                <w:p>
                  <w:pPr>
                    <w:pStyle w:val="46"/>
                    <w:rPr>
                      <w:rFonts w:hint="eastAsia"/>
                      <w:color w:val="auto"/>
                      <w:kern w:val="2"/>
                      <w:sz w:val="18"/>
                      <w:szCs w:val="18"/>
                    </w:rPr>
                  </w:pPr>
                  <w:r>
                    <w:rPr>
                      <w:rFonts w:hint="eastAsia"/>
                      <w:color w:val="auto"/>
                      <w:sz w:val="18"/>
                      <w:szCs w:val="18"/>
                      <w:lang w:bidi="ar"/>
                    </w:rPr>
                    <w:t>DA00</w:t>
                  </w:r>
                  <w:r>
                    <w:rPr>
                      <w:color w:val="auto"/>
                      <w:sz w:val="18"/>
                      <w:szCs w:val="18"/>
                      <w:lang w:bidi="ar"/>
                    </w:rPr>
                    <w:t>1排气筒</w:t>
                  </w:r>
                </w:p>
              </w:tc>
              <w:tc>
                <w:tcPr>
                  <w:tcW w:w="2677" w:type="dxa"/>
                  <w:noWrap w:val="0"/>
                  <w:vAlign w:val="center"/>
                </w:tcPr>
                <w:p>
                  <w:pPr>
                    <w:jc w:val="center"/>
                    <w:rPr>
                      <w:rFonts w:hint="eastAsia" w:eastAsia="宋体"/>
                      <w:color w:val="auto"/>
                      <w:sz w:val="18"/>
                      <w:szCs w:val="18"/>
                      <w:lang w:eastAsia="zh-CN"/>
                    </w:rPr>
                  </w:pPr>
                  <w:r>
                    <w:rPr>
                      <w:color w:val="auto"/>
                      <w:sz w:val="18"/>
                      <w:szCs w:val="18"/>
                    </w:rPr>
                    <w:t>SO</w:t>
                  </w:r>
                  <w:r>
                    <w:rPr>
                      <w:color w:val="auto"/>
                      <w:sz w:val="18"/>
                      <w:szCs w:val="18"/>
                      <w:vertAlign w:val="subscript"/>
                    </w:rPr>
                    <w:t>2</w:t>
                  </w:r>
                  <w:r>
                    <w:rPr>
                      <w:color w:val="auto"/>
                      <w:sz w:val="18"/>
                      <w:szCs w:val="18"/>
                    </w:rPr>
                    <w:t>、NO</w:t>
                  </w:r>
                  <w:r>
                    <w:rPr>
                      <w:color w:val="auto"/>
                      <w:sz w:val="18"/>
                      <w:szCs w:val="18"/>
                      <w:vertAlign w:val="subscript"/>
                    </w:rPr>
                    <w:t>x</w:t>
                  </w:r>
                  <w:r>
                    <w:rPr>
                      <w:color w:val="auto"/>
                      <w:sz w:val="18"/>
                      <w:szCs w:val="18"/>
                    </w:rPr>
                    <w:t>、颗粒物</w:t>
                  </w:r>
                  <w:r>
                    <w:rPr>
                      <w:rFonts w:hint="eastAsia"/>
                      <w:color w:val="auto"/>
                      <w:sz w:val="18"/>
                      <w:szCs w:val="18"/>
                      <w:lang w:eastAsia="zh-CN"/>
                    </w:rPr>
                    <w:t>、</w:t>
                  </w:r>
                  <w:r>
                    <w:rPr>
                      <w:rFonts w:hint="eastAsia" w:ascii="宋体" w:hAnsi="宋体" w:eastAsia="宋体" w:cs="宋体"/>
                      <w:b w:val="0"/>
                      <w:bCs w:val="0"/>
                      <w:color w:val="auto"/>
                      <w:sz w:val="18"/>
                      <w:szCs w:val="18"/>
                    </w:rPr>
                    <w:t>烟气黑度</w:t>
                  </w:r>
                </w:p>
              </w:tc>
              <w:tc>
                <w:tcPr>
                  <w:tcW w:w="1685" w:type="dxa"/>
                  <w:noWrap w:val="0"/>
                  <w:vAlign w:val="center"/>
                </w:tcPr>
                <w:p>
                  <w:pPr>
                    <w:jc w:val="center"/>
                    <w:rPr>
                      <w:rFonts w:hint="eastAsia"/>
                      <w:color w:val="auto"/>
                      <w:kern w:val="2"/>
                      <w:sz w:val="18"/>
                      <w:szCs w:val="18"/>
                    </w:rPr>
                  </w:pPr>
                  <w:r>
                    <w:rPr>
                      <w:color w:val="auto"/>
                      <w:kern w:val="2"/>
                      <w:sz w:val="18"/>
                      <w:szCs w:val="18"/>
                    </w:rPr>
                    <w:t>1次/</w:t>
                  </w:r>
                  <w:r>
                    <w:rPr>
                      <w:rFonts w:hint="eastAsia"/>
                      <w:color w:val="auto"/>
                      <w:kern w:val="2"/>
                      <w:sz w:val="18"/>
                      <w:szCs w:val="18"/>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76" w:type="dxa"/>
                  <w:vMerge w:val="continue"/>
                  <w:noWrap w:val="0"/>
                  <w:vAlign w:val="center"/>
                </w:tcPr>
                <w:p>
                  <w:pPr>
                    <w:pStyle w:val="46"/>
                    <w:rPr>
                      <w:color w:val="auto"/>
                      <w:kern w:val="2"/>
                      <w:sz w:val="18"/>
                      <w:szCs w:val="18"/>
                    </w:rPr>
                  </w:pPr>
                </w:p>
              </w:tc>
              <w:tc>
                <w:tcPr>
                  <w:tcW w:w="2728" w:type="dxa"/>
                  <w:shd w:val="clear" w:color="auto" w:fill="auto"/>
                  <w:noWrap w:val="0"/>
                  <w:vAlign w:val="center"/>
                </w:tcPr>
                <w:p>
                  <w:pPr>
                    <w:pStyle w:val="46"/>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bidi="ar"/>
                    </w:rPr>
                    <w:t>DA00</w:t>
                  </w:r>
                  <w:r>
                    <w:rPr>
                      <w:rFonts w:hint="eastAsia"/>
                      <w:color w:val="auto"/>
                      <w:sz w:val="18"/>
                      <w:szCs w:val="18"/>
                      <w:lang w:val="en-US" w:eastAsia="zh-CN" w:bidi="ar"/>
                    </w:rPr>
                    <w:t>7</w:t>
                  </w:r>
                  <w:r>
                    <w:rPr>
                      <w:color w:val="auto"/>
                      <w:sz w:val="18"/>
                      <w:szCs w:val="18"/>
                      <w:lang w:bidi="ar"/>
                    </w:rPr>
                    <w:t>排气筒</w:t>
                  </w:r>
                </w:p>
              </w:tc>
              <w:tc>
                <w:tcPr>
                  <w:tcW w:w="2677" w:type="dxa"/>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color w:val="auto"/>
                      <w:sz w:val="18"/>
                      <w:szCs w:val="18"/>
                    </w:rPr>
                    <w:t>SO</w:t>
                  </w:r>
                  <w:r>
                    <w:rPr>
                      <w:color w:val="auto"/>
                      <w:sz w:val="18"/>
                      <w:szCs w:val="18"/>
                      <w:vertAlign w:val="subscript"/>
                    </w:rPr>
                    <w:t>2</w:t>
                  </w:r>
                  <w:r>
                    <w:rPr>
                      <w:color w:val="auto"/>
                      <w:sz w:val="18"/>
                      <w:szCs w:val="18"/>
                    </w:rPr>
                    <w:t>、NO</w:t>
                  </w:r>
                  <w:r>
                    <w:rPr>
                      <w:color w:val="auto"/>
                      <w:sz w:val="18"/>
                      <w:szCs w:val="18"/>
                      <w:vertAlign w:val="subscript"/>
                    </w:rPr>
                    <w:t>x</w:t>
                  </w:r>
                  <w:r>
                    <w:rPr>
                      <w:color w:val="auto"/>
                      <w:sz w:val="18"/>
                      <w:szCs w:val="18"/>
                    </w:rPr>
                    <w:t>、颗粒物</w:t>
                  </w:r>
                  <w:r>
                    <w:rPr>
                      <w:rFonts w:hint="eastAsia"/>
                      <w:color w:val="auto"/>
                      <w:sz w:val="18"/>
                      <w:szCs w:val="18"/>
                      <w:lang w:eastAsia="zh-CN"/>
                    </w:rPr>
                    <w:t>、</w:t>
                  </w:r>
                  <w:r>
                    <w:rPr>
                      <w:rFonts w:hint="eastAsia" w:ascii="宋体" w:hAnsi="宋体" w:eastAsia="宋体" w:cs="宋体"/>
                      <w:b w:val="0"/>
                      <w:bCs w:val="0"/>
                      <w:color w:val="auto"/>
                      <w:sz w:val="18"/>
                      <w:szCs w:val="18"/>
                    </w:rPr>
                    <w:t>烟气黑度</w:t>
                  </w:r>
                </w:p>
              </w:tc>
              <w:tc>
                <w:tcPr>
                  <w:tcW w:w="1685" w:type="dxa"/>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color w:val="auto"/>
                      <w:kern w:val="2"/>
                      <w:sz w:val="18"/>
                      <w:szCs w:val="18"/>
                    </w:rPr>
                    <w:t>1次/</w:t>
                  </w:r>
                  <w:r>
                    <w:rPr>
                      <w:rFonts w:hint="eastAsia"/>
                      <w:color w:val="auto"/>
                      <w:kern w:val="2"/>
                      <w:sz w:val="18"/>
                      <w:szCs w:val="18"/>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76" w:type="dxa"/>
                  <w:vMerge w:val="continue"/>
                  <w:noWrap w:val="0"/>
                  <w:vAlign w:val="center"/>
                </w:tcPr>
                <w:p>
                  <w:pPr>
                    <w:pStyle w:val="46"/>
                    <w:rPr>
                      <w:color w:val="auto"/>
                      <w:kern w:val="2"/>
                      <w:sz w:val="18"/>
                      <w:szCs w:val="18"/>
                    </w:rPr>
                  </w:pPr>
                </w:p>
              </w:tc>
              <w:tc>
                <w:tcPr>
                  <w:tcW w:w="2728" w:type="dxa"/>
                  <w:shd w:val="clear" w:color="auto" w:fill="auto"/>
                  <w:noWrap w:val="0"/>
                  <w:vAlign w:val="center"/>
                </w:tcPr>
                <w:p>
                  <w:pPr>
                    <w:pStyle w:val="46"/>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bidi="ar"/>
                    </w:rPr>
                    <w:t>DA00</w:t>
                  </w:r>
                  <w:r>
                    <w:rPr>
                      <w:rFonts w:hint="eastAsia"/>
                      <w:color w:val="auto"/>
                      <w:sz w:val="18"/>
                      <w:szCs w:val="18"/>
                      <w:lang w:val="en-US" w:eastAsia="zh-CN" w:bidi="ar"/>
                    </w:rPr>
                    <w:t>3</w:t>
                  </w:r>
                  <w:r>
                    <w:rPr>
                      <w:color w:val="auto"/>
                      <w:sz w:val="18"/>
                      <w:szCs w:val="18"/>
                      <w:lang w:bidi="ar"/>
                    </w:rPr>
                    <w:t>排气筒</w:t>
                  </w:r>
                </w:p>
              </w:tc>
              <w:tc>
                <w:tcPr>
                  <w:tcW w:w="2677" w:type="dxa"/>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color w:val="auto"/>
                      <w:sz w:val="18"/>
                      <w:szCs w:val="18"/>
                    </w:rPr>
                    <w:t>SO</w:t>
                  </w:r>
                  <w:r>
                    <w:rPr>
                      <w:color w:val="auto"/>
                      <w:sz w:val="18"/>
                      <w:szCs w:val="18"/>
                      <w:vertAlign w:val="subscript"/>
                    </w:rPr>
                    <w:t>2</w:t>
                  </w:r>
                  <w:r>
                    <w:rPr>
                      <w:color w:val="auto"/>
                      <w:sz w:val="18"/>
                      <w:szCs w:val="18"/>
                    </w:rPr>
                    <w:t>、NO</w:t>
                  </w:r>
                  <w:r>
                    <w:rPr>
                      <w:color w:val="auto"/>
                      <w:sz w:val="18"/>
                      <w:szCs w:val="18"/>
                      <w:vertAlign w:val="subscript"/>
                    </w:rPr>
                    <w:t>x</w:t>
                  </w:r>
                  <w:r>
                    <w:rPr>
                      <w:color w:val="auto"/>
                      <w:sz w:val="18"/>
                      <w:szCs w:val="18"/>
                    </w:rPr>
                    <w:t>、颗粒物</w:t>
                  </w:r>
                  <w:r>
                    <w:rPr>
                      <w:rFonts w:hint="eastAsia"/>
                      <w:color w:val="auto"/>
                      <w:sz w:val="18"/>
                      <w:szCs w:val="18"/>
                      <w:lang w:eastAsia="zh-CN"/>
                    </w:rPr>
                    <w:t>、</w:t>
                  </w:r>
                  <w:r>
                    <w:rPr>
                      <w:rFonts w:hint="eastAsia" w:ascii="宋体" w:hAnsi="宋体" w:eastAsia="宋体" w:cs="宋体"/>
                      <w:b w:val="0"/>
                      <w:bCs w:val="0"/>
                      <w:color w:val="auto"/>
                      <w:sz w:val="18"/>
                      <w:szCs w:val="18"/>
                    </w:rPr>
                    <w:t>烟气黑度</w:t>
                  </w:r>
                </w:p>
              </w:tc>
              <w:tc>
                <w:tcPr>
                  <w:tcW w:w="1685" w:type="dxa"/>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color w:val="auto"/>
                      <w:kern w:val="2"/>
                      <w:sz w:val="18"/>
                      <w:szCs w:val="18"/>
                    </w:rPr>
                    <w:t>1次/</w:t>
                  </w:r>
                  <w:r>
                    <w:rPr>
                      <w:rFonts w:hint="eastAsia"/>
                      <w:color w:val="auto"/>
                      <w:kern w:val="2"/>
                      <w:sz w:val="18"/>
                      <w:szCs w:val="18"/>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76" w:type="dxa"/>
                  <w:vMerge w:val="continue"/>
                  <w:noWrap w:val="0"/>
                  <w:vAlign w:val="center"/>
                </w:tcPr>
                <w:p>
                  <w:pPr>
                    <w:pStyle w:val="46"/>
                    <w:rPr>
                      <w:color w:val="auto"/>
                      <w:kern w:val="2"/>
                      <w:sz w:val="18"/>
                      <w:szCs w:val="18"/>
                    </w:rPr>
                  </w:pPr>
                </w:p>
              </w:tc>
              <w:tc>
                <w:tcPr>
                  <w:tcW w:w="2728" w:type="dxa"/>
                  <w:shd w:val="clear" w:color="auto" w:fill="auto"/>
                  <w:noWrap w:val="0"/>
                  <w:vAlign w:val="center"/>
                </w:tcPr>
                <w:p>
                  <w:pPr>
                    <w:pStyle w:val="46"/>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bidi="ar"/>
                    </w:rPr>
                    <w:t>DA00</w:t>
                  </w:r>
                  <w:r>
                    <w:rPr>
                      <w:rFonts w:hint="eastAsia"/>
                      <w:color w:val="auto"/>
                      <w:sz w:val="18"/>
                      <w:szCs w:val="18"/>
                      <w:lang w:val="en-US" w:eastAsia="zh-CN" w:bidi="ar"/>
                    </w:rPr>
                    <w:t>8</w:t>
                  </w:r>
                  <w:r>
                    <w:rPr>
                      <w:color w:val="auto"/>
                      <w:sz w:val="18"/>
                      <w:szCs w:val="18"/>
                      <w:lang w:bidi="ar"/>
                    </w:rPr>
                    <w:t>排气筒</w:t>
                  </w:r>
                </w:p>
              </w:tc>
              <w:tc>
                <w:tcPr>
                  <w:tcW w:w="2677" w:type="dxa"/>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color w:val="auto"/>
                      <w:sz w:val="18"/>
                      <w:szCs w:val="18"/>
                    </w:rPr>
                    <w:t>SO</w:t>
                  </w:r>
                  <w:r>
                    <w:rPr>
                      <w:color w:val="auto"/>
                      <w:sz w:val="18"/>
                      <w:szCs w:val="18"/>
                      <w:vertAlign w:val="subscript"/>
                    </w:rPr>
                    <w:t>2</w:t>
                  </w:r>
                  <w:r>
                    <w:rPr>
                      <w:color w:val="auto"/>
                      <w:sz w:val="18"/>
                      <w:szCs w:val="18"/>
                    </w:rPr>
                    <w:t>、NO</w:t>
                  </w:r>
                  <w:r>
                    <w:rPr>
                      <w:color w:val="auto"/>
                      <w:sz w:val="18"/>
                      <w:szCs w:val="18"/>
                      <w:vertAlign w:val="subscript"/>
                    </w:rPr>
                    <w:t>x</w:t>
                  </w:r>
                  <w:r>
                    <w:rPr>
                      <w:color w:val="auto"/>
                      <w:sz w:val="18"/>
                      <w:szCs w:val="18"/>
                    </w:rPr>
                    <w:t>、颗粒物</w:t>
                  </w:r>
                  <w:r>
                    <w:rPr>
                      <w:rFonts w:hint="eastAsia"/>
                      <w:color w:val="auto"/>
                      <w:sz w:val="18"/>
                      <w:szCs w:val="18"/>
                      <w:lang w:eastAsia="zh-CN"/>
                    </w:rPr>
                    <w:t>、</w:t>
                  </w:r>
                  <w:r>
                    <w:rPr>
                      <w:rFonts w:hint="eastAsia" w:ascii="宋体" w:hAnsi="宋体" w:eastAsia="宋体" w:cs="宋体"/>
                      <w:b w:val="0"/>
                      <w:bCs w:val="0"/>
                      <w:color w:val="auto"/>
                      <w:sz w:val="18"/>
                      <w:szCs w:val="18"/>
                    </w:rPr>
                    <w:t>烟气黑度</w:t>
                  </w:r>
                </w:p>
              </w:tc>
              <w:tc>
                <w:tcPr>
                  <w:tcW w:w="1685" w:type="dxa"/>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color w:val="auto"/>
                      <w:kern w:val="2"/>
                      <w:sz w:val="18"/>
                      <w:szCs w:val="18"/>
                    </w:rPr>
                    <w:t>1次/</w:t>
                  </w:r>
                  <w:r>
                    <w:rPr>
                      <w:rFonts w:hint="eastAsia"/>
                      <w:color w:val="auto"/>
                      <w:kern w:val="2"/>
                      <w:sz w:val="18"/>
                      <w:szCs w:val="18"/>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76" w:type="dxa"/>
                  <w:vMerge w:val="continue"/>
                  <w:noWrap w:val="0"/>
                  <w:vAlign w:val="center"/>
                </w:tcPr>
                <w:p>
                  <w:pPr>
                    <w:pStyle w:val="46"/>
                    <w:rPr>
                      <w:color w:val="auto"/>
                      <w:kern w:val="2"/>
                      <w:sz w:val="18"/>
                      <w:szCs w:val="18"/>
                    </w:rPr>
                  </w:pPr>
                </w:p>
              </w:tc>
              <w:tc>
                <w:tcPr>
                  <w:tcW w:w="2728" w:type="dxa"/>
                  <w:shd w:val="clear" w:color="auto" w:fill="auto"/>
                  <w:noWrap w:val="0"/>
                  <w:vAlign w:val="center"/>
                </w:tcPr>
                <w:p>
                  <w:pPr>
                    <w:pStyle w:val="46"/>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bidi="ar"/>
                    </w:rPr>
                    <w:t>DA00</w:t>
                  </w:r>
                  <w:r>
                    <w:rPr>
                      <w:rFonts w:hint="eastAsia"/>
                      <w:color w:val="auto"/>
                      <w:sz w:val="18"/>
                      <w:szCs w:val="18"/>
                      <w:lang w:val="en-US" w:eastAsia="zh-CN" w:bidi="ar"/>
                    </w:rPr>
                    <w:t>4</w:t>
                  </w:r>
                  <w:r>
                    <w:rPr>
                      <w:color w:val="auto"/>
                      <w:sz w:val="18"/>
                      <w:szCs w:val="18"/>
                      <w:lang w:bidi="ar"/>
                    </w:rPr>
                    <w:t>排气筒</w:t>
                  </w:r>
                </w:p>
              </w:tc>
              <w:tc>
                <w:tcPr>
                  <w:tcW w:w="2677" w:type="dxa"/>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color w:val="auto"/>
                      <w:sz w:val="18"/>
                      <w:szCs w:val="18"/>
                    </w:rPr>
                    <w:t>SO</w:t>
                  </w:r>
                  <w:r>
                    <w:rPr>
                      <w:color w:val="auto"/>
                      <w:sz w:val="18"/>
                      <w:szCs w:val="18"/>
                      <w:vertAlign w:val="subscript"/>
                    </w:rPr>
                    <w:t>2</w:t>
                  </w:r>
                  <w:r>
                    <w:rPr>
                      <w:color w:val="auto"/>
                      <w:sz w:val="18"/>
                      <w:szCs w:val="18"/>
                    </w:rPr>
                    <w:t>、NO</w:t>
                  </w:r>
                  <w:r>
                    <w:rPr>
                      <w:color w:val="auto"/>
                      <w:sz w:val="18"/>
                      <w:szCs w:val="18"/>
                      <w:vertAlign w:val="subscript"/>
                    </w:rPr>
                    <w:t>x</w:t>
                  </w:r>
                  <w:r>
                    <w:rPr>
                      <w:color w:val="auto"/>
                      <w:sz w:val="18"/>
                      <w:szCs w:val="18"/>
                    </w:rPr>
                    <w:t>、颗粒物</w:t>
                  </w:r>
                  <w:r>
                    <w:rPr>
                      <w:rFonts w:hint="eastAsia"/>
                      <w:color w:val="auto"/>
                      <w:sz w:val="18"/>
                      <w:szCs w:val="18"/>
                      <w:lang w:eastAsia="zh-CN"/>
                    </w:rPr>
                    <w:t>、</w:t>
                  </w:r>
                  <w:r>
                    <w:rPr>
                      <w:rFonts w:hint="eastAsia" w:ascii="宋体" w:hAnsi="宋体" w:eastAsia="宋体" w:cs="宋体"/>
                      <w:b w:val="0"/>
                      <w:bCs w:val="0"/>
                      <w:color w:val="auto"/>
                      <w:sz w:val="18"/>
                      <w:szCs w:val="18"/>
                    </w:rPr>
                    <w:t>烟气黑度</w:t>
                  </w:r>
                </w:p>
              </w:tc>
              <w:tc>
                <w:tcPr>
                  <w:tcW w:w="1685" w:type="dxa"/>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color w:val="auto"/>
                      <w:kern w:val="2"/>
                      <w:sz w:val="18"/>
                      <w:szCs w:val="18"/>
                    </w:rPr>
                    <w:t>1次/</w:t>
                  </w:r>
                  <w:r>
                    <w:rPr>
                      <w:rFonts w:hint="eastAsia"/>
                      <w:color w:val="auto"/>
                      <w:kern w:val="2"/>
                      <w:sz w:val="18"/>
                      <w:szCs w:val="18"/>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76" w:type="dxa"/>
                  <w:vMerge w:val="continue"/>
                  <w:noWrap w:val="0"/>
                  <w:vAlign w:val="center"/>
                </w:tcPr>
                <w:p>
                  <w:pPr>
                    <w:pStyle w:val="46"/>
                    <w:rPr>
                      <w:color w:val="auto"/>
                      <w:kern w:val="2"/>
                      <w:sz w:val="18"/>
                      <w:szCs w:val="18"/>
                    </w:rPr>
                  </w:pPr>
                </w:p>
              </w:tc>
              <w:tc>
                <w:tcPr>
                  <w:tcW w:w="2728" w:type="dxa"/>
                  <w:shd w:val="clear" w:color="auto" w:fill="auto"/>
                  <w:noWrap w:val="0"/>
                  <w:vAlign w:val="center"/>
                </w:tcPr>
                <w:p>
                  <w:pPr>
                    <w:pStyle w:val="46"/>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bidi="ar"/>
                    </w:rPr>
                    <w:t>DA00</w:t>
                  </w:r>
                  <w:r>
                    <w:rPr>
                      <w:rFonts w:hint="eastAsia"/>
                      <w:color w:val="auto"/>
                      <w:sz w:val="18"/>
                      <w:szCs w:val="18"/>
                      <w:lang w:val="en-US" w:eastAsia="zh-CN" w:bidi="ar"/>
                    </w:rPr>
                    <w:t>5</w:t>
                  </w:r>
                  <w:r>
                    <w:rPr>
                      <w:color w:val="auto"/>
                      <w:sz w:val="18"/>
                      <w:szCs w:val="18"/>
                      <w:lang w:bidi="ar"/>
                    </w:rPr>
                    <w:t>排气筒</w:t>
                  </w:r>
                </w:p>
              </w:tc>
              <w:tc>
                <w:tcPr>
                  <w:tcW w:w="2677" w:type="dxa"/>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color w:val="auto"/>
                      <w:sz w:val="18"/>
                      <w:szCs w:val="18"/>
                    </w:rPr>
                    <w:t>SO</w:t>
                  </w:r>
                  <w:r>
                    <w:rPr>
                      <w:color w:val="auto"/>
                      <w:sz w:val="18"/>
                      <w:szCs w:val="18"/>
                      <w:vertAlign w:val="subscript"/>
                    </w:rPr>
                    <w:t>2</w:t>
                  </w:r>
                  <w:r>
                    <w:rPr>
                      <w:color w:val="auto"/>
                      <w:sz w:val="18"/>
                      <w:szCs w:val="18"/>
                    </w:rPr>
                    <w:t>、NO</w:t>
                  </w:r>
                  <w:r>
                    <w:rPr>
                      <w:color w:val="auto"/>
                      <w:sz w:val="18"/>
                      <w:szCs w:val="18"/>
                      <w:vertAlign w:val="subscript"/>
                    </w:rPr>
                    <w:t>x</w:t>
                  </w:r>
                  <w:r>
                    <w:rPr>
                      <w:color w:val="auto"/>
                      <w:sz w:val="18"/>
                      <w:szCs w:val="18"/>
                    </w:rPr>
                    <w:t>、颗粒物</w:t>
                  </w:r>
                  <w:r>
                    <w:rPr>
                      <w:rFonts w:hint="eastAsia"/>
                      <w:color w:val="auto"/>
                      <w:sz w:val="18"/>
                      <w:szCs w:val="18"/>
                      <w:lang w:eastAsia="zh-CN"/>
                    </w:rPr>
                    <w:t>、</w:t>
                  </w:r>
                  <w:r>
                    <w:rPr>
                      <w:rFonts w:hint="eastAsia" w:ascii="宋体" w:hAnsi="宋体" w:eastAsia="宋体" w:cs="宋体"/>
                      <w:b w:val="0"/>
                      <w:bCs w:val="0"/>
                      <w:color w:val="auto"/>
                      <w:sz w:val="18"/>
                      <w:szCs w:val="18"/>
                    </w:rPr>
                    <w:t>烟气黑度</w:t>
                  </w:r>
                </w:p>
              </w:tc>
              <w:tc>
                <w:tcPr>
                  <w:tcW w:w="1685" w:type="dxa"/>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color w:val="auto"/>
                      <w:kern w:val="2"/>
                      <w:sz w:val="18"/>
                      <w:szCs w:val="18"/>
                    </w:rPr>
                    <w:t>1次/</w:t>
                  </w:r>
                  <w:r>
                    <w:rPr>
                      <w:rFonts w:hint="eastAsia"/>
                      <w:color w:val="auto"/>
                      <w:kern w:val="2"/>
                      <w:sz w:val="18"/>
                      <w:szCs w:val="18"/>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76" w:type="dxa"/>
                  <w:vMerge w:val="continue"/>
                  <w:noWrap w:val="0"/>
                  <w:vAlign w:val="center"/>
                </w:tcPr>
                <w:p>
                  <w:pPr>
                    <w:pStyle w:val="46"/>
                    <w:rPr>
                      <w:color w:val="auto"/>
                      <w:kern w:val="2"/>
                      <w:sz w:val="18"/>
                      <w:szCs w:val="18"/>
                    </w:rPr>
                  </w:pPr>
                </w:p>
              </w:tc>
              <w:tc>
                <w:tcPr>
                  <w:tcW w:w="2728" w:type="dxa"/>
                  <w:shd w:val="clear" w:color="auto" w:fill="auto"/>
                  <w:noWrap w:val="0"/>
                  <w:vAlign w:val="center"/>
                </w:tcPr>
                <w:p>
                  <w:pPr>
                    <w:pStyle w:val="46"/>
                    <w:rPr>
                      <w:rFonts w:hint="eastAsia"/>
                      <w:color w:val="auto"/>
                      <w:sz w:val="18"/>
                      <w:szCs w:val="18"/>
                      <w:lang w:bidi="ar"/>
                    </w:rPr>
                  </w:pPr>
                  <w:r>
                    <w:rPr>
                      <w:rFonts w:hint="eastAsia"/>
                      <w:color w:val="auto"/>
                      <w:sz w:val="18"/>
                      <w:szCs w:val="18"/>
                      <w:lang w:bidi="ar"/>
                    </w:rPr>
                    <w:t>DA00</w:t>
                  </w:r>
                  <w:r>
                    <w:rPr>
                      <w:rFonts w:hint="eastAsia"/>
                      <w:color w:val="auto"/>
                      <w:sz w:val="18"/>
                      <w:szCs w:val="18"/>
                      <w:lang w:val="en-US" w:eastAsia="zh-CN" w:bidi="ar"/>
                    </w:rPr>
                    <w:t>9</w:t>
                  </w:r>
                  <w:r>
                    <w:rPr>
                      <w:color w:val="auto"/>
                      <w:sz w:val="18"/>
                      <w:szCs w:val="18"/>
                      <w:lang w:bidi="ar"/>
                    </w:rPr>
                    <w:t>排气筒</w:t>
                  </w:r>
                </w:p>
              </w:tc>
              <w:tc>
                <w:tcPr>
                  <w:tcW w:w="2677" w:type="dxa"/>
                  <w:shd w:val="clear" w:color="auto" w:fill="auto"/>
                  <w:noWrap w:val="0"/>
                  <w:vAlign w:val="center"/>
                </w:tcPr>
                <w:p>
                  <w:pPr>
                    <w:jc w:val="center"/>
                    <w:rPr>
                      <w:color w:val="auto"/>
                      <w:sz w:val="18"/>
                      <w:szCs w:val="18"/>
                    </w:rPr>
                  </w:pPr>
                  <w:r>
                    <w:rPr>
                      <w:color w:val="auto"/>
                      <w:sz w:val="18"/>
                      <w:szCs w:val="18"/>
                    </w:rPr>
                    <w:t>颗粒物</w:t>
                  </w:r>
                </w:p>
              </w:tc>
              <w:tc>
                <w:tcPr>
                  <w:tcW w:w="1685" w:type="dxa"/>
                  <w:shd w:val="clear" w:color="auto" w:fill="auto"/>
                  <w:noWrap w:val="0"/>
                  <w:vAlign w:val="center"/>
                </w:tcPr>
                <w:p>
                  <w:pPr>
                    <w:pStyle w:val="46"/>
                    <w:rPr>
                      <w:color w:val="auto"/>
                      <w:kern w:val="2"/>
                      <w:sz w:val="18"/>
                      <w:szCs w:val="18"/>
                    </w:rPr>
                  </w:pPr>
                  <w:r>
                    <w:rPr>
                      <w:color w:val="auto"/>
                      <w:kern w:val="2"/>
                      <w:sz w:val="18"/>
                      <w:szCs w:val="18"/>
                    </w:rPr>
                    <w:t>1次/</w:t>
                  </w:r>
                  <w:r>
                    <w:rPr>
                      <w:rFonts w:hint="eastAsia"/>
                      <w:color w:val="auto"/>
                      <w:kern w:val="2"/>
                      <w:sz w:val="18"/>
                      <w:szCs w:val="18"/>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76" w:type="dxa"/>
                  <w:vMerge w:val="restart"/>
                  <w:noWrap w:val="0"/>
                  <w:vAlign w:val="center"/>
                </w:tcPr>
                <w:p>
                  <w:pPr>
                    <w:pStyle w:val="46"/>
                    <w:rPr>
                      <w:rFonts w:hint="eastAsia" w:eastAsia="宋体"/>
                      <w:color w:val="auto"/>
                      <w:kern w:val="2"/>
                      <w:sz w:val="18"/>
                      <w:szCs w:val="18"/>
                      <w:lang w:eastAsia="zh-CN"/>
                    </w:rPr>
                  </w:pPr>
                  <w:r>
                    <w:rPr>
                      <w:rFonts w:hint="eastAsia"/>
                      <w:color w:val="auto"/>
                      <w:kern w:val="2"/>
                      <w:sz w:val="18"/>
                      <w:szCs w:val="18"/>
                      <w:lang w:eastAsia="zh-CN"/>
                    </w:rPr>
                    <w:t>无组织</w:t>
                  </w:r>
                </w:p>
              </w:tc>
              <w:tc>
                <w:tcPr>
                  <w:tcW w:w="2728" w:type="dxa"/>
                  <w:vMerge w:val="restart"/>
                  <w:shd w:val="clear" w:color="auto" w:fill="auto"/>
                  <w:noWrap w:val="0"/>
                  <w:vAlign w:val="center"/>
                </w:tcPr>
                <w:p>
                  <w:pPr>
                    <w:pStyle w:val="46"/>
                    <w:rPr>
                      <w:rFonts w:hint="eastAsia"/>
                      <w:color w:val="auto"/>
                      <w:sz w:val="18"/>
                      <w:szCs w:val="18"/>
                      <w:lang w:bidi="ar"/>
                    </w:rPr>
                  </w:pPr>
                  <w:r>
                    <w:rPr>
                      <w:rFonts w:hint="eastAsia" w:ascii="Times New Roman" w:hAnsi="Times New Roman" w:cs="Times New Roman"/>
                      <w:color w:val="auto"/>
                      <w:sz w:val="18"/>
                      <w:szCs w:val="18"/>
                      <w:shd w:val="clear" w:color="auto" w:fill="FFFFFF"/>
                      <w:lang w:eastAsia="zh-CN"/>
                    </w:rPr>
                    <w:t>厂界</w:t>
                  </w:r>
                </w:p>
              </w:tc>
              <w:tc>
                <w:tcPr>
                  <w:tcW w:w="2677" w:type="dxa"/>
                  <w:shd w:val="clear" w:color="auto" w:fill="auto"/>
                  <w:noWrap w:val="0"/>
                  <w:vAlign w:val="center"/>
                </w:tcPr>
                <w:p>
                  <w:pPr>
                    <w:jc w:val="center"/>
                    <w:rPr>
                      <w:rFonts w:hint="eastAsia" w:eastAsia="宋体"/>
                      <w:color w:val="auto"/>
                      <w:sz w:val="18"/>
                      <w:szCs w:val="18"/>
                      <w:lang w:eastAsia="zh-CN"/>
                    </w:rPr>
                  </w:pPr>
                  <w:r>
                    <w:rPr>
                      <w:rFonts w:hint="eastAsia"/>
                      <w:color w:val="auto"/>
                      <w:sz w:val="18"/>
                      <w:szCs w:val="18"/>
                      <w:lang w:eastAsia="zh-CN"/>
                    </w:rPr>
                    <w:t>颗粒物</w:t>
                  </w:r>
                </w:p>
              </w:tc>
              <w:tc>
                <w:tcPr>
                  <w:tcW w:w="1685" w:type="dxa"/>
                  <w:shd w:val="clear" w:color="auto" w:fill="auto"/>
                  <w:noWrap w:val="0"/>
                  <w:vAlign w:val="center"/>
                </w:tcPr>
                <w:p>
                  <w:pPr>
                    <w:pStyle w:val="46"/>
                    <w:rPr>
                      <w:color w:val="auto"/>
                      <w:kern w:val="2"/>
                      <w:sz w:val="18"/>
                      <w:szCs w:val="18"/>
                    </w:rPr>
                  </w:pPr>
                  <w:r>
                    <w:rPr>
                      <w:color w:val="auto"/>
                      <w:kern w:val="2"/>
                      <w:sz w:val="18"/>
                      <w:szCs w:val="18"/>
                    </w:rPr>
                    <w:t>1次/</w:t>
                  </w:r>
                  <w:r>
                    <w:rPr>
                      <w:rFonts w:hint="eastAsia"/>
                      <w:color w:val="auto"/>
                      <w:kern w:val="2"/>
                      <w:sz w:val="18"/>
                      <w:szCs w:val="18"/>
                      <w:lang w:eastAsia="zh-CN"/>
                    </w:rPr>
                    <w:t>半</w:t>
                  </w:r>
                  <w:r>
                    <w:rPr>
                      <w:rFonts w:hint="eastAsia"/>
                      <w:color w:val="auto"/>
                      <w:kern w:val="2"/>
                      <w:sz w:val="18"/>
                      <w:szCs w:val="18"/>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76" w:type="dxa"/>
                  <w:vMerge w:val="continue"/>
                  <w:noWrap w:val="0"/>
                  <w:vAlign w:val="center"/>
                </w:tcPr>
                <w:p>
                  <w:pPr>
                    <w:pStyle w:val="46"/>
                    <w:rPr>
                      <w:rFonts w:hint="eastAsia"/>
                      <w:color w:val="auto"/>
                      <w:kern w:val="2"/>
                      <w:sz w:val="18"/>
                      <w:szCs w:val="18"/>
                      <w:lang w:eastAsia="zh-CN"/>
                    </w:rPr>
                  </w:pPr>
                </w:p>
              </w:tc>
              <w:tc>
                <w:tcPr>
                  <w:tcW w:w="2728" w:type="dxa"/>
                  <w:vMerge w:val="continue"/>
                  <w:shd w:val="clear" w:color="auto" w:fill="auto"/>
                  <w:noWrap w:val="0"/>
                  <w:vAlign w:val="center"/>
                </w:tcPr>
                <w:p>
                  <w:pPr>
                    <w:pStyle w:val="46"/>
                    <w:rPr>
                      <w:rFonts w:hint="eastAsia" w:ascii="Times New Roman" w:hAnsi="Times New Roman" w:cs="Times New Roman"/>
                      <w:color w:val="auto"/>
                      <w:sz w:val="18"/>
                      <w:szCs w:val="18"/>
                      <w:shd w:val="clear" w:color="auto" w:fill="FFFFFF"/>
                      <w:lang w:eastAsia="zh-CN"/>
                    </w:rPr>
                  </w:pPr>
                </w:p>
              </w:tc>
              <w:tc>
                <w:tcPr>
                  <w:tcW w:w="2677" w:type="dxa"/>
                  <w:shd w:val="clear" w:color="auto" w:fill="auto"/>
                  <w:noWrap w:val="0"/>
                  <w:vAlign w:val="center"/>
                </w:tcPr>
                <w:p>
                  <w:pPr>
                    <w:jc w:val="center"/>
                    <w:rPr>
                      <w:rFonts w:hint="eastAsia"/>
                      <w:color w:val="auto"/>
                      <w:sz w:val="18"/>
                      <w:szCs w:val="18"/>
                      <w:lang w:eastAsia="zh-CN"/>
                    </w:rPr>
                  </w:pPr>
                  <w:r>
                    <w:rPr>
                      <w:rFonts w:hint="eastAsia"/>
                      <w:color w:val="auto"/>
                      <w:sz w:val="18"/>
                      <w:szCs w:val="18"/>
                      <w:lang w:eastAsia="zh-CN"/>
                    </w:rPr>
                    <w:t>非甲烷总烃</w:t>
                  </w:r>
                </w:p>
              </w:tc>
              <w:tc>
                <w:tcPr>
                  <w:tcW w:w="1685" w:type="dxa"/>
                  <w:shd w:val="clear" w:color="auto" w:fill="auto"/>
                  <w:noWrap w:val="0"/>
                  <w:vAlign w:val="center"/>
                </w:tcPr>
                <w:p>
                  <w:pPr>
                    <w:pStyle w:val="46"/>
                    <w:rPr>
                      <w:color w:val="auto"/>
                      <w:kern w:val="2"/>
                      <w:sz w:val="18"/>
                      <w:szCs w:val="18"/>
                    </w:rPr>
                  </w:pPr>
                  <w:r>
                    <w:rPr>
                      <w:color w:val="auto"/>
                      <w:kern w:val="2"/>
                      <w:sz w:val="18"/>
                      <w:szCs w:val="18"/>
                    </w:rPr>
                    <w:t>1次/</w:t>
                  </w:r>
                  <w:r>
                    <w:rPr>
                      <w:rFonts w:hint="eastAsia"/>
                      <w:color w:val="auto"/>
                      <w:kern w:val="2"/>
                      <w:sz w:val="18"/>
                      <w:szCs w:val="18"/>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76" w:type="dxa"/>
                  <w:vMerge w:val="continue"/>
                  <w:noWrap w:val="0"/>
                  <w:vAlign w:val="center"/>
                </w:tcPr>
                <w:p>
                  <w:pPr>
                    <w:pStyle w:val="46"/>
                    <w:rPr>
                      <w:rFonts w:hint="eastAsia"/>
                      <w:color w:val="auto"/>
                      <w:kern w:val="2"/>
                      <w:sz w:val="18"/>
                      <w:szCs w:val="18"/>
                      <w:lang w:eastAsia="zh-CN"/>
                    </w:rPr>
                  </w:pPr>
                </w:p>
              </w:tc>
              <w:tc>
                <w:tcPr>
                  <w:tcW w:w="2728" w:type="dxa"/>
                  <w:vMerge w:val="restart"/>
                  <w:shd w:val="clear" w:color="auto" w:fill="auto"/>
                  <w:noWrap w:val="0"/>
                  <w:vAlign w:val="center"/>
                </w:tcPr>
                <w:p>
                  <w:pPr>
                    <w:jc w:val="center"/>
                    <w:rPr>
                      <w:rFonts w:hint="eastAsia" w:ascii="Times New Roman" w:hAnsi="Times New Roman" w:cs="Times New Roman"/>
                      <w:color w:val="auto"/>
                      <w:sz w:val="18"/>
                      <w:szCs w:val="18"/>
                      <w:shd w:val="clear" w:color="auto" w:fill="FFFFFF"/>
                      <w:lang w:eastAsia="zh-CN"/>
                    </w:rPr>
                  </w:pPr>
                  <w:r>
                    <w:rPr>
                      <w:color w:val="auto"/>
                      <w:sz w:val="18"/>
                      <w:szCs w:val="18"/>
                    </w:rPr>
                    <w:t>厂区内</w:t>
                  </w:r>
                </w:p>
              </w:tc>
              <w:tc>
                <w:tcPr>
                  <w:tcW w:w="2677" w:type="dxa"/>
                  <w:shd w:val="clear" w:color="auto" w:fill="auto"/>
                  <w:noWrap w:val="0"/>
                  <w:vAlign w:val="center"/>
                </w:tcPr>
                <w:p>
                  <w:pPr>
                    <w:jc w:val="center"/>
                    <w:rPr>
                      <w:rFonts w:hint="eastAsia"/>
                      <w:color w:val="auto"/>
                      <w:sz w:val="18"/>
                      <w:szCs w:val="18"/>
                      <w:lang w:eastAsia="zh-CN"/>
                    </w:rPr>
                  </w:pPr>
                  <w:r>
                    <w:rPr>
                      <w:rFonts w:hint="eastAsia"/>
                      <w:color w:val="auto"/>
                      <w:sz w:val="18"/>
                      <w:szCs w:val="18"/>
                      <w:lang w:eastAsia="zh-CN"/>
                    </w:rPr>
                    <w:t>颗粒物</w:t>
                  </w:r>
                </w:p>
              </w:tc>
              <w:tc>
                <w:tcPr>
                  <w:tcW w:w="1685" w:type="dxa"/>
                  <w:shd w:val="clear" w:color="auto" w:fill="auto"/>
                  <w:noWrap w:val="0"/>
                  <w:vAlign w:val="center"/>
                </w:tcPr>
                <w:p>
                  <w:pPr>
                    <w:pStyle w:val="46"/>
                    <w:rPr>
                      <w:color w:val="auto"/>
                      <w:kern w:val="2"/>
                      <w:sz w:val="18"/>
                      <w:szCs w:val="18"/>
                    </w:rPr>
                  </w:pPr>
                  <w:r>
                    <w:rPr>
                      <w:color w:val="auto"/>
                      <w:kern w:val="2"/>
                      <w:sz w:val="18"/>
                      <w:szCs w:val="18"/>
                    </w:rPr>
                    <w:t>1次/</w:t>
                  </w:r>
                  <w:r>
                    <w:rPr>
                      <w:rFonts w:hint="eastAsia"/>
                      <w:color w:val="auto"/>
                      <w:kern w:val="2"/>
                      <w:sz w:val="18"/>
                      <w:szCs w:val="18"/>
                      <w:lang w:eastAsia="zh-CN"/>
                    </w:rPr>
                    <w:t>半</w:t>
                  </w:r>
                  <w:r>
                    <w:rPr>
                      <w:rFonts w:hint="eastAsia"/>
                      <w:color w:val="auto"/>
                      <w:kern w:val="2"/>
                      <w:sz w:val="18"/>
                      <w:szCs w:val="18"/>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76" w:type="dxa"/>
                  <w:vMerge w:val="continue"/>
                  <w:noWrap w:val="0"/>
                  <w:vAlign w:val="center"/>
                </w:tcPr>
                <w:p>
                  <w:pPr>
                    <w:pStyle w:val="46"/>
                    <w:rPr>
                      <w:rFonts w:hint="eastAsia"/>
                      <w:color w:val="auto"/>
                      <w:kern w:val="2"/>
                      <w:sz w:val="18"/>
                      <w:szCs w:val="18"/>
                      <w:lang w:eastAsia="zh-CN"/>
                    </w:rPr>
                  </w:pPr>
                </w:p>
              </w:tc>
              <w:tc>
                <w:tcPr>
                  <w:tcW w:w="2728" w:type="dxa"/>
                  <w:vMerge w:val="continue"/>
                  <w:shd w:val="clear" w:color="auto" w:fill="auto"/>
                  <w:noWrap w:val="0"/>
                  <w:vAlign w:val="center"/>
                </w:tcPr>
                <w:p>
                  <w:pPr>
                    <w:jc w:val="center"/>
                    <w:rPr>
                      <w:color w:val="auto"/>
                      <w:sz w:val="18"/>
                      <w:szCs w:val="18"/>
                    </w:rPr>
                  </w:pPr>
                </w:p>
              </w:tc>
              <w:tc>
                <w:tcPr>
                  <w:tcW w:w="2677" w:type="dxa"/>
                  <w:shd w:val="clear" w:color="auto" w:fill="auto"/>
                  <w:noWrap w:val="0"/>
                  <w:vAlign w:val="center"/>
                </w:tcPr>
                <w:p>
                  <w:pPr>
                    <w:jc w:val="center"/>
                    <w:rPr>
                      <w:rFonts w:hint="eastAsia"/>
                      <w:color w:val="auto"/>
                      <w:sz w:val="18"/>
                      <w:szCs w:val="18"/>
                      <w:lang w:eastAsia="zh-CN"/>
                    </w:rPr>
                  </w:pPr>
                  <w:r>
                    <w:rPr>
                      <w:color w:val="auto"/>
                      <w:sz w:val="18"/>
                      <w:szCs w:val="18"/>
                    </w:rPr>
                    <w:t>非甲烷总烃</w:t>
                  </w:r>
                </w:p>
              </w:tc>
              <w:tc>
                <w:tcPr>
                  <w:tcW w:w="1685" w:type="dxa"/>
                  <w:shd w:val="clear" w:color="auto" w:fill="auto"/>
                  <w:noWrap w:val="0"/>
                  <w:vAlign w:val="center"/>
                </w:tcPr>
                <w:p>
                  <w:pPr>
                    <w:pStyle w:val="46"/>
                    <w:rPr>
                      <w:color w:val="auto"/>
                      <w:kern w:val="2"/>
                      <w:sz w:val="18"/>
                      <w:szCs w:val="18"/>
                    </w:rPr>
                  </w:pPr>
                  <w:r>
                    <w:rPr>
                      <w:color w:val="auto"/>
                      <w:kern w:val="2"/>
                      <w:sz w:val="18"/>
                      <w:szCs w:val="18"/>
                    </w:rPr>
                    <w:t>1次/</w:t>
                  </w:r>
                  <w:r>
                    <w:rPr>
                      <w:rFonts w:hint="eastAsia"/>
                      <w:color w:val="auto"/>
                      <w:kern w:val="2"/>
                      <w:sz w:val="18"/>
                      <w:szCs w:val="18"/>
                    </w:rPr>
                    <w:t>年</w:t>
                  </w:r>
                </w:p>
              </w:tc>
            </w:tr>
          </w:tbl>
          <w:p>
            <w:pPr>
              <w:spacing w:line="500" w:lineRule="exact"/>
              <w:ind w:firstLine="422" w:firstLineChars="200"/>
              <w:rPr>
                <w:b/>
                <w:bCs/>
              </w:rPr>
            </w:pPr>
            <w:r>
              <w:rPr>
                <w:rFonts w:hint="eastAsia"/>
                <w:b/>
                <w:bCs/>
                <w:lang w:val="en-US" w:eastAsia="zh-CN"/>
              </w:rPr>
              <w:t>6</w:t>
            </w:r>
            <w:r>
              <w:rPr>
                <w:b/>
                <w:bCs/>
              </w:rPr>
              <w:t xml:space="preserve">、大气环境影响分析结论 </w:t>
            </w:r>
          </w:p>
          <w:p>
            <w:pPr>
              <w:adjustRightInd w:val="0"/>
              <w:snapToGrid w:val="0"/>
              <w:spacing w:line="500" w:lineRule="exact"/>
              <w:ind w:firstLine="420" w:firstLineChars="200"/>
              <w:rPr>
                <w:rFonts w:hint="eastAsia" w:ascii="Times New Roman" w:hAnsi="Times New Roman" w:eastAsia="宋体" w:cs="Times New Roman"/>
                <w:bCs/>
                <w:szCs w:val="21"/>
              </w:rPr>
            </w:pPr>
            <w:r>
              <w:rPr>
                <w:rFonts w:hint="eastAsia"/>
                <w:color w:val="auto"/>
                <w:szCs w:val="21"/>
                <w:lang w:eastAsia="zh-CN"/>
              </w:rPr>
              <w:t>全厂</w:t>
            </w:r>
            <w:r>
              <w:rPr>
                <w:rFonts w:hint="eastAsia"/>
                <w:color w:val="auto"/>
                <w:szCs w:val="21"/>
              </w:rPr>
              <w:t>天然气</w:t>
            </w:r>
            <w:r>
              <w:rPr>
                <w:rFonts w:hint="eastAsia"/>
                <w:color w:val="auto"/>
                <w:szCs w:val="21"/>
                <w:lang w:eastAsia="zh-CN"/>
              </w:rPr>
              <w:t>加热</w:t>
            </w:r>
            <w:r>
              <w:rPr>
                <w:color w:val="auto"/>
                <w:szCs w:val="21"/>
              </w:rPr>
              <w:t>炉</w:t>
            </w:r>
            <w:r>
              <w:rPr>
                <w:rFonts w:hint="eastAsia"/>
                <w:color w:val="auto"/>
                <w:szCs w:val="21"/>
                <w:lang w:eastAsia="zh-CN"/>
              </w:rPr>
              <w:t>产生的</w:t>
            </w:r>
            <w:r>
              <w:rPr>
                <w:color w:val="auto"/>
                <w:szCs w:val="21"/>
              </w:rPr>
              <w:t>天然气燃烧废气</w:t>
            </w:r>
            <w:r>
              <w:rPr>
                <w:color w:val="auto"/>
                <w:kern w:val="0"/>
                <w:szCs w:val="21"/>
                <w:lang w:bidi="ar"/>
              </w:rPr>
              <w:t>由密闭管道收集后</w:t>
            </w:r>
            <w:r>
              <w:rPr>
                <w:color w:val="auto"/>
                <w:szCs w:val="21"/>
              </w:rPr>
              <w:t>通过排气筒排放</w:t>
            </w:r>
            <w:r>
              <w:rPr>
                <w:rFonts w:hint="eastAsia"/>
                <w:color w:val="auto"/>
                <w:kern w:val="0"/>
                <w:szCs w:val="21"/>
                <w:lang w:bidi="ar"/>
              </w:rPr>
              <w:t>，</w:t>
            </w:r>
            <w:r>
              <w:rPr>
                <w:rFonts w:hint="eastAsia"/>
                <w:color w:val="auto"/>
                <w:szCs w:val="21"/>
                <w:lang w:eastAsia="zh-CN"/>
              </w:rPr>
              <w:t>加热</w:t>
            </w:r>
            <w:r>
              <w:rPr>
                <w:bCs/>
                <w:color w:val="auto"/>
                <w:szCs w:val="21"/>
              </w:rPr>
              <w:t>炉</w:t>
            </w:r>
            <w:r>
              <w:rPr>
                <w:color w:val="auto"/>
                <w:szCs w:val="21"/>
              </w:rPr>
              <w:t>为密闭设备，废气收集率100%，</w:t>
            </w:r>
            <w:r>
              <w:rPr>
                <w:rFonts w:hint="eastAsia"/>
                <w:color w:val="auto"/>
                <w:szCs w:val="21"/>
                <w:lang w:eastAsia="zh-CN"/>
              </w:rPr>
              <w:t>加热</w:t>
            </w:r>
            <w:r>
              <w:rPr>
                <w:bCs/>
                <w:szCs w:val="21"/>
              </w:rPr>
              <w:t>炉</w:t>
            </w:r>
            <w:r>
              <w:rPr>
                <w:rFonts w:hint="eastAsia"/>
                <w:szCs w:val="21"/>
              </w:rPr>
              <w:t>产生的</w:t>
            </w:r>
            <w:r>
              <w:rPr>
                <w:szCs w:val="21"/>
              </w:rPr>
              <w:t>SO</w:t>
            </w:r>
            <w:r>
              <w:rPr>
                <w:szCs w:val="21"/>
                <w:vertAlign w:val="subscript"/>
              </w:rPr>
              <w:t>2</w:t>
            </w:r>
            <w:r>
              <w:rPr>
                <w:szCs w:val="21"/>
              </w:rPr>
              <w:t>、NOx、</w:t>
            </w:r>
            <w:r>
              <w:rPr>
                <w:rFonts w:hint="eastAsia"/>
                <w:szCs w:val="21"/>
                <w:lang w:eastAsia="zh-CN"/>
              </w:rPr>
              <w:t>颗粒物</w:t>
            </w:r>
            <w:r>
              <w:rPr>
                <w:szCs w:val="21"/>
              </w:rPr>
              <w:t>排放浓度均能满足</w:t>
            </w:r>
            <w:r>
              <w:rPr>
                <w:rFonts w:hint="eastAsia" w:ascii="Times New Roman" w:hAnsi="Times New Roman" w:eastAsia="宋体" w:cs="Times New Roman"/>
                <w:color w:val="000000"/>
                <w:szCs w:val="21"/>
                <w:lang w:val="en-US" w:eastAsia="zh-CN"/>
              </w:rPr>
              <w:t>《工业炉窑大气污染物排放标准》（DB32/3728—20</w:t>
            </w:r>
            <w:r>
              <w:rPr>
                <w:rFonts w:hint="eastAsia" w:cs="Times New Roman"/>
                <w:color w:val="000000"/>
                <w:szCs w:val="21"/>
                <w:lang w:val="en-US" w:eastAsia="zh-CN"/>
              </w:rPr>
              <w:t>20</w:t>
            </w:r>
            <w:r>
              <w:rPr>
                <w:rFonts w:hint="eastAsia" w:ascii="Times New Roman" w:hAnsi="Times New Roman" w:eastAsia="宋体" w:cs="Times New Roman"/>
                <w:color w:val="000000"/>
                <w:szCs w:val="21"/>
                <w:lang w:val="en-US" w:eastAsia="zh-CN"/>
              </w:rPr>
              <w:t>）</w:t>
            </w:r>
            <w:r>
              <w:rPr>
                <w:rFonts w:hint="eastAsia"/>
                <w:szCs w:val="21"/>
              </w:rPr>
              <w:t>表1中</w:t>
            </w:r>
            <w:r>
              <w:rPr>
                <w:szCs w:val="21"/>
              </w:rPr>
              <w:t>相关标准</w:t>
            </w:r>
            <w:r>
              <w:t>，</w:t>
            </w:r>
            <w:r>
              <w:rPr>
                <w:rFonts w:hint="eastAsia" w:ascii="Times New Roman" w:hAnsi="Times New Roman" w:eastAsia="宋体" w:cs="Times New Roman"/>
                <w:bCs/>
                <w:szCs w:val="21"/>
              </w:rPr>
              <w:t>对周边大气环境影响较小。</w:t>
            </w:r>
          </w:p>
          <w:p>
            <w:pPr>
              <w:pStyle w:val="7"/>
              <w:rPr>
                <w:rFonts w:hint="eastAsia" w:ascii="Times New Roman" w:hAnsi="Times New Roman" w:eastAsia="宋体" w:cs="Times New Roman"/>
                <w:bCs/>
                <w:szCs w:val="21"/>
              </w:rPr>
            </w:pPr>
          </w:p>
          <w:p>
            <w:pPr>
              <w:rPr>
                <w:rFonts w:hint="eastAsia" w:ascii="Times New Roman" w:hAnsi="Times New Roman" w:eastAsia="宋体" w:cs="Times New Roman"/>
                <w:bCs/>
                <w:szCs w:val="21"/>
              </w:rPr>
            </w:pPr>
          </w:p>
          <w:p>
            <w:pPr>
              <w:pStyle w:val="7"/>
              <w:rPr>
                <w:rFonts w:hint="eastAsia" w:ascii="Times New Roman" w:hAnsi="Times New Roman" w:eastAsia="宋体" w:cs="Times New Roman"/>
                <w:bCs/>
                <w:szCs w:val="21"/>
              </w:rPr>
            </w:pPr>
          </w:p>
          <w:p>
            <w:pPr>
              <w:rPr>
                <w:rFonts w:hint="eastAsia" w:ascii="Times New Roman" w:hAnsi="Times New Roman" w:eastAsia="宋体" w:cs="Times New Roman"/>
                <w:bCs/>
                <w:szCs w:val="21"/>
              </w:rPr>
            </w:pPr>
          </w:p>
          <w:p>
            <w:pPr>
              <w:pStyle w:val="7"/>
              <w:rPr>
                <w:rFonts w:hint="eastAsia" w:ascii="Times New Roman" w:hAnsi="Times New Roman" w:eastAsia="宋体" w:cs="Times New Roman"/>
                <w:bCs/>
                <w:szCs w:val="21"/>
              </w:rPr>
            </w:pPr>
          </w:p>
          <w:p>
            <w:pPr>
              <w:rPr>
                <w:rFonts w:hint="eastAsia" w:ascii="Times New Roman" w:hAnsi="Times New Roman" w:eastAsia="宋体" w:cs="Times New Roman"/>
                <w:bCs/>
                <w:szCs w:val="21"/>
              </w:rPr>
            </w:pPr>
          </w:p>
          <w:p>
            <w:pPr>
              <w:pStyle w:val="7"/>
              <w:rPr>
                <w:rFonts w:hint="eastAsia" w:ascii="Times New Roman" w:hAnsi="Times New Roman" w:eastAsia="宋体" w:cs="Times New Roman"/>
                <w:bCs/>
                <w:szCs w:val="21"/>
              </w:rPr>
            </w:pPr>
          </w:p>
          <w:p>
            <w:pPr>
              <w:rPr>
                <w:rFonts w:hint="eastAsia" w:ascii="Times New Roman" w:hAnsi="Times New Roman" w:eastAsia="宋体" w:cs="Times New Roman"/>
                <w:bCs/>
                <w:szCs w:val="21"/>
              </w:rPr>
            </w:pPr>
          </w:p>
          <w:p>
            <w:pPr>
              <w:pStyle w:val="7"/>
              <w:rPr>
                <w:rFonts w:hint="eastAsia" w:ascii="Times New Roman" w:hAnsi="Times New Roman" w:eastAsia="宋体" w:cs="Times New Roman"/>
                <w:bCs/>
                <w:szCs w:val="21"/>
              </w:rPr>
            </w:pPr>
          </w:p>
          <w:p>
            <w:pPr>
              <w:rPr>
                <w:rFonts w:hint="eastAsia" w:ascii="Times New Roman" w:hAnsi="Times New Roman" w:eastAsia="宋体" w:cs="Times New Roman"/>
                <w:bCs/>
                <w:szCs w:val="21"/>
              </w:rPr>
            </w:pPr>
          </w:p>
          <w:p>
            <w:pPr>
              <w:pStyle w:val="7"/>
              <w:rPr>
                <w:rFonts w:hint="eastAsia" w:ascii="Times New Roman" w:hAnsi="Times New Roman" w:eastAsia="宋体" w:cs="Times New Roman"/>
                <w:bCs/>
                <w:szCs w:val="21"/>
              </w:rPr>
            </w:pPr>
          </w:p>
          <w:p>
            <w:pPr>
              <w:rPr>
                <w:rFonts w:hint="eastAsia" w:ascii="Times New Roman" w:hAnsi="Times New Roman" w:eastAsia="宋体" w:cs="Times New Roman"/>
                <w:bCs/>
                <w:szCs w:val="21"/>
              </w:rPr>
            </w:pPr>
          </w:p>
          <w:p>
            <w:pPr>
              <w:pStyle w:val="7"/>
              <w:rPr>
                <w:rFonts w:hint="eastAsia" w:ascii="Times New Roman" w:hAnsi="Times New Roman" w:eastAsia="宋体" w:cs="Times New Roman"/>
                <w:bCs/>
                <w:szCs w:val="21"/>
              </w:rPr>
            </w:pPr>
          </w:p>
          <w:p>
            <w:pPr>
              <w:rPr>
                <w:rFonts w:hint="eastAsia" w:ascii="Times New Roman" w:hAnsi="Times New Roman" w:eastAsia="宋体" w:cs="Times New Roman"/>
                <w:bCs/>
                <w:szCs w:val="21"/>
              </w:rPr>
            </w:pPr>
          </w:p>
          <w:p>
            <w:pPr>
              <w:pStyle w:val="7"/>
              <w:rPr>
                <w:rFonts w:hint="eastAsia" w:ascii="Times New Roman" w:hAnsi="Times New Roman" w:eastAsia="宋体" w:cs="Times New Roman"/>
                <w:bCs/>
                <w:szCs w:val="21"/>
              </w:rPr>
            </w:pPr>
          </w:p>
          <w:p>
            <w:pPr>
              <w:rPr>
                <w:rFonts w:hint="eastAsia" w:ascii="Times New Roman" w:hAnsi="Times New Roman" w:eastAsia="宋体" w:cs="Times New Roman"/>
                <w:bCs/>
                <w:szCs w:val="21"/>
              </w:rPr>
            </w:pPr>
          </w:p>
          <w:p>
            <w:pPr>
              <w:rPr>
                <w:rFonts w:hint="eastAsia" w:ascii="Times New Roman" w:hAnsi="Times New Roman" w:eastAsia="宋体" w:cs="Times New Roman"/>
                <w:bCs/>
                <w:szCs w:val="21"/>
              </w:rPr>
            </w:pPr>
          </w:p>
          <w:p>
            <w:pPr>
              <w:rPr>
                <w:rFonts w:hint="eastAsia" w:ascii="Times New Roman" w:hAnsi="Times New Roman" w:eastAsia="宋体" w:cs="Times New Roman"/>
                <w:bCs/>
                <w:szCs w:val="21"/>
              </w:rPr>
            </w:pPr>
          </w:p>
          <w:p>
            <w:pPr>
              <w:rPr>
                <w:rFonts w:hint="eastAsia" w:ascii="Times New Roman" w:hAnsi="Times New Roman" w:eastAsia="宋体" w:cs="Times New Roman"/>
                <w:bCs/>
                <w:szCs w:val="21"/>
              </w:rPr>
            </w:pPr>
          </w:p>
          <w:p>
            <w:pPr>
              <w:rPr>
                <w:rFonts w:hint="eastAsia" w:ascii="Times New Roman" w:hAnsi="Times New Roman" w:eastAsia="宋体" w:cs="Times New Roman"/>
                <w:bCs/>
                <w:szCs w:val="21"/>
              </w:rPr>
            </w:pPr>
          </w:p>
          <w:p>
            <w:pPr>
              <w:rPr>
                <w:rFonts w:hint="eastAsia" w:ascii="Times New Roman" w:hAnsi="Times New Roman" w:eastAsia="宋体" w:cs="Times New Roman"/>
                <w:bCs/>
                <w:szCs w:val="21"/>
              </w:rPr>
            </w:pPr>
          </w:p>
          <w:p>
            <w:pPr>
              <w:rPr>
                <w:rFonts w:hint="eastAsia" w:ascii="Times New Roman" w:hAnsi="Times New Roman" w:eastAsia="宋体" w:cs="Times New Roman"/>
                <w:bCs/>
                <w:szCs w:val="21"/>
              </w:rPr>
            </w:pPr>
          </w:p>
          <w:p>
            <w:pPr>
              <w:rPr>
                <w:rFonts w:hint="eastAsia" w:ascii="Times New Roman" w:hAnsi="Times New Roman" w:eastAsia="宋体" w:cs="Times New Roman"/>
                <w:bCs/>
                <w:szCs w:val="21"/>
              </w:rPr>
            </w:pPr>
          </w:p>
          <w:p>
            <w:pPr>
              <w:rPr>
                <w:rFonts w:hint="eastAsia" w:ascii="Times New Roman" w:hAnsi="Times New Roman" w:eastAsia="宋体" w:cs="Times New Roman"/>
                <w:bCs/>
                <w:szCs w:val="21"/>
              </w:rPr>
            </w:pPr>
          </w:p>
          <w:p>
            <w:pPr>
              <w:rPr>
                <w:rFonts w:hint="eastAsia" w:ascii="Times New Roman" w:hAnsi="Times New Roman" w:eastAsia="宋体" w:cs="Times New Roman"/>
                <w:bCs/>
                <w:szCs w:val="21"/>
              </w:rPr>
            </w:pPr>
          </w:p>
          <w:p>
            <w:pPr>
              <w:rPr>
                <w:rFonts w:hint="eastAsia" w:ascii="Times New Roman" w:hAnsi="Times New Roman" w:eastAsia="宋体" w:cs="Times New Roman"/>
                <w:bCs/>
                <w:szCs w:val="21"/>
              </w:rPr>
            </w:pPr>
          </w:p>
          <w:p>
            <w:pPr>
              <w:rPr>
                <w:rFonts w:hint="eastAsia" w:ascii="Times New Roman" w:hAnsi="Times New Roman" w:eastAsia="宋体" w:cs="Times New Roman"/>
                <w:bCs/>
                <w:szCs w:val="21"/>
              </w:rPr>
            </w:pPr>
          </w:p>
          <w:p>
            <w:pPr>
              <w:rPr>
                <w:rFonts w:hint="eastAsia" w:ascii="Times New Roman" w:hAnsi="Times New Roman" w:eastAsia="宋体" w:cs="Times New Roman"/>
                <w:bCs/>
                <w:szCs w:val="21"/>
              </w:rPr>
            </w:pPr>
          </w:p>
          <w:p>
            <w:pPr>
              <w:pStyle w:val="7"/>
            </w:pPr>
          </w:p>
        </w:tc>
      </w:tr>
    </w:tbl>
    <w:p>
      <w:pPr>
        <w:pStyle w:val="7"/>
        <w:rPr>
          <w:rFonts w:ascii="Times New Roman" w:hAnsi="Times New Roman" w:eastAsia="楷体_GB2312"/>
          <w:sz w:val="36"/>
          <w:szCs w:val="36"/>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13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3" w:hRule="atLeast"/>
        </w:trPr>
        <w:tc>
          <w:tcPr>
            <w:tcW w:w="699" w:type="dxa"/>
          </w:tcPr>
          <w:p>
            <w:pPr>
              <w:jc w:val="center"/>
              <w:rPr>
                <w:sz w:val="24"/>
                <w:szCs w:val="32"/>
              </w:rPr>
            </w:pPr>
          </w:p>
          <w:p>
            <w:pPr>
              <w:jc w:val="center"/>
              <w:rPr>
                <w:sz w:val="24"/>
                <w:szCs w:val="32"/>
              </w:rPr>
            </w:pPr>
          </w:p>
          <w:p>
            <w:pPr>
              <w:jc w:val="center"/>
              <w:rPr>
                <w:sz w:val="24"/>
                <w:szCs w:val="32"/>
              </w:rPr>
            </w:pPr>
          </w:p>
          <w:p>
            <w:pPr>
              <w:jc w:val="center"/>
              <w:rPr>
                <w:sz w:val="24"/>
                <w:szCs w:val="32"/>
              </w:rPr>
            </w:pPr>
          </w:p>
          <w:p>
            <w:pPr>
              <w:jc w:val="center"/>
              <w:rPr>
                <w:sz w:val="24"/>
                <w:szCs w:val="32"/>
              </w:rPr>
            </w:pPr>
          </w:p>
          <w:p>
            <w:pPr>
              <w:jc w:val="center"/>
              <w:rPr>
                <w:sz w:val="24"/>
                <w:szCs w:val="32"/>
              </w:rPr>
            </w:pPr>
            <w:r>
              <w:rPr>
                <w:sz w:val="24"/>
                <w:szCs w:val="32"/>
              </w:rPr>
              <w:t>运</w:t>
            </w:r>
          </w:p>
          <w:p>
            <w:pPr>
              <w:jc w:val="center"/>
              <w:rPr>
                <w:sz w:val="24"/>
                <w:szCs w:val="32"/>
              </w:rPr>
            </w:pPr>
            <w:r>
              <w:rPr>
                <w:sz w:val="24"/>
                <w:szCs w:val="32"/>
              </w:rPr>
              <w:t>营</w:t>
            </w:r>
          </w:p>
          <w:p>
            <w:pPr>
              <w:jc w:val="center"/>
              <w:rPr>
                <w:sz w:val="24"/>
                <w:szCs w:val="32"/>
              </w:rPr>
            </w:pPr>
            <w:r>
              <w:rPr>
                <w:sz w:val="24"/>
                <w:szCs w:val="32"/>
              </w:rPr>
              <w:t>期</w:t>
            </w:r>
          </w:p>
          <w:p>
            <w:pPr>
              <w:jc w:val="center"/>
              <w:rPr>
                <w:sz w:val="24"/>
                <w:szCs w:val="32"/>
              </w:rPr>
            </w:pPr>
            <w:r>
              <w:rPr>
                <w:sz w:val="24"/>
                <w:szCs w:val="32"/>
              </w:rPr>
              <w:t>环</w:t>
            </w:r>
          </w:p>
          <w:p>
            <w:pPr>
              <w:jc w:val="center"/>
              <w:rPr>
                <w:sz w:val="24"/>
                <w:szCs w:val="32"/>
              </w:rPr>
            </w:pPr>
            <w:r>
              <w:rPr>
                <w:sz w:val="24"/>
                <w:szCs w:val="32"/>
              </w:rPr>
              <w:t>境</w:t>
            </w:r>
          </w:p>
          <w:p>
            <w:pPr>
              <w:jc w:val="center"/>
              <w:rPr>
                <w:sz w:val="24"/>
                <w:szCs w:val="32"/>
              </w:rPr>
            </w:pPr>
            <w:r>
              <w:rPr>
                <w:sz w:val="24"/>
                <w:szCs w:val="32"/>
              </w:rPr>
              <w:t>影</w:t>
            </w:r>
          </w:p>
          <w:p>
            <w:pPr>
              <w:jc w:val="center"/>
              <w:rPr>
                <w:sz w:val="24"/>
                <w:szCs w:val="32"/>
              </w:rPr>
            </w:pPr>
            <w:r>
              <w:rPr>
                <w:sz w:val="24"/>
                <w:szCs w:val="32"/>
              </w:rPr>
              <w:t>响</w:t>
            </w:r>
          </w:p>
          <w:p>
            <w:pPr>
              <w:jc w:val="center"/>
              <w:rPr>
                <w:sz w:val="24"/>
                <w:szCs w:val="32"/>
              </w:rPr>
            </w:pPr>
            <w:r>
              <w:rPr>
                <w:sz w:val="24"/>
                <w:szCs w:val="32"/>
              </w:rPr>
              <w:t>和</w:t>
            </w:r>
          </w:p>
          <w:p>
            <w:pPr>
              <w:jc w:val="center"/>
              <w:rPr>
                <w:sz w:val="24"/>
                <w:szCs w:val="32"/>
              </w:rPr>
            </w:pPr>
            <w:r>
              <w:rPr>
                <w:sz w:val="24"/>
                <w:szCs w:val="32"/>
              </w:rPr>
              <w:t>保</w:t>
            </w:r>
          </w:p>
          <w:p>
            <w:pPr>
              <w:jc w:val="center"/>
              <w:rPr>
                <w:sz w:val="24"/>
                <w:szCs w:val="32"/>
              </w:rPr>
            </w:pPr>
            <w:r>
              <w:rPr>
                <w:sz w:val="24"/>
                <w:szCs w:val="32"/>
              </w:rPr>
              <w:t>护</w:t>
            </w:r>
          </w:p>
          <w:p>
            <w:pPr>
              <w:jc w:val="center"/>
              <w:rPr>
                <w:sz w:val="24"/>
                <w:szCs w:val="32"/>
              </w:rPr>
            </w:pPr>
            <w:r>
              <w:rPr>
                <w:sz w:val="24"/>
                <w:szCs w:val="32"/>
              </w:rPr>
              <w:t>措</w:t>
            </w:r>
          </w:p>
          <w:p>
            <w:pPr>
              <w:jc w:val="center"/>
            </w:pPr>
            <w:r>
              <w:rPr>
                <w:sz w:val="24"/>
                <w:szCs w:val="32"/>
              </w:rPr>
              <w:t>施</w:t>
            </w:r>
          </w:p>
        </w:tc>
        <w:tc>
          <w:tcPr>
            <w:tcW w:w="13475" w:type="dxa"/>
          </w:tcPr>
          <w:p>
            <w:pPr>
              <w:pStyle w:val="7"/>
              <w:rPr>
                <w:rFonts w:ascii="Times New Roman" w:hAnsi="Times New Roman"/>
                <w:b/>
                <w:bCs/>
                <w:color w:val="auto"/>
                <w:sz w:val="21"/>
                <w:szCs w:val="21"/>
              </w:rPr>
            </w:pPr>
            <w:r>
              <w:rPr>
                <w:rFonts w:ascii="Times New Roman" w:hAnsi="Times New Roman"/>
                <w:b/>
                <w:bCs/>
                <w:color w:val="auto"/>
                <w:sz w:val="21"/>
                <w:szCs w:val="21"/>
              </w:rPr>
              <w:t>二、废水</w:t>
            </w:r>
          </w:p>
          <w:p>
            <w:pPr>
              <w:adjustRightInd w:val="0"/>
              <w:snapToGrid w:val="0"/>
              <w:spacing w:line="500" w:lineRule="exact"/>
              <w:ind w:firstLine="420" w:firstLineChars="200"/>
              <w:rPr>
                <w:color w:val="auto"/>
              </w:rPr>
            </w:pPr>
            <w:r>
              <w:rPr>
                <w:bCs/>
                <w:color w:val="auto"/>
                <w:szCs w:val="21"/>
              </w:rPr>
              <w:t>项目新增</w:t>
            </w:r>
            <w:r>
              <w:rPr>
                <w:rFonts w:hint="eastAsia"/>
                <w:bCs/>
                <w:color w:val="auto"/>
                <w:szCs w:val="21"/>
                <w:lang w:eastAsia="zh-CN"/>
              </w:rPr>
              <w:t>员工用水、食堂用水、冷却水</w:t>
            </w:r>
            <w:r>
              <w:rPr>
                <w:bCs/>
                <w:color w:val="auto"/>
                <w:szCs w:val="21"/>
              </w:rPr>
              <w:t>，由市政供水供给。</w:t>
            </w:r>
          </w:p>
          <w:p>
            <w:pPr>
              <w:spacing w:line="500" w:lineRule="exact"/>
              <w:jc w:val="center"/>
              <w:rPr>
                <w:b/>
                <w:bCs/>
              </w:rPr>
            </w:pPr>
            <w:r>
              <w:rPr>
                <w:b/>
                <w:bCs/>
              </w:rPr>
              <w:t>表4-</w:t>
            </w:r>
            <w:r>
              <w:rPr>
                <w:rFonts w:hint="eastAsia"/>
                <w:b/>
                <w:bCs/>
                <w:lang w:val="en-US" w:eastAsia="zh-CN"/>
              </w:rPr>
              <w:t xml:space="preserve">13 </w:t>
            </w:r>
            <w:r>
              <w:rPr>
                <w:b/>
                <w:bCs/>
              </w:rPr>
              <w:t>项目废水污染物源强情况</w:t>
            </w:r>
          </w:p>
          <w:tbl>
            <w:tblPr>
              <w:tblStyle w:val="21"/>
              <w:tblW w:w="1328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13"/>
              <w:gridCol w:w="827"/>
              <w:gridCol w:w="756"/>
              <w:gridCol w:w="885"/>
              <w:gridCol w:w="873"/>
              <w:gridCol w:w="930"/>
              <w:gridCol w:w="815"/>
              <w:gridCol w:w="846"/>
              <w:gridCol w:w="818"/>
              <w:gridCol w:w="601"/>
              <w:gridCol w:w="754"/>
              <w:gridCol w:w="945"/>
              <w:gridCol w:w="810"/>
              <w:gridCol w:w="930"/>
              <w:gridCol w:w="600"/>
              <w:gridCol w:w="624"/>
              <w:gridCol w:w="6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3" w:type="dxa"/>
                  <w:vMerge w:val="restart"/>
                  <w:vAlign w:val="center"/>
                </w:tcPr>
                <w:p>
                  <w:pPr>
                    <w:jc w:val="center"/>
                    <w:textAlignment w:val="center"/>
                    <w:rPr>
                      <w:kern w:val="0"/>
                      <w:sz w:val="18"/>
                      <w:szCs w:val="18"/>
                      <w:lang w:bidi="ar"/>
                    </w:rPr>
                  </w:pPr>
                  <w:bookmarkStart w:id="5" w:name="_Hlk109812299"/>
                  <w:bookmarkStart w:id="6" w:name="OLE_LINK77" w:colFirst="15" w:colLast="17"/>
                  <w:bookmarkStart w:id="7" w:name="OLE_LINK78" w:colFirst="15" w:colLast="17"/>
                  <w:r>
                    <w:rPr>
                      <w:kern w:val="0"/>
                      <w:sz w:val="18"/>
                      <w:szCs w:val="18"/>
                      <w:lang w:bidi="ar"/>
                    </w:rPr>
                    <w:t>产排污环节</w:t>
                  </w:r>
                </w:p>
              </w:tc>
              <w:tc>
                <w:tcPr>
                  <w:tcW w:w="827" w:type="dxa"/>
                  <w:vMerge w:val="restart"/>
                  <w:vAlign w:val="center"/>
                </w:tcPr>
                <w:p>
                  <w:pPr>
                    <w:jc w:val="center"/>
                    <w:textAlignment w:val="center"/>
                    <w:rPr>
                      <w:kern w:val="0"/>
                      <w:sz w:val="18"/>
                      <w:szCs w:val="18"/>
                      <w:lang w:bidi="ar"/>
                    </w:rPr>
                  </w:pPr>
                  <w:r>
                    <w:rPr>
                      <w:kern w:val="0"/>
                      <w:sz w:val="18"/>
                      <w:szCs w:val="18"/>
                      <w:lang w:bidi="ar"/>
                    </w:rPr>
                    <w:t>类别</w:t>
                  </w:r>
                </w:p>
              </w:tc>
              <w:tc>
                <w:tcPr>
                  <w:tcW w:w="756" w:type="dxa"/>
                  <w:vMerge w:val="restart"/>
                  <w:vAlign w:val="center"/>
                </w:tcPr>
                <w:p>
                  <w:pPr>
                    <w:jc w:val="center"/>
                    <w:textAlignment w:val="center"/>
                    <w:rPr>
                      <w:kern w:val="0"/>
                      <w:sz w:val="18"/>
                      <w:szCs w:val="18"/>
                      <w:lang w:bidi="ar"/>
                    </w:rPr>
                  </w:pPr>
                  <w:r>
                    <w:rPr>
                      <w:kern w:val="0"/>
                      <w:sz w:val="18"/>
                      <w:szCs w:val="18"/>
                      <w:lang w:bidi="ar"/>
                    </w:rPr>
                    <w:t>废水</w:t>
                  </w:r>
                </w:p>
                <w:p>
                  <w:pPr>
                    <w:jc w:val="center"/>
                    <w:textAlignment w:val="center"/>
                    <w:rPr>
                      <w:kern w:val="0"/>
                      <w:sz w:val="18"/>
                      <w:szCs w:val="18"/>
                      <w:lang w:bidi="ar"/>
                    </w:rPr>
                  </w:pPr>
                  <w:r>
                    <w:rPr>
                      <w:kern w:val="0"/>
                      <w:sz w:val="18"/>
                      <w:szCs w:val="18"/>
                      <w:lang w:bidi="ar"/>
                    </w:rPr>
                    <w:t>产生量</w:t>
                  </w:r>
                </w:p>
                <w:p>
                  <w:pPr>
                    <w:jc w:val="center"/>
                    <w:textAlignment w:val="center"/>
                    <w:rPr>
                      <w:kern w:val="0"/>
                      <w:sz w:val="18"/>
                      <w:szCs w:val="18"/>
                      <w:lang w:bidi="ar"/>
                    </w:rPr>
                  </w:pPr>
                  <w:r>
                    <w:rPr>
                      <w:kern w:val="0"/>
                      <w:sz w:val="18"/>
                      <w:szCs w:val="18"/>
                      <w:lang w:bidi="ar"/>
                    </w:rPr>
                    <w:t>（t/a）</w:t>
                  </w:r>
                </w:p>
              </w:tc>
              <w:tc>
                <w:tcPr>
                  <w:tcW w:w="885" w:type="dxa"/>
                  <w:vMerge w:val="restart"/>
                  <w:vAlign w:val="center"/>
                </w:tcPr>
                <w:p>
                  <w:pPr>
                    <w:jc w:val="center"/>
                    <w:textAlignment w:val="center"/>
                    <w:rPr>
                      <w:kern w:val="0"/>
                      <w:sz w:val="18"/>
                      <w:szCs w:val="18"/>
                      <w:lang w:bidi="ar"/>
                    </w:rPr>
                  </w:pPr>
                  <w:r>
                    <w:rPr>
                      <w:kern w:val="0"/>
                      <w:sz w:val="18"/>
                      <w:szCs w:val="18"/>
                      <w:lang w:bidi="ar"/>
                    </w:rPr>
                    <w:t>污染物种类</w:t>
                  </w:r>
                </w:p>
              </w:tc>
              <w:tc>
                <w:tcPr>
                  <w:tcW w:w="1803" w:type="dxa"/>
                  <w:gridSpan w:val="2"/>
                  <w:vAlign w:val="center"/>
                </w:tcPr>
                <w:p>
                  <w:pPr>
                    <w:jc w:val="center"/>
                    <w:textAlignment w:val="center"/>
                    <w:rPr>
                      <w:kern w:val="0"/>
                      <w:sz w:val="18"/>
                      <w:szCs w:val="18"/>
                      <w:lang w:bidi="ar"/>
                    </w:rPr>
                  </w:pPr>
                  <w:r>
                    <w:rPr>
                      <w:kern w:val="0"/>
                      <w:sz w:val="18"/>
                      <w:szCs w:val="18"/>
                      <w:lang w:bidi="ar"/>
                    </w:rPr>
                    <w:t>污染物产生情况</w:t>
                  </w:r>
                </w:p>
              </w:tc>
              <w:tc>
                <w:tcPr>
                  <w:tcW w:w="815" w:type="dxa"/>
                  <w:vMerge w:val="restart"/>
                  <w:vAlign w:val="center"/>
                </w:tcPr>
                <w:p>
                  <w:pPr>
                    <w:jc w:val="center"/>
                    <w:textAlignment w:val="center"/>
                    <w:rPr>
                      <w:kern w:val="0"/>
                      <w:sz w:val="18"/>
                      <w:szCs w:val="18"/>
                      <w:lang w:bidi="ar"/>
                    </w:rPr>
                  </w:pPr>
                  <w:r>
                    <w:rPr>
                      <w:kern w:val="0"/>
                      <w:sz w:val="18"/>
                      <w:szCs w:val="18"/>
                      <w:lang w:bidi="ar"/>
                    </w:rPr>
                    <w:t>废水</w:t>
                  </w:r>
                </w:p>
                <w:p>
                  <w:pPr>
                    <w:jc w:val="center"/>
                    <w:textAlignment w:val="center"/>
                    <w:rPr>
                      <w:kern w:val="0"/>
                      <w:sz w:val="18"/>
                      <w:szCs w:val="18"/>
                      <w:lang w:bidi="ar"/>
                    </w:rPr>
                  </w:pPr>
                  <w:r>
                    <w:rPr>
                      <w:kern w:val="0"/>
                      <w:sz w:val="18"/>
                      <w:szCs w:val="18"/>
                      <w:lang w:bidi="ar"/>
                    </w:rPr>
                    <w:t>排放量</w:t>
                  </w:r>
                </w:p>
                <w:p>
                  <w:pPr>
                    <w:jc w:val="center"/>
                    <w:textAlignment w:val="center"/>
                    <w:rPr>
                      <w:kern w:val="0"/>
                      <w:sz w:val="18"/>
                      <w:szCs w:val="18"/>
                      <w:lang w:bidi="ar"/>
                    </w:rPr>
                  </w:pPr>
                  <w:r>
                    <w:rPr>
                      <w:kern w:val="0"/>
                      <w:sz w:val="18"/>
                      <w:szCs w:val="18"/>
                      <w:lang w:bidi="ar"/>
                    </w:rPr>
                    <w:t>（t/a）</w:t>
                  </w:r>
                </w:p>
              </w:tc>
              <w:tc>
                <w:tcPr>
                  <w:tcW w:w="1664" w:type="dxa"/>
                  <w:gridSpan w:val="2"/>
                  <w:vAlign w:val="center"/>
                </w:tcPr>
                <w:p>
                  <w:pPr>
                    <w:jc w:val="center"/>
                    <w:textAlignment w:val="center"/>
                    <w:rPr>
                      <w:kern w:val="0"/>
                      <w:sz w:val="18"/>
                      <w:szCs w:val="18"/>
                      <w:lang w:bidi="ar"/>
                    </w:rPr>
                  </w:pPr>
                  <w:r>
                    <w:rPr>
                      <w:kern w:val="0"/>
                      <w:sz w:val="18"/>
                      <w:szCs w:val="18"/>
                      <w:lang w:bidi="ar"/>
                    </w:rPr>
                    <w:t>污染物排放情况</w:t>
                  </w:r>
                </w:p>
              </w:tc>
              <w:tc>
                <w:tcPr>
                  <w:tcW w:w="4040" w:type="dxa"/>
                  <w:gridSpan w:val="5"/>
                  <w:vAlign w:val="center"/>
                </w:tcPr>
                <w:p>
                  <w:pPr>
                    <w:jc w:val="center"/>
                    <w:textAlignment w:val="center"/>
                    <w:rPr>
                      <w:kern w:val="0"/>
                      <w:sz w:val="18"/>
                      <w:szCs w:val="18"/>
                      <w:lang w:bidi="ar"/>
                    </w:rPr>
                  </w:pPr>
                  <w:r>
                    <w:rPr>
                      <w:kern w:val="0"/>
                      <w:sz w:val="18"/>
                      <w:szCs w:val="18"/>
                      <w:lang w:bidi="ar"/>
                    </w:rPr>
                    <w:t>治理设施情况</w:t>
                  </w:r>
                </w:p>
              </w:tc>
              <w:tc>
                <w:tcPr>
                  <w:tcW w:w="600" w:type="dxa"/>
                  <w:vMerge w:val="restart"/>
                  <w:vAlign w:val="center"/>
                </w:tcPr>
                <w:p>
                  <w:pPr>
                    <w:jc w:val="center"/>
                    <w:textAlignment w:val="center"/>
                    <w:rPr>
                      <w:kern w:val="0"/>
                      <w:sz w:val="18"/>
                      <w:szCs w:val="18"/>
                      <w:lang w:bidi="ar"/>
                    </w:rPr>
                  </w:pPr>
                  <w:r>
                    <w:rPr>
                      <w:kern w:val="0"/>
                      <w:sz w:val="18"/>
                      <w:szCs w:val="18"/>
                      <w:lang w:bidi="ar"/>
                    </w:rPr>
                    <w:t>排放</w:t>
                  </w:r>
                </w:p>
                <w:p>
                  <w:pPr>
                    <w:jc w:val="center"/>
                    <w:textAlignment w:val="center"/>
                    <w:rPr>
                      <w:kern w:val="0"/>
                      <w:sz w:val="18"/>
                      <w:szCs w:val="18"/>
                      <w:lang w:bidi="ar"/>
                    </w:rPr>
                  </w:pPr>
                  <w:r>
                    <w:rPr>
                      <w:kern w:val="0"/>
                      <w:sz w:val="18"/>
                      <w:szCs w:val="18"/>
                      <w:lang w:bidi="ar"/>
                    </w:rPr>
                    <w:t>方式</w:t>
                  </w:r>
                </w:p>
              </w:tc>
              <w:tc>
                <w:tcPr>
                  <w:tcW w:w="624" w:type="dxa"/>
                  <w:vMerge w:val="restart"/>
                  <w:vAlign w:val="center"/>
                </w:tcPr>
                <w:p>
                  <w:pPr>
                    <w:jc w:val="center"/>
                    <w:textAlignment w:val="center"/>
                    <w:rPr>
                      <w:kern w:val="0"/>
                      <w:sz w:val="18"/>
                      <w:szCs w:val="18"/>
                      <w:lang w:bidi="ar"/>
                    </w:rPr>
                  </w:pPr>
                  <w:r>
                    <w:rPr>
                      <w:kern w:val="0"/>
                      <w:sz w:val="18"/>
                      <w:szCs w:val="18"/>
                      <w:lang w:bidi="ar"/>
                    </w:rPr>
                    <w:t>排放</w:t>
                  </w:r>
                </w:p>
                <w:p>
                  <w:pPr>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去向</w:t>
                  </w:r>
                </w:p>
              </w:tc>
              <w:tc>
                <w:tcPr>
                  <w:tcW w:w="661" w:type="dxa"/>
                  <w:vMerge w:val="restart"/>
                  <w:vAlign w:val="center"/>
                </w:tcPr>
                <w:p>
                  <w:pPr>
                    <w:jc w:val="center"/>
                    <w:textAlignment w:val="center"/>
                    <w:rPr>
                      <w:kern w:val="0"/>
                      <w:sz w:val="18"/>
                      <w:szCs w:val="18"/>
                      <w:lang w:bidi="ar"/>
                    </w:rPr>
                  </w:pPr>
                  <w:r>
                    <w:rPr>
                      <w:kern w:val="0"/>
                      <w:sz w:val="18"/>
                      <w:szCs w:val="18"/>
                      <w:lang w:bidi="ar"/>
                    </w:rPr>
                    <w:t>排放</w:t>
                  </w:r>
                </w:p>
                <w:p>
                  <w:pPr>
                    <w:jc w:val="center"/>
                    <w:textAlignment w:val="center"/>
                    <w:rPr>
                      <w:rFonts w:ascii="Times New Roman" w:hAnsi="Times New Roman" w:eastAsia="宋体" w:cs="Times New Roman"/>
                      <w:kern w:val="0"/>
                      <w:sz w:val="18"/>
                      <w:szCs w:val="18"/>
                      <w:lang w:val="en-US" w:eastAsia="zh-CN" w:bidi="ar"/>
                    </w:rPr>
                  </w:pPr>
                  <w:r>
                    <w:rPr>
                      <w:kern w:val="0"/>
                      <w:sz w:val="18"/>
                      <w:szCs w:val="18"/>
                      <w:lang w:bidi="ar"/>
                    </w:rPr>
                    <w:t>规律</w:t>
                  </w:r>
                </w:p>
              </w:tc>
            </w:tr>
            <w:bookmarkEnd w:id="5"/>
            <w:bookmarkEnd w:id="6"/>
            <w:bookmarkEnd w:id="7"/>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613" w:type="dxa"/>
                  <w:vMerge w:val="continue"/>
                  <w:vAlign w:val="center"/>
                </w:tcPr>
                <w:p>
                  <w:pPr>
                    <w:jc w:val="center"/>
                    <w:textAlignment w:val="center"/>
                    <w:rPr>
                      <w:kern w:val="0"/>
                      <w:sz w:val="18"/>
                      <w:szCs w:val="18"/>
                      <w:lang w:bidi="ar"/>
                    </w:rPr>
                  </w:pPr>
                </w:p>
              </w:tc>
              <w:tc>
                <w:tcPr>
                  <w:tcW w:w="827" w:type="dxa"/>
                  <w:vMerge w:val="continue"/>
                  <w:vAlign w:val="center"/>
                </w:tcPr>
                <w:p>
                  <w:pPr>
                    <w:jc w:val="center"/>
                    <w:textAlignment w:val="center"/>
                    <w:rPr>
                      <w:kern w:val="0"/>
                      <w:sz w:val="18"/>
                      <w:szCs w:val="18"/>
                      <w:lang w:bidi="ar"/>
                    </w:rPr>
                  </w:pPr>
                </w:p>
              </w:tc>
              <w:tc>
                <w:tcPr>
                  <w:tcW w:w="756" w:type="dxa"/>
                  <w:vMerge w:val="continue"/>
                  <w:vAlign w:val="center"/>
                </w:tcPr>
                <w:p>
                  <w:pPr>
                    <w:jc w:val="center"/>
                    <w:textAlignment w:val="center"/>
                    <w:rPr>
                      <w:kern w:val="0"/>
                      <w:sz w:val="18"/>
                      <w:szCs w:val="18"/>
                      <w:lang w:bidi="ar"/>
                    </w:rPr>
                  </w:pPr>
                </w:p>
              </w:tc>
              <w:tc>
                <w:tcPr>
                  <w:tcW w:w="885" w:type="dxa"/>
                  <w:vMerge w:val="continue"/>
                  <w:vAlign w:val="center"/>
                </w:tcPr>
                <w:p>
                  <w:pPr>
                    <w:jc w:val="center"/>
                    <w:textAlignment w:val="center"/>
                    <w:rPr>
                      <w:kern w:val="0"/>
                      <w:sz w:val="18"/>
                      <w:szCs w:val="18"/>
                      <w:lang w:bidi="ar"/>
                    </w:rPr>
                  </w:pPr>
                </w:p>
              </w:tc>
              <w:tc>
                <w:tcPr>
                  <w:tcW w:w="873" w:type="dxa"/>
                  <w:vAlign w:val="center"/>
                </w:tcPr>
                <w:p>
                  <w:pPr>
                    <w:jc w:val="center"/>
                    <w:textAlignment w:val="center"/>
                    <w:rPr>
                      <w:kern w:val="0"/>
                      <w:sz w:val="18"/>
                      <w:szCs w:val="18"/>
                      <w:lang w:bidi="ar"/>
                    </w:rPr>
                  </w:pPr>
                  <w:r>
                    <w:rPr>
                      <w:kern w:val="0"/>
                      <w:sz w:val="18"/>
                      <w:szCs w:val="18"/>
                      <w:lang w:bidi="ar"/>
                    </w:rPr>
                    <w:t>产生浓度mg/L</w:t>
                  </w:r>
                </w:p>
              </w:tc>
              <w:tc>
                <w:tcPr>
                  <w:tcW w:w="930" w:type="dxa"/>
                  <w:vAlign w:val="center"/>
                </w:tcPr>
                <w:p>
                  <w:pPr>
                    <w:jc w:val="center"/>
                    <w:textAlignment w:val="center"/>
                    <w:rPr>
                      <w:kern w:val="0"/>
                      <w:sz w:val="18"/>
                      <w:szCs w:val="18"/>
                      <w:lang w:bidi="ar"/>
                    </w:rPr>
                  </w:pPr>
                  <w:r>
                    <w:rPr>
                      <w:kern w:val="0"/>
                      <w:sz w:val="18"/>
                      <w:szCs w:val="18"/>
                      <w:lang w:bidi="ar"/>
                    </w:rPr>
                    <w:t>产生量</w:t>
                  </w:r>
                </w:p>
                <w:p>
                  <w:pPr>
                    <w:jc w:val="center"/>
                    <w:textAlignment w:val="center"/>
                    <w:rPr>
                      <w:kern w:val="0"/>
                      <w:sz w:val="18"/>
                      <w:szCs w:val="18"/>
                      <w:lang w:bidi="ar"/>
                    </w:rPr>
                  </w:pPr>
                  <w:r>
                    <w:rPr>
                      <w:kern w:val="0"/>
                      <w:sz w:val="18"/>
                      <w:szCs w:val="18"/>
                      <w:lang w:bidi="ar"/>
                    </w:rPr>
                    <w:t>（t/a）</w:t>
                  </w:r>
                </w:p>
              </w:tc>
              <w:tc>
                <w:tcPr>
                  <w:tcW w:w="815" w:type="dxa"/>
                  <w:vMerge w:val="continue"/>
                  <w:vAlign w:val="center"/>
                </w:tcPr>
                <w:p>
                  <w:pPr>
                    <w:jc w:val="center"/>
                    <w:textAlignment w:val="center"/>
                    <w:rPr>
                      <w:kern w:val="0"/>
                      <w:sz w:val="18"/>
                      <w:szCs w:val="18"/>
                      <w:lang w:bidi="ar"/>
                    </w:rPr>
                  </w:pPr>
                </w:p>
              </w:tc>
              <w:tc>
                <w:tcPr>
                  <w:tcW w:w="846" w:type="dxa"/>
                  <w:vAlign w:val="center"/>
                </w:tcPr>
                <w:p>
                  <w:pPr>
                    <w:jc w:val="center"/>
                    <w:textAlignment w:val="center"/>
                    <w:rPr>
                      <w:kern w:val="0"/>
                      <w:sz w:val="18"/>
                      <w:szCs w:val="18"/>
                      <w:lang w:bidi="ar"/>
                    </w:rPr>
                  </w:pPr>
                  <w:r>
                    <w:rPr>
                      <w:kern w:val="0"/>
                      <w:sz w:val="18"/>
                      <w:szCs w:val="18"/>
                      <w:lang w:bidi="ar"/>
                    </w:rPr>
                    <w:t>排放浓度mg/L</w:t>
                  </w:r>
                </w:p>
              </w:tc>
              <w:tc>
                <w:tcPr>
                  <w:tcW w:w="818" w:type="dxa"/>
                  <w:vAlign w:val="center"/>
                </w:tcPr>
                <w:p>
                  <w:pPr>
                    <w:jc w:val="center"/>
                    <w:textAlignment w:val="center"/>
                    <w:rPr>
                      <w:kern w:val="0"/>
                      <w:sz w:val="18"/>
                      <w:szCs w:val="18"/>
                      <w:lang w:bidi="ar"/>
                    </w:rPr>
                  </w:pPr>
                  <w:r>
                    <w:rPr>
                      <w:kern w:val="0"/>
                      <w:sz w:val="18"/>
                      <w:szCs w:val="18"/>
                      <w:lang w:bidi="ar"/>
                    </w:rPr>
                    <w:t>排放量</w:t>
                  </w:r>
                </w:p>
                <w:p>
                  <w:pPr>
                    <w:jc w:val="center"/>
                    <w:textAlignment w:val="center"/>
                    <w:rPr>
                      <w:kern w:val="0"/>
                      <w:sz w:val="18"/>
                      <w:szCs w:val="18"/>
                      <w:lang w:bidi="ar"/>
                    </w:rPr>
                  </w:pPr>
                  <w:r>
                    <w:rPr>
                      <w:kern w:val="0"/>
                      <w:sz w:val="18"/>
                      <w:szCs w:val="18"/>
                      <w:lang w:bidi="ar"/>
                    </w:rPr>
                    <w:t>（t/a）</w:t>
                  </w:r>
                </w:p>
              </w:tc>
              <w:tc>
                <w:tcPr>
                  <w:tcW w:w="601" w:type="dxa"/>
                  <w:vAlign w:val="center"/>
                </w:tcPr>
                <w:p>
                  <w:pPr>
                    <w:jc w:val="center"/>
                    <w:textAlignment w:val="center"/>
                    <w:rPr>
                      <w:kern w:val="0"/>
                      <w:sz w:val="18"/>
                      <w:szCs w:val="18"/>
                      <w:lang w:bidi="ar"/>
                    </w:rPr>
                  </w:pPr>
                  <w:r>
                    <w:rPr>
                      <w:kern w:val="0"/>
                      <w:sz w:val="18"/>
                      <w:szCs w:val="18"/>
                      <w:lang w:bidi="ar"/>
                    </w:rPr>
                    <w:t>治理</w:t>
                  </w:r>
                </w:p>
                <w:p>
                  <w:pPr>
                    <w:jc w:val="center"/>
                    <w:textAlignment w:val="center"/>
                    <w:rPr>
                      <w:kern w:val="0"/>
                      <w:sz w:val="18"/>
                      <w:szCs w:val="18"/>
                      <w:lang w:bidi="ar"/>
                    </w:rPr>
                  </w:pPr>
                  <w:r>
                    <w:rPr>
                      <w:kern w:val="0"/>
                      <w:sz w:val="18"/>
                      <w:szCs w:val="18"/>
                      <w:lang w:bidi="ar"/>
                    </w:rPr>
                    <w:t>设施</w:t>
                  </w:r>
                </w:p>
              </w:tc>
              <w:tc>
                <w:tcPr>
                  <w:tcW w:w="754" w:type="dxa"/>
                  <w:vAlign w:val="center"/>
                </w:tcPr>
                <w:p>
                  <w:pPr>
                    <w:jc w:val="center"/>
                    <w:textAlignment w:val="center"/>
                    <w:rPr>
                      <w:kern w:val="0"/>
                      <w:sz w:val="18"/>
                      <w:szCs w:val="18"/>
                      <w:lang w:bidi="ar"/>
                    </w:rPr>
                  </w:pPr>
                  <w:r>
                    <w:rPr>
                      <w:kern w:val="0"/>
                      <w:sz w:val="18"/>
                      <w:szCs w:val="18"/>
                      <w:lang w:bidi="ar"/>
                    </w:rPr>
                    <w:t>处理</w:t>
                  </w:r>
                </w:p>
                <w:p>
                  <w:pPr>
                    <w:jc w:val="center"/>
                    <w:textAlignment w:val="center"/>
                    <w:rPr>
                      <w:kern w:val="0"/>
                      <w:sz w:val="18"/>
                      <w:szCs w:val="18"/>
                      <w:lang w:bidi="ar"/>
                    </w:rPr>
                  </w:pPr>
                  <w:r>
                    <w:rPr>
                      <w:kern w:val="0"/>
                      <w:sz w:val="18"/>
                      <w:szCs w:val="18"/>
                      <w:lang w:bidi="ar"/>
                    </w:rPr>
                    <w:t>能力t/d</w:t>
                  </w:r>
                </w:p>
              </w:tc>
              <w:tc>
                <w:tcPr>
                  <w:tcW w:w="945" w:type="dxa"/>
                  <w:vAlign w:val="center"/>
                </w:tcPr>
                <w:p>
                  <w:pPr>
                    <w:jc w:val="center"/>
                    <w:textAlignment w:val="center"/>
                    <w:rPr>
                      <w:kern w:val="0"/>
                      <w:sz w:val="18"/>
                      <w:szCs w:val="18"/>
                      <w:lang w:bidi="ar"/>
                    </w:rPr>
                  </w:pPr>
                  <w:r>
                    <w:rPr>
                      <w:kern w:val="0"/>
                      <w:sz w:val="18"/>
                      <w:szCs w:val="18"/>
                      <w:lang w:bidi="ar"/>
                    </w:rPr>
                    <w:t>治理</w:t>
                  </w:r>
                </w:p>
                <w:p>
                  <w:pPr>
                    <w:jc w:val="center"/>
                    <w:textAlignment w:val="center"/>
                    <w:rPr>
                      <w:kern w:val="0"/>
                      <w:sz w:val="18"/>
                      <w:szCs w:val="18"/>
                      <w:lang w:bidi="ar"/>
                    </w:rPr>
                  </w:pPr>
                  <w:r>
                    <w:rPr>
                      <w:kern w:val="0"/>
                      <w:sz w:val="18"/>
                      <w:szCs w:val="18"/>
                      <w:lang w:bidi="ar"/>
                    </w:rPr>
                    <w:t>工艺</w:t>
                  </w:r>
                </w:p>
              </w:tc>
              <w:tc>
                <w:tcPr>
                  <w:tcW w:w="810" w:type="dxa"/>
                  <w:vAlign w:val="center"/>
                </w:tcPr>
                <w:p>
                  <w:pPr>
                    <w:jc w:val="center"/>
                    <w:textAlignment w:val="center"/>
                    <w:rPr>
                      <w:kern w:val="0"/>
                      <w:sz w:val="18"/>
                      <w:szCs w:val="18"/>
                      <w:lang w:bidi="ar"/>
                    </w:rPr>
                  </w:pPr>
                  <w:r>
                    <w:rPr>
                      <w:kern w:val="0"/>
                      <w:sz w:val="18"/>
                      <w:szCs w:val="18"/>
                      <w:lang w:bidi="ar"/>
                    </w:rPr>
                    <w:t>治理效率（%）</w:t>
                  </w:r>
                </w:p>
              </w:tc>
              <w:tc>
                <w:tcPr>
                  <w:tcW w:w="930" w:type="dxa"/>
                  <w:vAlign w:val="center"/>
                </w:tcPr>
                <w:p>
                  <w:pPr>
                    <w:jc w:val="center"/>
                    <w:textAlignment w:val="center"/>
                    <w:rPr>
                      <w:kern w:val="0"/>
                      <w:sz w:val="18"/>
                      <w:szCs w:val="18"/>
                      <w:lang w:bidi="ar"/>
                    </w:rPr>
                  </w:pPr>
                  <w:r>
                    <w:rPr>
                      <w:kern w:val="0"/>
                      <w:sz w:val="18"/>
                      <w:szCs w:val="18"/>
                      <w:lang w:bidi="ar"/>
                    </w:rPr>
                    <w:t>是否为可行技术</w:t>
                  </w:r>
                </w:p>
              </w:tc>
              <w:tc>
                <w:tcPr>
                  <w:tcW w:w="600" w:type="dxa"/>
                  <w:vMerge w:val="continue"/>
                  <w:vAlign w:val="center"/>
                </w:tcPr>
                <w:p>
                  <w:pPr>
                    <w:jc w:val="center"/>
                    <w:textAlignment w:val="center"/>
                    <w:rPr>
                      <w:kern w:val="0"/>
                      <w:sz w:val="18"/>
                      <w:szCs w:val="18"/>
                      <w:lang w:bidi="ar"/>
                    </w:rPr>
                  </w:pPr>
                </w:p>
              </w:tc>
              <w:tc>
                <w:tcPr>
                  <w:tcW w:w="624" w:type="dxa"/>
                  <w:vMerge w:val="continue"/>
                  <w:shd w:val="clear" w:color="auto" w:fill="auto"/>
                  <w:vAlign w:val="center"/>
                </w:tcPr>
                <w:p>
                  <w:pPr>
                    <w:jc w:val="center"/>
                    <w:textAlignment w:val="center"/>
                    <w:rPr>
                      <w:rFonts w:ascii="Times New Roman" w:hAnsi="Times New Roman" w:eastAsia="宋体" w:cs="Times New Roman"/>
                      <w:kern w:val="0"/>
                      <w:sz w:val="18"/>
                      <w:szCs w:val="18"/>
                      <w:lang w:val="en-US" w:eastAsia="zh-CN" w:bidi="ar"/>
                    </w:rPr>
                  </w:pPr>
                </w:p>
              </w:tc>
              <w:tc>
                <w:tcPr>
                  <w:tcW w:w="661" w:type="dxa"/>
                  <w:vMerge w:val="continue"/>
                  <w:shd w:val="clear" w:color="auto" w:fill="auto"/>
                  <w:vAlign w:val="center"/>
                </w:tcPr>
                <w:p>
                  <w:pPr>
                    <w:jc w:val="center"/>
                    <w:textAlignment w:val="center"/>
                    <w:rPr>
                      <w:rFonts w:ascii="Times New Roman" w:hAnsi="Times New Roman" w:eastAsia="宋体" w:cs="Times New Roman"/>
                      <w:kern w:val="0"/>
                      <w:sz w:val="18"/>
                      <w:szCs w:val="18"/>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613" w:type="dxa"/>
                  <w:vMerge w:val="restar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rPr>
                      <w:kern w:val="0"/>
                      <w:sz w:val="18"/>
                      <w:szCs w:val="18"/>
                      <w:lang w:bidi="ar"/>
                    </w:rPr>
                  </w:pPr>
                  <w:r>
                    <w:rPr>
                      <w:rFonts w:hint="eastAsia" w:ascii="Times New Roman" w:hAnsi="Times New Roman" w:eastAsia="宋体" w:cs="Times New Roman"/>
                      <w:sz w:val="18"/>
                      <w:szCs w:val="18"/>
                      <w:lang w:eastAsia="zh-CN"/>
                    </w:rPr>
                    <w:t>员工</w:t>
                  </w:r>
                  <w:r>
                    <w:rPr>
                      <w:rFonts w:hint="default" w:ascii="Times New Roman" w:hAnsi="Times New Roman" w:eastAsia="宋体" w:cs="Times New Roman"/>
                      <w:sz w:val="18"/>
                      <w:szCs w:val="18"/>
                    </w:rPr>
                    <w:t>生活</w:t>
                  </w:r>
                </w:p>
              </w:tc>
              <w:tc>
                <w:tcPr>
                  <w:tcW w:w="827" w:type="dxa"/>
                  <w:vMerge w:val="restar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rPr>
                      <w:kern w:val="0"/>
                      <w:sz w:val="18"/>
                      <w:szCs w:val="18"/>
                      <w:lang w:bidi="ar"/>
                    </w:rPr>
                  </w:pPr>
                  <w:r>
                    <w:rPr>
                      <w:rFonts w:hint="default" w:ascii="Times New Roman" w:hAnsi="Times New Roman" w:eastAsia="宋体" w:cs="Times New Roman"/>
                      <w:sz w:val="18"/>
                      <w:szCs w:val="18"/>
                    </w:rPr>
                    <w:t>生活污水</w:t>
                  </w:r>
                </w:p>
              </w:tc>
              <w:tc>
                <w:tcPr>
                  <w:tcW w:w="756" w:type="dxa"/>
                  <w:vMerge w:val="restart"/>
                  <w:vAlign w:val="center"/>
                </w:tcPr>
                <w:p>
                  <w:pPr>
                    <w:jc w:val="center"/>
                    <w:textAlignment w:val="center"/>
                    <w:rPr>
                      <w:rFonts w:hint="default" w:eastAsia="宋体"/>
                      <w:kern w:val="0"/>
                      <w:sz w:val="18"/>
                      <w:szCs w:val="18"/>
                      <w:lang w:val="en-US" w:eastAsia="zh-CN" w:bidi="ar"/>
                    </w:rPr>
                  </w:pPr>
                  <w:r>
                    <w:rPr>
                      <w:rFonts w:hint="eastAsia"/>
                      <w:kern w:val="0"/>
                      <w:sz w:val="18"/>
                      <w:szCs w:val="18"/>
                      <w:lang w:val="en-US" w:eastAsia="zh-CN" w:bidi="ar"/>
                    </w:rPr>
                    <w:t>2880</w:t>
                  </w:r>
                </w:p>
              </w:tc>
              <w:tc>
                <w:tcPr>
                  <w:tcW w:w="885" w:type="dxa"/>
                  <w:shd w:val="clear" w:color="auto" w:fill="auto"/>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0"/>
                      <w:kern w:val="0"/>
                      <w:sz w:val="18"/>
                      <w:szCs w:val="18"/>
                      <w:lang w:val="en-US" w:eastAsia="zh-CN" w:bidi="ar-SA"/>
                    </w:rPr>
                  </w:pPr>
                  <w:r>
                    <w:rPr>
                      <w:rFonts w:hint="default" w:ascii="Times New Roman" w:hAnsi="Times New Roman" w:eastAsia="宋体" w:cs="Times New Roman"/>
                      <w:color w:val="auto"/>
                      <w:sz w:val="18"/>
                      <w:szCs w:val="18"/>
                    </w:rPr>
                    <w:t>COD</w:t>
                  </w:r>
                </w:p>
              </w:tc>
              <w:tc>
                <w:tcPr>
                  <w:tcW w:w="873" w:type="dxa"/>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3</w:t>
                  </w:r>
                  <w:r>
                    <w:rPr>
                      <w:rFonts w:hint="eastAsia" w:ascii="Times New Roman" w:hAnsi="Times New Roman" w:eastAsia="宋体" w:cs="Times New Roman"/>
                      <w:i w:val="0"/>
                      <w:iCs w:val="0"/>
                      <w:color w:val="auto"/>
                      <w:kern w:val="0"/>
                      <w:sz w:val="18"/>
                      <w:szCs w:val="18"/>
                      <w:u w:val="none"/>
                      <w:lang w:val="en-US" w:eastAsia="zh-CN" w:bidi="ar"/>
                    </w:rPr>
                    <w:t>5</w:t>
                  </w:r>
                  <w:r>
                    <w:rPr>
                      <w:rFonts w:hint="default" w:ascii="Times New Roman" w:hAnsi="Times New Roman" w:eastAsia="宋体" w:cs="Times New Roman"/>
                      <w:i w:val="0"/>
                      <w:iCs w:val="0"/>
                      <w:color w:val="auto"/>
                      <w:kern w:val="0"/>
                      <w:sz w:val="18"/>
                      <w:szCs w:val="18"/>
                      <w:u w:val="none"/>
                      <w:lang w:val="en-US" w:eastAsia="zh-CN" w:bidi="ar"/>
                    </w:rPr>
                    <w:t>0</w:t>
                  </w:r>
                </w:p>
              </w:tc>
              <w:tc>
                <w:tcPr>
                  <w:tcW w:w="930" w:type="dxa"/>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 xml:space="preserve">1.0080 </w:t>
                  </w:r>
                </w:p>
              </w:tc>
              <w:tc>
                <w:tcPr>
                  <w:tcW w:w="815" w:type="dxa"/>
                  <w:vMerge w:val="restart"/>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2880</w:t>
                  </w:r>
                </w:p>
              </w:tc>
              <w:tc>
                <w:tcPr>
                  <w:tcW w:w="846" w:type="dxa"/>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300</w:t>
                  </w:r>
                </w:p>
              </w:tc>
              <w:tc>
                <w:tcPr>
                  <w:tcW w:w="818" w:type="dxa"/>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 xml:space="preserve">0.8640 </w:t>
                  </w:r>
                </w:p>
              </w:tc>
              <w:tc>
                <w:tcPr>
                  <w:tcW w:w="601" w:type="dxa"/>
                  <w:vMerge w:val="restart"/>
                  <w:vAlign w:val="center"/>
                </w:tcPr>
                <w:p>
                  <w:pPr>
                    <w:jc w:val="center"/>
                    <w:textAlignment w:val="center"/>
                    <w:rPr>
                      <w:rFonts w:hint="eastAsia" w:eastAsia="宋体"/>
                      <w:kern w:val="0"/>
                      <w:sz w:val="18"/>
                      <w:szCs w:val="18"/>
                      <w:lang w:eastAsia="zh-CN" w:bidi="ar"/>
                    </w:rPr>
                  </w:pPr>
                  <w:r>
                    <w:rPr>
                      <w:rFonts w:hint="default" w:ascii="Times New Roman" w:hAnsi="Times New Roman" w:eastAsia="宋体" w:cs="Times New Roman"/>
                      <w:sz w:val="18"/>
                      <w:szCs w:val="18"/>
                      <w:lang w:eastAsia="zh-CN"/>
                    </w:rPr>
                    <w:t>隔油池、</w:t>
                  </w:r>
                  <w:r>
                    <w:rPr>
                      <w:rFonts w:hint="default" w:ascii="Times New Roman" w:hAnsi="Times New Roman" w:eastAsia="宋体" w:cs="Times New Roman"/>
                      <w:sz w:val="18"/>
                      <w:szCs w:val="18"/>
                    </w:rPr>
                    <w:t>化粪池</w:t>
                  </w:r>
                </w:p>
              </w:tc>
              <w:tc>
                <w:tcPr>
                  <w:tcW w:w="754" w:type="dxa"/>
                  <w:vMerge w:val="restart"/>
                  <w:vAlign w:val="center"/>
                </w:tcPr>
                <w:p>
                  <w:pPr>
                    <w:jc w:val="center"/>
                    <w:textAlignment w:val="center"/>
                    <w:rPr>
                      <w:rFonts w:hint="default" w:eastAsia="宋体"/>
                      <w:kern w:val="0"/>
                      <w:sz w:val="18"/>
                      <w:szCs w:val="18"/>
                      <w:lang w:val="en-US" w:eastAsia="zh-CN" w:bidi="ar"/>
                    </w:rPr>
                  </w:pPr>
                  <w:r>
                    <w:rPr>
                      <w:rFonts w:hint="eastAsia"/>
                      <w:color w:val="auto"/>
                      <w:kern w:val="0"/>
                      <w:sz w:val="18"/>
                      <w:szCs w:val="18"/>
                      <w:lang w:val="en-US" w:eastAsia="zh-CN" w:bidi="ar"/>
                    </w:rPr>
                    <w:t>5m</w:t>
                  </w:r>
                  <w:r>
                    <w:rPr>
                      <w:rFonts w:hint="eastAsia"/>
                      <w:color w:val="auto"/>
                      <w:kern w:val="0"/>
                      <w:sz w:val="18"/>
                      <w:szCs w:val="18"/>
                      <w:vertAlign w:val="superscript"/>
                      <w:lang w:val="en-US" w:eastAsia="zh-CN" w:bidi="ar"/>
                    </w:rPr>
                    <w:t>3</w:t>
                  </w:r>
                  <w:r>
                    <w:rPr>
                      <w:rFonts w:hint="eastAsia"/>
                      <w:color w:val="auto"/>
                      <w:kern w:val="0"/>
                      <w:sz w:val="18"/>
                      <w:szCs w:val="18"/>
                      <w:lang w:val="en-US" w:eastAsia="zh-CN" w:bidi="ar"/>
                    </w:rPr>
                    <w:t>/h</w:t>
                  </w:r>
                </w:p>
              </w:tc>
              <w:tc>
                <w:tcPr>
                  <w:tcW w:w="945" w:type="dxa"/>
                  <w:vMerge w:val="restart"/>
                  <w:vAlign w:val="center"/>
                </w:tcPr>
                <w:p>
                  <w:pPr>
                    <w:jc w:val="center"/>
                    <w:textAlignment w:val="center"/>
                    <w:rPr>
                      <w:rFonts w:hint="eastAsia" w:eastAsia="宋体"/>
                      <w:kern w:val="0"/>
                      <w:sz w:val="18"/>
                      <w:szCs w:val="18"/>
                      <w:lang w:eastAsia="zh-CN" w:bidi="ar"/>
                    </w:rPr>
                  </w:pPr>
                  <w:r>
                    <w:rPr>
                      <w:rFonts w:hint="default" w:ascii="Times New Roman" w:hAnsi="Times New Roman" w:eastAsia="宋体" w:cs="Times New Roman"/>
                      <w:sz w:val="18"/>
                      <w:szCs w:val="18"/>
                    </w:rPr>
                    <w:t>厌氧发酵沉淀</w:t>
                  </w:r>
                </w:p>
              </w:tc>
              <w:tc>
                <w:tcPr>
                  <w:tcW w:w="810" w:type="dxa"/>
                  <w:vAlign w:val="center"/>
                </w:tcPr>
                <w:p>
                  <w:pPr>
                    <w:jc w:val="center"/>
                    <w:textAlignment w:val="center"/>
                    <w:rPr>
                      <w:rFonts w:hint="default" w:eastAsia="宋体"/>
                      <w:kern w:val="0"/>
                      <w:sz w:val="18"/>
                      <w:szCs w:val="18"/>
                      <w:lang w:val="en-US" w:eastAsia="zh-CN" w:bidi="ar"/>
                    </w:rPr>
                  </w:pPr>
                  <w:r>
                    <w:rPr>
                      <w:rFonts w:hint="eastAsia"/>
                      <w:kern w:val="0"/>
                      <w:sz w:val="18"/>
                      <w:szCs w:val="18"/>
                      <w:lang w:val="en-US" w:eastAsia="zh-CN" w:bidi="ar"/>
                    </w:rPr>
                    <w:t>14</w:t>
                  </w:r>
                </w:p>
              </w:tc>
              <w:tc>
                <w:tcPr>
                  <w:tcW w:w="930" w:type="dxa"/>
                  <w:vMerge w:val="restart"/>
                  <w:vAlign w:val="center"/>
                </w:tcPr>
                <w:p>
                  <w:pPr>
                    <w:jc w:val="center"/>
                    <w:textAlignment w:val="center"/>
                    <w:rPr>
                      <w:rFonts w:hint="eastAsia" w:ascii="Times New Roman" w:hAnsi="Times New Roman" w:eastAsia="宋体" w:cs="Times New Roman"/>
                      <w:kern w:val="0"/>
                      <w:sz w:val="18"/>
                      <w:szCs w:val="18"/>
                      <w:lang w:val="en-US" w:eastAsia="zh-CN" w:bidi="ar"/>
                    </w:rPr>
                  </w:pPr>
                  <w:r>
                    <w:rPr>
                      <w:rFonts w:hint="eastAsia"/>
                      <w:kern w:val="0"/>
                      <w:sz w:val="18"/>
                      <w:szCs w:val="18"/>
                      <w:lang w:eastAsia="zh-CN" w:bidi="ar"/>
                    </w:rPr>
                    <w:t>是</w:t>
                  </w:r>
                </w:p>
              </w:tc>
              <w:tc>
                <w:tcPr>
                  <w:tcW w:w="600" w:type="dxa"/>
                  <w:vMerge w:val="restart"/>
                  <w:vAlign w:val="center"/>
                </w:tcPr>
                <w:p>
                  <w:pPr>
                    <w:jc w:val="center"/>
                    <w:textAlignment w:val="center"/>
                    <w:rPr>
                      <w:rFonts w:hint="eastAsia" w:eastAsia="宋体"/>
                      <w:kern w:val="0"/>
                      <w:sz w:val="18"/>
                      <w:szCs w:val="18"/>
                      <w:lang w:eastAsia="zh-CN" w:bidi="ar"/>
                    </w:rPr>
                  </w:pPr>
                  <w:r>
                    <w:rPr>
                      <w:rFonts w:hint="eastAsia"/>
                      <w:kern w:val="0"/>
                      <w:sz w:val="18"/>
                      <w:szCs w:val="18"/>
                      <w:lang w:eastAsia="zh-CN" w:bidi="ar"/>
                    </w:rPr>
                    <w:t>间接排放</w:t>
                  </w:r>
                </w:p>
              </w:tc>
              <w:tc>
                <w:tcPr>
                  <w:tcW w:w="624" w:type="dxa"/>
                  <w:vMerge w:val="restart"/>
                  <w:vAlign w:val="center"/>
                </w:tcPr>
                <w:p>
                  <w:pPr>
                    <w:jc w:val="center"/>
                    <w:textAlignment w:val="center"/>
                    <w:rPr>
                      <w:kern w:val="0"/>
                      <w:sz w:val="18"/>
                      <w:szCs w:val="18"/>
                      <w:lang w:bidi="ar"/>
                    </w:rPr>
                  </w:pPr>
                  <w:r>
                    <w:rPr>
                      <w:rFonts w:hint="eastAsia" w:ascii="Times New Roman" w:hAnsi="Times New Roman" w:eastAsia="宋体" w:cs="Times New Roman"/>
                      <w:b w:val="0"/>
                      <w:bCs w:val="0"/>
                      <w:color w:val="auto"/>
                      <w:kern w:val="0"/>
                      <w:sz w:val="18"/>
                      <w:szCs w:val="18"/>
                      <w:vertAlign w:val="baseline"/>
                      <w:lang w:val="en-US" w:eastAsia="zh-CN" w:bidi="ar"/>
                    </w:rPr>
                    <w:t>如皋市富港水处理有限公司</w:t>
                  </w:r>
                </w:p>
              </w:tc>
              <w:tc>
                <w:tcPr>
                  <w:tcW w:w="661" w:type="dxa"/>
                  <w:vMerge w:val="restart"/>
                  <w:vAlign w:val="center"/>
                </w:tcPr>
                <w:p>
                  <w:pPr>
                    <w:jc w:val="center"/>
                    <w:textAlignment w:val="center"/>
                    <w:rPr>
                      <w:kern w:val="0"/>
                      <w:sz w:val="18"/>
                      <w:szCs w:val="18"/>
                      <w:lang w:bidi="ar"/>
                    </w:rPr>
                  </w:pPr>
                  <w:r>
                    <w:rPr>
                      <w:rFonts w:hint="default" w:ascii="Times New Roman" w:hAnsi="Times New Roman" w:eastAsia="宋体" w:cs="Times New Roman"/>
                      <w:sz w:val="18"/>
                      <w:szCs w:val="18"/>
                    </w:rPr>
                    <w:t>间断排放流量不稳定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613" w:type="dxa"/>
                  <w:vMerge w:val="continue"/>
                  <w:vAlign w:val="center"/>
                </w:tcPr>
                <w:p>
                  <w:pPr>
                    <w:keepNext w:val="0"/>
                    <w:keepLines w:val="0"/>
                    <w:pageBreakBefore w:val="0"/>
                    <w:widowControl w:val="0"/>
                    <w:kinsoku/>
                    <w:wordWrap/>
                    <w:overflowPunct/>
                    <w:topLinePunct w:val="0"/>
                    <w:autoSpaceDE/>
                    <w:autoSpaceDN/>
                    <w:bidi w:val="0"/>
                    <w:ind w:firstLine="0" w:firstLineChars="0"/>
                    <w:jc w:val="center"/>
                    <w:textAlignment w:val="center"/>
                    <w:rPr>
                      <w:kern w:val="0"/>
                      <w:sz w:val="18"/>
                      <w:szCs w:val="18"/>
                      <w:lang w:bidi="ar"/>
                    </w:rPr>
                  </w:pPr>
                </w:p>
              </w:tc>
              <w:tc>
                <w:tcPr>
                  <w:tcW w:w="827" w:type="dxa"/>
                  <w:vMerge w:val="continue"/>
                  <w:vAlign w:val="center"/>
                </w:tcPr>
                <w:p>
                  <w:pPr>
                    <w:jc w:val="center"/>
                    <w:textAlignment w:val="center"/>
                    <w:rPr>
                      <w:kern w:val="0"/>
                      <w:sz w:val="18"/>
                      <w:szCs w:val="18"/>
                      <w:lang w:bidi="ar"/>
                    </w:rPr>
                  </w:pPr>
                </w:p>
              </w:tc>
              <w:tc>
                <w:tcPr>
                  <w:tcW w:w="756" w:type="dxa"/>
                  <w:vMerge w:val="continue"/>
                  <w:vAlign w:val="center"/>
                </w:tcPr>
                <w:p>
                  <w:pPr>
                    <w:jc w:val="center"/>
                    <w:textAlignment w:val="center"/>
                    <w:rPr>
                      <w:kern w:val="0"/>
                      <w:sz w:val="18"/>
                      <w:szCs w:val="18"/>
                      <w:lang w:bidi="ar"/>
                    </w:rPr>
                  </w:pPr>
                </w:p>
              </w:tc>
              <w:tc>
                <w:tcPr>
                  <w:tcW w:w="885" w:type="dxa"/>
                  <w:shd w:val="clear" w:color="auto" w:fill="auto"/>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0"/>
                      <w:kern w:val="0"/>
                      <w:sz w:val="18"/>
                      <w:szCs w:val="18"/>
                      <w:lang w:val="en-US" w:eastAsia="zh-CN" w:bidi="ar-SA"/>
                    </w:rPr>
                  </w:pPr>
                  <w:r>
                    <w:rPr>
                      <w:rFonts w:hint="default" w:ascii="Times New Roman" w:hAnsi="Times New Roman" w:eastAsia="宋体" w:cs="Times New Roman"/>
                      <w:color w:val="auto"/>
                      <w:sz w:val="18"/>
                      <w:szCs w:val="18"/>
                    </w:rPr>
                    <w:t>SS</w:t>
                  </w:r>
                </w:p>
              </w:tc>
              <w:tc>
                <w:tcPr>
                  <w:tcW w:w="873" w:type="dxa"/>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2</w:t>
                  </w:r>
                  <w:r>
                    <w:rPr>
                      <w:rFonts w:hint="eastAsia" w:ascii="Times New Roman" w:hAnsi="Times New Roman" w:eastAsia="宋体" w:cs="Times New Roman"/>
                      <w:i w:val="0"/>
                      <w:iCs w:val="0"/>
                      <w:color w:val="auto"/>
                      <w:kern w:val="0"/>
                      <w:sz w:val="18"/>
                      <w:szCs w:val="18"/>
                      <w:u w:val="none"/>
                      <w:lang w:val="en-US" w:eastAsia="zh-CN" w:bidi="ar"/>
                    </w:rPr>
                    <w:t>5</w:t>
                  </w:r>
                  <w:r>
                    <w:rPr>
                      <w:rFonts w:hint="default" w:ascii="Times New Roman" w:hAnsi="Times New Roman" w:eastAsia="宋体" w:cs="Times New Roman"/>
                      <w:i w:val="0"/>
                      <w:iCs w:val="0"/>
                      <w:color w:val="auto"/>
                      <w:kern w:val="0"/>
                      <w:sz w:val="18"/>
                      <w:szCs w:val="18"/>
                      <w:u w:val="none"/>
                      <w:lang w:val="en-US" w:eastAsia="zh-CN" w:bidi="ar"/>
                    </w:rPr>
                    <w:t>0</w:t>
                  </w:r>
                </w:p>
              </w:tc>
              <w:tc>
                <w:tcPr>
                  <w:tcW w:w="930" w:type="dxa"/>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 xml:space="preserve">0.7200 </w:t>
                  </w:r>
                </w:p>
              </w:tc>
              <w:tc>
                <w:tcPr>
                  <w:tcW w:w="815" w:type="dxa"/>
                  <w:vMerge w:val="continue"/>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iCs w:val="0"/>
                      <w:color w:val="auto"/>
                      <w:kern w:val="0"/>
                      <w:sz w:val="18"/>
                      <w:szCs w:val="18"/>
                      <w:u w:val="none"/>
                      <w:lang w:val="en-US" w:eastAsia="zh-CN" w:bidi="ar"/>
                    </w:rPr>
                  </w:pPr>
                </w:p>
              </w:tc>
              <w:tc>
                <w:tcPr>
                  <w:tcW w:w="846" w:type="dxa"/>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200</w:t>
                  </w:r>
                </w:p>
              </w:tc>
              <w:tc>
                <w:tcPr>
                  <w:tcW w:w="818" w:type="dxa"/>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 xml:space="preserve">0.5760 </w:t>
                  </w:r>
                </w:p>
              </w:tc>
              <w:tc>
                <w:tcPr>
                  <w:tcW w:w="601" w:type="dxa"/>
                  <w:vMerge w:val="continue"/>
                  <w:vAlign w:val="center"/>
                </w:tcPr>
                <w:p>
                  <w:pPr>
                    <w:jc w:val="center"/>
                    <w:textAlignment w:val="center"/>
                    <w:rPr>
                      <w:kern w:val="0"/>
                      <w:sz w:val="18"/>
                      <w:szCs w:val="18"/>
                      <w:lang w:bidi="ar"/>
                    </w:rPr>
                  </w:pPr>
                </w:p>
              </w:tc>
              <w:tc>
                <w:tcPr>
                  <w:tcW w:w="754" w:type="dxa"/>
                  <w:vMerge w:val="continue"/>
                  <w:vAlign w:val="center"/>
                </w:tcPr>
                <w:p>
                  <w:pPr>
                    <w:jc w:val="center"/>
                    <w:textAlignment w:val="center"/>
                    <w:rPr>
                      <w:kern w:val="0"/>
                      <w:sz w:val="18"/>
                      <w:szCs w:val="18"/>
                      <w:lang w:bidi="ar"/>
                    </w:rPr>
                  </w:pPr>
                </w:p>
              </w:tc>
              <w:tc>
                <w:tcPr>
                  <w:tcW w:w="945" w:type="dxa"/>
                  <w:vMerge w:val="continue"/>
                  <w:vAlign w:val="center"/>
                </w:tcPr>
                <w:p>
                  <w:pPr>
                    <w:jc w:val="center"/>
                    <w:textAlignment w:val="center"/>
                    <w:rPr>
                      <w:kern w:val="0"/>
                      <w:sz w:val="18"/>
                      <w:szCs w:val="18"/>
                      <w:lang w:bidi="ar"/>
                    </w:rPr>
                  </w:pPr>
                </w:p>
              </w:tc>
              <w:tc>
                <w:tcPr>
                  <w:tcW w:w="810" w:type="dxa"/>
                  <w:vAlign w:val="center"/>
                </w:tcPr>
                <w:p>
                  <w:pPr>
                    <w:jc w:val="center"/>
                    <w:textAlignment w:val="center"/>
                    <w:rPr>
                      <w:rFonts w:hint="default" w:eastAsia="宋体"/>
                      <w:kern w:val="0"/>
                      <w:sz w:val="18"/>
                      <w:szCs w:val="18"/>
                      <w:lang w:val="en-US" w:eastAsia="zh-CN" w:bidi="ar"/>
                    </w:rPr>
                  </w:pPr>
                  <w:r>
                    <w:rPr>
                      <w:rFonts w:hint="eastAsia"/>
                      <w:kern w:val="0"/>
                      <w:sz w:val="18"/>
                      <w:szCs w:val="18"/>
                      <w:lang w:val="en-US" w:eastAsia="zh-CN" w:bidi="ar"/>
                    </w:rPr>
                    <w:t>20</w:t>
                  </w:r>
                </w:p>
              </w:tc>
              <w:tc>
                <w:tcPr>
                  <w:tcW w:w="930" w:type="dxa"/>
                  <w:vMerge w:val="continue"/>
                  <w:vAlign w:val="center"/>
                </w:tcPr>
                <w:p>
                  <w:pPr>
                    <w:jc w:val="center"/>
                    <w:textAlignment w:val="center"/>
                    <w:rPr>
                      <w:kern w:val="0"/>
                      <w:sz w:val="18"/>
                      <w:szCs w:val="18"/>
                      <w:lang w:bidi="ar"/>
                    </w:rPr>
                  </w:pPr>
                </w:p>
              </w:tc>
              <w:tc>
                <w:tcPr>
                  <w:tcW w:w="600" w:type="dxa"/>
                  <w:vMerge w:val="continue"/>
                  <w:vAlign w:val="center"/>
                </w:tcPr>
                <w:p>
                  <w:pPr>
                    <w:jc w:val="center"/>
                    <w:textAlignment w:val="center"/>
                    <w:rPr>
                      <w:kern w:val="0"/>
                      <w:sz w:val="18"/>
                      <w:szCs w:val="18"/>
                      <w:lang w:bidi="ar"/>
                    </w:rPr>
                  </w:pPr>
                </w:p>
              </w:tc>
              <w:tc>
                <w:tcPr>
                  <w:tcW w:w="624" w:type="dxa"/>
                  <w:vMerge w:val="continue"/>
                  <w:vAlign w:val="center"/>
                </w:tcPr>
                <w:p>
                  <w:pPr>
                    <w:jc w:val="center"/>
                    <w:textAlignment w:val="center"/>
                    <w:rPr>
                      <w:kern w:val="0"/>
                      <w:sz w:val="18"/>
                      <w:szCs w:val="18"/>
                      <w:lang w:bidi="ar"/>
                    </w:rPr>
                  </w:pPr>
                </w:p>
              </w:tc>
              <w:tc>
                <w:tcPr>
                  <w:tcW w:w="661" w:type="dxa"/>
                  <w:vMerge w:val="continue"/>
                  <w:vAlign w:val="center"/>
                </w:tcPr>
                <w:p>
                  <w:pPr>
                    <w:jc w:val="center"/>
                    <w:textAlignment w:val="center"/>
                    <w:rPr>
                      <w:kern w:val="0"/>
                      <w:sz w:val="18"/>
                      <w:szCs w:val="18"/>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613" w:type="dxa"/>
                  <w:vMerge w:val="continue"/>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rPr>
                      <w:kern w:val="0"/>
                      <w:sz w:val="18"/>
                      <w:szCs w:val="18"/>
                      <w:lang w:bidi="ar"/>
                    </w:rPr>
                  </w:pPr>
                </w:p>
              </w:tc>
              <w:tc>
                <w:tcPr>
                  <w:tcW w:w="827" w:type="dxa"/>
                  <w:vMerge w:val="continue"/>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rPr>
                      <w:kern w:val="0"/>
                      <w:sz w:val="18"/>
                      <w:szCs w:val="18"/>
                      <w:lang w:bidi="ar"/>
                    </w:rPr>
                  </w:pPr>
                </w:p>
              </w:tc>
              <w:tc>
                <w:tcPr>
                  <w:tcW w:w="756" w:type="dxa"/>
                  <w:vMerge w:val="continue"/>
                  <w:vAlign w:val="center"/>
                </w:tcPr>
                <w:p>
                  <w:pPr>
                    <w:jc w:val="center"/>
                    <w:textAlignment w:val="center"/>
                    <w:rPr>
                      <w:kern w:val="0"/>
                      <w:sz w:val="18"/>
                      <w:szCs w:val="18"/>
                      <w:lang w:bidi="ar"/>
                    </w:rPr>
                  </w:pPr>
                </w:p>
              </w:tc>
              <w:tc>
                <w:tcPr>
                  <w:tcW w:w="885" w:type="dxa"/>
                  <w:shd w:val="clear" w:color="auto" w:fill="auto"/>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0"/>
                      <w:kern w:val="0"/>
                      <w:sz w:val="18"/>
                      <w:szCs w:val="18"/>
                      <w:lang w:val="en-US" w:eastAsia="zh-CN" w:bidi="ar-SA"/>
                    </w:rPr>
                  </w:pPr>
                  <w:r>
                    <w:rPr>
                      <w:rFonts w:hint="default" w:ascii="Times New Roman" w:hAnsi="Times New Roman" w:eastAsia="宋体" w:cs="Times New Roman"/>
                      <w:color w:val="auto"/>
                      <w:sz w:val="18"/>
                      <w:szCs w:val="18"/>
                    </w:rPr>
                    <w:t>NH</w:t>
                  </w:r>
                  <w:r>
                    <w:rPr>
                      <w:rFonts w:hint="default" w:ascii="Times New Roman" w:hAnsi="Times New Roman" w:eastAsia="宋体" w:cs="Times New Roman"/>
                      <w:color w:val="auto"/>
                      <w:sz w:val="18"/>
                      <w:szCs w:val="18"/>
                      <w:vertAlign w:val="subscript"/>
                    </w:rPr>
                    <w:t>3</w:t>
                  </w:r>
                  <w:r>
                    <w:rPr>
                      <w:rFonts w:hint="default" w:ascii="Times New Roman" w:hAnsi="Times New Roman" w:eastAsia="宋体" w:cs="Times New Roman"/>
                      <w:color w:val="auto"/>
                      <w:sz w:val="18"/>
                      <w:szCs w:val="18"/>
                    </w:rPr>
                    <w:t>-N</w:t>
                  </w:r>
                </w:p>
              </w:tc>
              <w:tc>
                <w:tcPr>
                  <w:tcW w:w="873" w:type="dxa"/>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30</w:t>
                  </w:r>
                </w:p>
              </w:tc>
              <w:tc>
                <w:tcPr>
                  <w:tcW w:w="930" w:type="dxa"/>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 xml:space="preserve">0.0864 </w:t>
                  </w:r>
                </w:p>
              </w:tc>
              <w:tc>
                <w:tcPr>
                  <w:tcW w:w="815" w:type="dxa"/>
                  <w:vMerge w:val="continue"/>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iCs w:val="0"/>
                      <w:color w:val="auto"/>
                      <w:kern w:val="0"/>
                      <w:sz w:val="18"/>
                      <w:szCs w:val="18"/>
                      <w:u w:val="none"/>
                      <w:lang w:val="en-US" w:eastAsia="zh-CN" w:bidi="ar"/>
                    </w:rPr>
                  </w:pPr>
                </w:p>
              </w:tc>
              <w:tc>
                <w:tcPr>
                  <w:tcW w:w="846" w:type="dxa"/>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30</w:t>
                  </w:r>
                </w:p>
              </w:tc>
              <w:tc>
                <w:tcPr>
                  <w:tcW w:w="818" w:type="dxa"/>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 xml:space="preserve">0.0864 </w:t>
                  </w:r>
                </w:p>
              </w:tc>
              <w:tc>
                <w:tcPr>
                  <w:tcW w:w="601" w:type="dxa"/>
                  <w:vMerge w:val="continue"/>
                  <w:vAlign w:val="center"/>
                </w:tcPr>
                <w:p>
                  <w:pPr>
                    <w:jc w:val="center"/>
                    <w:textAlignment w:val="center"/>
                    <w:rPr>
                      <w:kern w:val="0"/>
                      <w:sz w:val="18"/>
                      <w:szCs w:val="18"/>
                      <w:lang w:bidi="ar"/>
                    </w:rPr>
                  </w:pPr>
                </w:p>
              </w:tc>
              <w:tc>
                <w:tcPr>
                  <w:tcW w:w="754" w:type="dxa"/>
                  <w:vMerge w:val="continue"/>
                  <w:vAlign w:val="center"/>
                </w:tcPr>
                <w:p>
                  <w:pPr>
                    <w:jc w:val="center"/>
                    <w:textAlignment w:val="center"/>
                    <w:rPr>
                      <w:kern w:val="0"/>
                      <w:sz w:val="18"/>
                      <w:szCs w:val="18"/>
                      <w:lang w:bidi="ar"/>
                    </w:rPr>
                  </w:pPr>
                </w:p>
              </w:tc>
              <w:tc>
                <w:tcPr>
                  <w:tcW w:w="945" w:type="dxa"/>
                  <w:vMerge w:val="continue"/>
                  <w:vAlign w:val="center"/>
                </w:tcPr>
                <w:p>
                  <w:pPr>
                    <w:jc w:val="center"/>
                    <w:textAlignment w:val="center"/>
                    <w:rPr>
                      <w:kern w:val="0"/>
                      <w:sz w:val="18"/>
                      <w:szCs w:val="18"/>
                      <w:lang w:bidi="ar"/>
                    </w:rPr>
                  </w:pPr>
                </w:p>
              </w:tc>
              <w:tc>
                <w:tcPr>
                  <w:tcW w:w="810" w:type="dxa"/>
                  <w:vAlign w:val="center"/>
                </w:tcPr>
                <w:p>
                  <w:pPr>
                    <w:jc w:val="center"/>
                    <w:textAlignment w:val="center"/>
                    <w:rPr>
                      <w:rFonts w:hint="eastAsia"/>
                      <w:kern w:val="0"/>
                      <w:sz w:val="18"/>
                      <w:szCs w:val="18"/>
                      <w:lang w:val="en-US" w:eastAsia="zh-CN" w:bidi="ar"/>
                    </w:rPr>
                  </w:pPr>
                  <w:r>
                    <w:rPr>
                      <w:rFonts w:hint="eastAsia"/>
                      <w:kern w:val="0"/>
                      <w:sz w:val="18"/>
                      <w:szCs w:val="18"/>
                      <w:lang w:val="en-US" w:eastAsia="zh-CN" w:bidi="ar"/>
                    </w:rPr>
                    <w:t>0</w:t>
                  </w:r>
                </w:p>
              </w:tc>
              <w:tc>
                <w:tcPr>
                  <w:tcW w:w="930" w:type="dxa"/>
                  <w:vMerge w:val="continue"/>
                  <w:vAlign w:val="center"/>
                </w:tcPr>
                <w:p>
                  <w:pPr>
                    <w:jc w:val="center"/>
                    <w:textAlignment w:val="center"/>
                    <w:rPr>
                      <w:kern w:val="0"/>
                      <w:sz w:val="18"/>
                      <w:szCs w:val="18"/>
                      <w:lang w:bidi="ar"/>
                    </w:rPr>
                  </w:pPr>
                </w:p>
              </w:tc>
              <w:tc>
                <w:tcPr>
                  <w:tcW w:w="600" w:type="dxa"/>
                  <w:vMerge w:val="continue"/>
                  <w:vAlign w:val="center"/>
                </w:tcPr>
                <w:p>
                  <w:pPr>
                    <w:jc w:val="center"/>
                    <w:textAlignment w:val="center"/>
                    <w:rPr>
                      <w:kern w:val="0"/>
                      <w:sz w:val="18"/>
                      <w:szCs w:val="18"/>
                      <w:lang w:bidi="ar"/>
                    </w:rPr>
                  </w:pPr>
                </w:p>
              </w:tc>
              <w:tc>
                <w:tcPr>
                  <w:tcW w:w="624" w:type="dxa"/>
                  <w:vMerge w:val="continue"/>
                  <w:vAlign w:val="center"/>
                </w:tcPr>
                <w:p>
                  <w:pPr>
                    <w:jc w:val="center"/>
                    <w:textAlignment w:val="center"/>
                    <w:rPr>
                      <w:kern w:val="0"/>
                      <w:sz w:val="18"/>
                      <w:szCs w:val="18"/>
                      <w:lang w:bidi="ar"/>
                    </w:rPr>
                  </w:pPr>
                </w:p>
              </w:tc>
              <w:tc>
                <w:tcPr>
                  <w:tcW w:w="661" w:type="dxa"/>
                  <w:vMerge w:val="continue"/>
                  <w:vAlign w:val="center"/>
                </w:tcPr>
                <w:p>
                  <w:pPr>
                    <w:jc w:val="center"/>
                    <w:textAlignment w:val="center"/>
                    <w:rPr>
                      <w:kern w:val="0"/>
                      <w:sz w:val="18"/>
                      <w:szCs w:val="18"/>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613" w:type="dxa"/>
                  <w:vMerge w:val="continue"/>
                  <w:vAlign w:val="center"/>
                </w:tcPr>
                <w:p>
                  <w:pPr>
                    <w:jc w:val="center"/>
                    <w:textAlignment w:val="center"/>
                    <w:rPr>
                      <w:kern w:val="0"/>
                      <w:sz w:val="18"/>
                      <w:szCs w:val="18"/>
                      <w:lang w:bidi="ar"/>
                    </w:rPr>
                  </w:pPr>
                </w:p>
              </w:tc>
              <w:tc>
                <w:tcPr>
                  <w:tcW w:w="827" w:type="dxa"/>
                  <w:vMerge w:val="continue"/>
                  <w:vAlign w:val="center"/>
                </w:tcPr>
                <w:p>
                  <w:pPr>
                    <w:jc w:val="center"/>
                    <w:textAlignment w:val="center"/>
                    <w:rPr>
                      <w:kern w:val="0"/>
                      <w:sz w:val="18"/>
                      <w:szCs w:val="18"/>
                      <w:lang w:bidi="ar"/>
                    </w:rPr>
                  </w:pPr>
                </w:p>
              </w:tc>
              <w:tc>
                <w:tcPr>
                  <w:tcW w:w="756" w:type="dxa"/>
                  <w:vMerge w:val="continue"/>
                  <w:vAlign w:val="center"/>
                </w:tcPr>
                <w:p>
                  <w:pPr>
                    <w:jc w:val="center"/>
                    <w:textAlignment w:val="center"/>
                    <w:rPr>
                      <w:kern w:val="0"/>
                      <w:sz w:val="18"/>
                      <w:szCs w:val="18"/>
                      <w:lang w:bidi="ar"/>
                    </w:rPr>
                  </w:pPr>
                </w:p>
              </w:tc>
              <w:tc>
                <w:tcPr>
                  <w:tcW w:w="885" w:type="dxa"/>
                  <w:shd w:val="clear" w:color="auto" w:fill="auto"/>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0"/>
                      <w:kern w:val="0"/>
                      <w:sz w:val="18"/>
                      <w:szCs w:val="18"/>
                      <w:lang w:val="en-US" w:eastAsia="zh-CN" w:bidi="ar-SA"/>
                    </w:rPr>
                  </w:pPr>
                  <w:r>
                    <w:rPr>
                      <w:rFonts w:hint="default" w:ascii="Times New Roman" w:hAnsi="Times New Roman" w:eastAsia="宋体" w:cs="Times New Roman"/>
                      <w:color w:val="auto"/>
                      <w:sz w:val="18"/>
                      <w:szCs w:val="18"/>
                    </w:rPr>
                    <w:t>总磷</w:t>
                  </w:r>
                </w:p>
              </w:tc>
              <w:tc>
                <w:tcPr>
                  <w:tcW w:w="873" w:type="dxa"/>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4</w:t>
                  </w:r>
                </w:p>
              </w:tc>
              <w:tc>
                <w:tcPr>
                  <w:tcW w:w="930" w:type="dxa"/>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 xml:space="preserve">0.0115 </w:t>
                  </w:r>
                </w:p>
              </w:tc>
              <w:tc>
                <w:tcPr>
                  <w:tcW w:w="815" w:type="dxa"/>
                  <w:vMerge w:val="continue"/>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iCs w:val="0"/>
                      <w:color w:val="auto"/>
                      <w:kern w:val="0"/>
                      <w:sz w:val="18"/>
                      <w:szCs w:val="18"/>
                      <w:u w:val="none"/>
                      <w:lang w:val="en-US" w:eastAsia="zh-CN" w:bidi="ar"/>
                    </w:rPr>
                  </w:pPr>
                </w:p>
              </w:tc>
              <w:tc>
                <w:tcPr>
                  <w:tcW w:w="846" w:type="dxa"/>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4</w:t>
                  </w:r>
                </w:p>
              </w:tc>
              <w:tc>
                <w:tcPr>
                  <w:tcW w:w="818" w:type="dxa"/>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 xml:space="preserve">0.0115 </w:t>
                  </w:r>
                </w:p>
              </w:tc>
              <w:tc>
                <w:tcPr>
                  <w:tcW w:w="601" w:type="dxa"/>
                  <w:vMerge w:val="continue"/>
                  <w:vAlign w:val="center"/>
                </w:tcPr>
                <w:p>
                  <w:pPr>
                    <w:jc w:val="center"/>
                    <w:textAlignment w:val="center"/>
                    <w:rPr>
                      <w:kern w:val="0"/>
                      <w:sz w:val="18"/>
                      <w:szCs w:val="18"/>
                      <w:lang w:bidi="ar"/>
                    </w:rPr>
                  </w:pPr>
                </w:p>
              </w:tc>
              <w:tc>
                <w:tcPr>
                  <w:tcW w:w="754" w:type="dxa"/>
                  <w:vMerge w:val="continue"/>
                  <w:vAlign w:val="center"/>
                </w:tcPr>
                <w:p>
                  <w:pPr>
                    <w:jc w:val="center"/>
                    <w:textAlignment w:val="center"/>
                    <w:rPr>
                      <w:kern w:val="0"/>
                      <w:sz w:val="18"/>
                      <w:szCs w:val="18"/>
                      <w:lang w:bidi="ar"/>
                    </w:rPr>
                  </w:pPr>
                </w:p>
              </w:tc>
              <w:tc>
                <w:tcPr>
                  <w:tcW w:w="945" w:type="dxa"/>
                  <w:vMerge w:val="continue"/>
                  <w:vAlign w:val="center"/>
                </w:tcPr>
                <w:p>
                  <w:pPr>
                    <w:jc w:val="center"/>
                    <w:textAlignment w:val="center"/>
                    <w:rPr>
                      <w:kern w:val="0"/>
                      <w:sz w:val="18"/>
                      <w:szCs w:val="18"/>
                      <w:lang w:bidi="ar"/>
                    </w:rPr>
                  </w:pPr>
                </w:p>
              </w:tc>
              <w:tc>
                <w:tcPr>
                  <w:tcW w:w="810" w:type="dxa"/>
                  <w:vAlign w:val="center"/>
                </w:tcPr>
                <w:p>
                  <w:pPr>
                    <w:jc w:val="center"/>
                    <w:textAlignment w:val="center"/>
                    <w:rPr>
                      <w:rFonts w:hint="eastAsia"/>
                      <w:kern w:val="0"/>
                      <w:sz w:val="18"/>
                      <w:szCs w:val="18"/>
                      <w:lang w:val="en-US" w:eastAsia="zh-CN" w:bidi="ar"/>
                    </w:rPr>
                  </w:pPr>
                  <w:r>
                    <w:rPr>
                      <w:rFonts w:hint="eastAsia"/>
                      <w:kern w:val="0"/>
                      <w:sz w:val="18"/>
                      <w:szCs w:val="18"/>
                      <w:lang w:val="en-US" w:eastAsia="zh-CN" w:bidi="ar"/>
                    </w:rPr>
                    <w:t>0</w:t>
                  </w:r>
                </w:p>
              </w:tc>
              <w:tc>
                <w:tcPr>
                  <w:tcW w:w="930" w:type="dxa"/>
                  <w:vMerge w:val="continue"/>
                  <w:vAlign w:val="center"/>
                </w:tcPr>
                <w:p>
                  <w:pPr>
                    <w:jc w:val="center"/>
                    <w:textAlignment w:val="center"/>
                    <w:rPr>
                      <w:kern w:val="0"/>
                      <w:sz w:val="18"/>
                      <w:szCs w:val="18"/>
                      <w:lang w:bidi="ar"/>
                    </w:rPr>
                  </w:pPr>
                </w:p>
              </w:tc>
              <w:tc>
                <w:tcPr>
                  <w:tcW w:w="600" w:type="dxa"/>
                  <w:vMerge w:val="continue"/>
                  <w:vAlign w:val="center"/>
                </w:tcPr>
                <w:p>
                  <w:pPr>
                    <w:jc w:val="center"/>
                    <w:textAlignment w:val="center"/>
                    <w:rPr>
                      <w:kern w:val="0"/>
                      <w:sz w:val="18"/>
                      <w:szCs w:val="18"/>
                      <w:lang w:bidi="ar"/>
                    </w:rPr>
                  </w:pPr>
                </w:p>
              </w:tc>
              <w:tc>
                <w:tcPr>
                  <w:tcW w:w="624" w:type="dxa"/>
                  <w:vMerge w:val="continue"/>
                  <w:vAlign w:val="center"/>
                </w:tcPr>
                <w:p>
                  <w:pPr>
                    <w:jc w:val="center"/>
                    <w:textAlignment w:val="center"/>
                    <w:rPr>
                      <w:kern w:val="0"/>
                      <w:sz w:val="18"/>
                      <w:szCs w:val="18"/>
                      <w:lang w:bidi="ar"/>
                    </w:rPr>
                  </w:pPr>
                </w:p>
              </w:tc>
              <w:tc>
                <w:tcPr>
                  <w:tcW w:w="661" w:type="dxa"/>
                  <w:vMerge w:val="continue"/>
                  <w:vAlign w:val="center"/>
                </w:tcPr>
                <w:p>
                  <w:pPr>
                    <w:jc w:val="center"/>
                    <w:textAlignment w:val="center"/>
                    <w:rPr>
                      <w:kern w:val="0"/>
                      <w:sz w:val="18"/>
                      <w:szCs w:val="18"/>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613" w:type="dxa"/>
                  <w:vMerge w:val="continue"/>
                  <w:vAlign w:val="center"/>
                </w:tcPr>
                <w:p>
                  <w:pPr>
                    <w:jc w:val="center"/>
                    <w:textAlignment w:val="center"/>
                    <w:rPr>
                      <w:kern w:val="0"/>
                      <w:sz w:val="18"/>
                      <w:szCs w:val="18"/>
                      <w:lang w:bidi="ar"/>
                    </w:rPr>
                  </w:pPr>
                </w:p>
              </w:tc>
              <w:tc>
                <w:tcPr>
                  <w:tcW w:w="827" w:type="dxa"/>
                  <w:vMerge w:val="continue"/>
                  <w:vAlign w:val="center"/>
                </w:tcPr>
                <w:p>
                  <w:pPr>
                    <w:jc w:val="center"/>
                    <w:textAlignment w:val="center"/>
                    <w:rPr>
                      <w:kern w:val="0"/>
                      <w:sz w:val="18"/>
                      <w:szCs w:val="18"/>
                      <w:lang w:bidi="ar"/>
                    </w:rPr>
                  </w:pPr>
                </w:p>
              </w:tc>
              <w:tc>
                <w:tcPr>
                  <w:tcW w:w="756" w:type="dxa"/>
                  <w:vMerge w:val="continue"/>
                  <w:vAlign w:val="center"/>
                </w:tcPr>
                <w:p>
                  <w:pPr>
                    <w:jc w:val="center"/>
                    <w:textAlignment w:val="center"/>
                    <w:rPr>
                      <w:kern w:val="0"/>
                      <w:sz w:val="18"/>
                      <w:szCs w:val="18"/>
                      <w:lang w:bidi="ar"/>
                    </w:rPr>
                  </w:pPr>
                </w:p>
              </w:tc>
              <w:tc>
                <w:tcPr>
                  <w:tcW w:w="885" w:type="dxa"/>
                  <w:shd w:val="clear" w:color="auto" w:fill="auto"/>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0"/>
                      <w:kern w:val="0"/>
                      <w:sz w:val="18"/>
                      <w:szCs w:val="18"/>
                      <w:lang w:val="en-US" w:eastAsia="zh-CN" w:bidi="ar-SA"/>
                    </w:rPr>
                  </w:pPr>
                  <w:r>
                    <w:rPr>
                      <w:rFonts w:hint="default" w:ascii="Times New Roman" w:hAnsi="Times New Roman" w:eastAsia="宋体" w:cs="Times New Roman"/>
                      <w:color w:val="auto"/>
                      <w:sz w:val="18"/>
                      <w:szCs w:val="18"/>
                    </w:rPr>
                    <w:t>总氮</w:t>
                  </w:r>
                </w:p>
              </w:tc>
              <w:tc>
                <w:tcPr>
                  <w:tcW w:w="873" w:type="dxa"/>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45</w:t>
                  </w:r>
                </w:p>
              </w:tc>
              <w:tc>
                <w:tcPr>
                  <w:tcW w:w="930" w:type="dxa"/>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 xml:space="preserve">0.1296 </w:t>
                  </w:r>
                </w:p>
              </w:tc>
              <w:tc>
                <w:tcPr>
                  <w:tcW w:w="815" w:type="dxa"/>
                  <w:vMerge w:val="continue"/>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iCs w:val="0"/>
                      <w:color w:val="auto"/>
                      <w:kern w:val="0"/>
                      <w:sz w:val="18"/>
                      <w:szCs w:val="18"/>
                      <w:u w:val="none"/>
                      <w:lang w:val="en-US" w:eastAsia="zh-CN" w:bidi="ar"/>
                    </w:rPr>
                  </w:pPr>
                </w:p>
              </w:tc>
              <w:tc>
                <w:tcPr>
                  <w:tcW w:w="846" w:type="dxa"/>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45</w:t>
                  </w:r>
                </w:p>
              </w:tc>
              <w:tc>
                <w:tcPr>
                  <w:tcW w:w="818" w:type="dxa"/>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 xml:space="preserve">0.1296 </w:t>
                  </w:r>
                </w:p>
              </w:tc>
              <w:tc>
                <w:tcPr>
                  <w:tcW w:w="601" w:type="dxa"/>
                  <w:vMerge w:val="continue"/>
                  <w:vAlign w:val="center"/>
                </w:tcPr>
                <w:p>
                  <w:pPr>
                    <w:jc w:val="center"/>
                    <w:textAlignment w:val="center"/>
                    <w:rPr>
                      <w:kern w:val="0"/>
                      <w:sz w:val="18"/>
                      <w:szCs w:val="18"/>
                      <w:lang w:bidi="ar"/>
                    </w:rPr>
                  </w:pPr>
                </w:p>
              </w:tc>
              <w:tc>
                <w:tcPr>
                  <w:tcW w:w="754" w:type="dxa"/>
                  <w:vMerge w:val="continue"/>
                  <w:vAlign w:val="center"/>
                </w:tcPr>
                <w:p>
                  <w:pPr>
                    <w:jc w:val="center"/>
                    <w:textAlignment w:val="center"/>
                    <w:rPr>
                      <w:kern w:val="0"/>
                      <w:sz w:val="18"/>
                      <w:szCs w:val="18"/>
                      <w:lang w:bidi="ar"/>
                    </w:rPr>
                  </w:pPr>
                </w:p>
              </w:tc>
              <w:tc>
                <w:tcPr>
                  <w:tcW w:w="945" w:type="dxa"/>
                  <w:vMerge w:val="continue"/>
                  <w:vAlign w:val="center"/>
                </w:tcPr>
                <w:p>
                  <w:pPr>
                    <w:jc w:val="center"/>
                    <w:textAlignment w:val="center"/>
                    <w:rPr>
                      <w:kern w:val="0"/>
                      <w:sz w:val="18"/>
                      <w:szCs w:val="18"/>
                      <w:lang w:bidi="ar"/>
                    </w:rPr>
                  </w:pPr>
                </w:p>
              </w:tc>
              <w:tc>
                <w:tcPr>
                  <w:tcW w:w="810" w:type="dxa"/>
                  <w:vAlign w:val="center"/>
                </w:tcPr>
                <w:p>
                  <w:pPr>
                    <w:jc w:val="center"/>
                    <w:textAlignment w:val="center"/>
                    <w:rPr>
                      <w:rFonts w:hint="eastAsia"/>
                      <w:kern w:val="0"/>
                      <w:sz w:val="18"/>
                      <w:szCs w:val="18"/>
                      <w:lang w:val="en-US" w:eastAsia="zh-CN" w:bidi="ar"/>
                    </w:rPr>
                  </w:pPr>
                  <w:r>
                    <w:rPr>
                      <w:rFonts w:hint="eastAsia"/>
                      <w:kern w:val="0"/>
                      <w:sz w:val="18"/>
                      <w:szCs w:val="18"/>
                      <w:lang w:val="en-US" w:eastAsia="zh-CN" w:bidi="ar"/>
                    </w:rPr>
                    <w:t>0</w:t>
                  </w:r>
                </w:p>
              </w:tc>
              <w:tc>
                <w:tcPr>
                  <w:tcW w:w="930" w:type="dxa"/>
                  <w:vMerge w:val="continue"/>
                  <w:vAlign w:val="center"/>
                </w:tcPr>
                <w:p>
                  <w:pPr>
                    <w:jc w:val="center"/>
                    <w:textAlignment w:val="center"/>
                    <w:rPr>
                      <w:kern w:val="0"/>
                      <w:sz w:val="18"/>
                      <w:szCs w:val="18"/>
                      <w:lang w:bidi="ar"/>
                    </w:rPr>
                  </w:pPr>
                </w:p>
              </w:tc>
              <w:tc>
                <w:tcPr>
                  <w:tcW w:w="600" w:type="dxa"/>
                  <w:vMerge w:val="continue"/>
                  <w:vAlign w:val="center"/>
                </w:tcPr>
                <w:p>
                  <w:pPr>
                    <w:jc w:val="center"/>
                    <w:textAlignment w:val="center"/>
                    <w:rPr>
                      <w:kern w:val="0"/>
                      <w:sz w:val="18"/>
                      <w:szCs w:val="18"/>
                      <w:lang w:bidi="ar"/>
                    </w:rPr>
                  </w:pPr>
                </w:p>
              </w:tc>
              <w:tc>
                <w:tcPr>
                  <w:tcW w:w="624" w:type="dxa"/>
                  <w:vMerge w:val="continue"/>
                  <w:vAlign w:val="center"/>
                </w:tcPr>
                <w:p>
                  <w:pPr>
                    <w:jc w:val="center"/>
                    <w:textAlignment w:val="center"/>
                    <w:rPr>
                      <w:kern w:val="0"/>
                      <w:sz w:val="18"/>
                      <w:szCs w:val="18"/>
                      <w:lang w:bidi="ar"/>
                    </w:rPr>
                  </w:pPr>
                </w:p>
              </w:tc>
              <w:tc>
                <w:tcPr>
                  <w:tcW w:w="661" w:type="dxa"/>
                  <w:vMerge w:val="continue"/>
                  <w:vAlign w:val="center"/>
                </w:tcPr>
                <w:p>
                  <w:pPr>
                    <w:jc w:val="center"/>
                    <w:textAlignment w:val="center"/>
                    <w:rPr>
                      <w:kern w:val="0"/>
                      <w:sz w:val="18"/>
                      <w:szCs w:val="18"/>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613" w:type="dxa"/>
                  <w:vMerge w:val="restart"/>
                  <w:shd w:val="clear" w:color="auto" w:fill="auto"/>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rPr>
                      <w:rFonts w:ascii="Calibri" w:hAnsi="Calibri" w:eastAsia="黑体" w:cs="Times New Roman"/>
                      <w:spacing w:val="-10"/>
                      <w:kern w:val="0"/>
                      <w:sz w:val="18"/>
                      <w:szCs w:val="18"/>
                      <w:lang w:val="en-US" w:eastAsia="zh-CN" w:bidi="ar"/>
                    </w:rPr>
                  </w:pPr>
                  <w:r>
                    <w:rPr>
                      <w:rFonts w:hint="default" w:ascii="Times New Roman" w:hAnsi="Times New Roman" w:eastAsia="宋体" w:cs="Times New Roman"/>
                      <w:sz w:val="18"/>
                      <w:szCs w:val="18"/>
                      <w:lang w:eastAsia="zh-CN"/>
                    </w:rPr>
                    <w:t>食堂</w:t>
                  </w:r>
                  <w:r>
                    <w:rPr>
                      <w:rFonts w:hint="eastAsia" w:ascii="Times New Roman" w:hAnsi="Times New Roman" w:eastAsia="宋体" w:cs="Times New Roman"/>
                      <w:sz w:val="18"/>
                      <w:szCs w:val="18"/>
                      <w:lang w:eastAsia="zh-CN"/>
                    </w:rPr>
                    <w:t>用水</w:t>
                  </w:r>
                </w:p>
              </w:tc>
              <w:tc>
                <w:tcPr>
                  <w:tcW w:w="827" w:type="dxa"/>
                  <w:vMerge w:val="restart"/>
                  <w:shd w:val="clear" w:color="auto" w:fill="auto"/>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rPr>
                      <w:rFonts w:ascii="Calibri" w:hAnsi="Calibri" w:eastAsia="黑体" w:cs="Times New Roman"/>
                      <w:spacing w:val="-10"/>
                      <w:kern w:val="0"/>
                      <w:sz w:val="18"/>
                      <w:szCs w:val="18"/>
                      <w:lang w:val="en-US" w:eastAsia="zh-CN" w:bidi="ar"/>
                    </w:rPr>
                  </w:pPr>
                  <w:r>
                    <w:rPr>
                      <w:rFonts w:hint="default" w:ascii="Times New Roman" w:hAnsi="Times New Roman" w:eastAsia="宋体" w:cs="Times New Roman"/>
                      <w:sz w:val="18"/>
                      <w:szCs w:val="18"/>
                      <w:lang w:eastAsia="zh-CN"/>
                    </w:rPr>
                    <w:t>食堂废水</w:t>
                  </w:r>
                </w:p>
              </w:tc>
              <w:tc>
                <w:tcPr>
                  <w:tcW w:w="756" w:type="dxa"/>
                  <w:vMerge w:val="restart"/>
                  <w:vAlign w:val="center"/>
                </w:tcPr>
                <w:p>
                  <w:pPr>
                    <w:jc w:val="center"/>
                    <w:textAlignment w:val="center"/>
                    <w:rPr>
                      <w:rFonts w:hint="default" w:eastAsia="宋体"/>
                      <w:kern w:val="0"/>
                      <w:sz w:val="18"/>
                      <w:szCs w:val="18"/>
                      <w:lang w:val="en-US" w:eastAsia="zh-CN" w:bidi="ar"/>
                    </w:rPr>
                  </w:pPr>
                  <w:r>
                    <w:rPr>
                      <w:rFonts w:hint="eastAsia"/>
                      <w:kern w:val="0"/>
                      <w:sz w:val="18"/>
                      <w:szCs w:val="18"/>
                      <w:lang w:val="en-US" w:eastAsia="zh-CN" w:bidi="ar"/>
                    </w:rPr>
                    <w:t>96</w:t>
                  </w:r>
                </w:p>
              </w:tc>
              <w:tc>
                <w:tcPr>
                  <w:tcW w:w="885" w:type="dxa"/>
                  <w:shd w:val="clear" w:color="auto" w:fill="auto"/>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0"/>
                      <w:kern w:val="0"/>
                      <w:sz w:val="18"/>
                      <w:szCs w:val="18"/>
                      <w:lang w:val="en-US" w:eastAsia="zh-CN" w:bidi="ar-SA"/>
                    </w:rPr>
                  </w:pPr>
                  <w:r>
                    <w:rPr>
                      <w:rFonts w:hint="default" w:ascii="Times New Roman" w:hAnsi="Times New Roman" w:eastAsia="宋体" w:cs="Times New Roman"/>
                      <w:color w:val="auto"/>
                      <w:sz w:val="18"/>
                      <w:szCs w:val="18"/>
                    </w:rPr>
                    <w:t>COD</w:t>
                  </w:r>
                </w:p>
              </w:tc>
              <w:tc>
                <w:tcPr>
                  <w:tcW w:w="873" w:type="dxa"/>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3</w:t>
                  </w:r>
                  <w:r>
                    <w:rPr>
                      <w:rFonts w:hint="eastAsia" w:ascii="Times New Roman" w:hAnsi="Times New Roman" w:eastAsia="宋体" w:cs="Times New Roman"/>
                      <w:i w:val="0"/>
                      <w:iCs w:val="0"/>
                      <w:color w:val="auto"/>
                      <w:kern w:val="0"/>
                      <w:sz w:val="18"/>
                      <w:szCs w:val="18"/>
                      <w:u w:val="none"/>
                      <w:lang w:val="en-US" w:eastAsia="zh-CN" w:bidi="ar"/>
                    </w:rPr>
                    <w:t>5</w:t>
                  </w:r>
                  <w:r>
                    <w:rPr>
                      <w:rFonts w:hint="default" w:ascii="Times New Roman" w:hAnsi="Times New Roman" w:eastAsia="宋体" w:cs="Times New Roman"/>
                      <w:i w:val="0"/>
                      <w:iCs w:val="0"/>
                      <w:color w:val="auto"/>
                      <w:kern w:val="0"/>
                      <w:sz w:val="18"/>
                      <w:szCs w:val="18"/>
                      <w:u w:val="none"/>
                      <w:lang w:val="en-US" w:eastAsia="zh-CN" w:bidi="ar"/>
                    </w:rPr>
                    <w:t>0</w:t>
                  </w:r>
                </w:p>
              </w:tc>
              <w:tc>
                <w:tcPr>
                  <w:tcW w:w="930" w:type="dxa"/>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 xml:space="preserve">0.0336 </w:t>
                  </w:r>
                </w:p>
              </w:tc>
              <w:tc>
                <w:tcPr>
                  <w:tcW w:w="815" w:type="dxa"/>
                  <w:vMerge w:val="restart"/>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96</w:t>
                  </w:r>
                </w:p>
              </w:tc>
              <w:tc>
                <w:tcPr>
                  <w:tcW w:w="846" w:type="dxa"/>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3</w:t>
                  </w:r>
                  <w:r>
                    <w:rPr>
                      <w:rFonts w:hint="default" w:ascii="Times New Roman" w:hAnsi="Times New Roman" w:eastAsia="宋体" w:cs="Times New Roman"/>
                      <w:i w:val="0"/>
                      <w:iCs w:val="0"/>
                      <w:color w:val="auto"/>
                      <w:kern w:val="0"/>
                      <w:sz w:val="18"/>
                      <w:szCs w:val="18"/>
                      <w:u w:val="none"/>
                      <w:lang w:val="en-US" w:eastAsia="zh-CN" w:bidi="ar"/>
                    </w:rPr>
                    <w:t>00</w:t>
                  </w:r>
                </w:p>
              </w:tc>
              <w:tc>
                <w:tcPr>
                  <w:tcW w:w="818" w:type="dxa"/>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 xml:space="preserve">0.0288 </w:t>
                  </w:r>
                </w:p>
              </w:tc>
              <w:tc>
                <w:tcPr>
                  <w:tcW w:w="601" w:type="dxa"/>
                  <w:vMerge w:val="continue"/>
                  <w:vAlign w:val="center"/>
                </w:tcPr>
                <w:p>
                  <w:pPr>
                    <w:jc w:val="center"/>
                    <w:textAlignment w:val="center"/>
                    <w:rPr>
                      <w:kern w:val="0"/>
                      <w:sz w:val="18"/>
                      <w:szCs w:val="18"/>
                      <w:lang w:bidi="ar"/>
                    </w:rPr>
                  </w:pPr>
                </w:p>
              </w:tc>
              <w:tc>
                <w:tcPr>
                  <w:tcW w:w="754" w:type="dxa"/>
                  <w:vMerge w:val="continue"/>
                  <w:vAlign w:val="center"/>
                </w:tcPr>
                <w:p>
                  <w:pPr>
                    <w:jc w:val="center"/>
                    <w:textAlignment w:val="center"/>
                    <w:rPr>
                      <w:kern w:val="0"/>
                      <w:sz w:val="18"/>
                      <w:szCs w:val="18"/>
                      <w:lang w:bidi="ar"/>
                    </w:rPr>
                  </w:pPr>
                </w:p>
              </w:tc>
              <w:tc>
                <w:tcPr>
                  <w:tcW w:w="945" w:type="dxa"/>
                  <w:vMerge w:val="continue"/>
                  <w:vAlign w:val="center"/>
                </w:tcPr>
                <w:p>
                  <w:pPr>
                    <w:jc w:val="center"/>
                    <w:textAlignment w:val="center"/>
                    <w:rPr>
                      <w:kern w:val="0"/>
                      <w:sz w:val="18"/>
                      <w:szCs w:val="18"/>
                      <w:lang w:bidi="ar"/>
                    </w:rPr>
                  </w:pPr>
                </w:p>
              </w:tc>
              <w:tc>
                <w:tcPr>
                  <w:tcW w:w="810" w:type="dxa"/>
                  <w:vAlign w:val="center"/>
                </w:tcPr>
                <w:p>
                  <w:pPr>
                    <w:jc w:val="center"/>
                    <w:textAlignment w:val="center"/>
                    <w:rPr>
                      <w:rFonts w:hint="eastAsia"/>
                      <w:kern w:val="0"/>
                      <w:sz w:val="18"/>
                      <w:szCs w:val="18"/>
                      <w:lang w:val="en-US" w:eastAsia="zh-CN" w:bidi="ar"/>
                    </w:rPr>
                  </w:pPr>
                  <w:r>
                    <w:rPr>
                      <w:rFonts w:hint="eastAsia"/>
                      <w:kern w:val="0"/>
                      <w:sz w:val="18"/>
                      <w:szCs w:val="18"/>
                      <w:lang w:val="en-US" w:eastAsia="zh-CN" w:bidi="ar"/>
                    </w:rPr>
                    <w:t>14</w:t>
                  </w:r>
                </w:p>
              </w:tc>
              <w:tc>
                <w:tcPr>
                  <w:tcW w:w="930" w:type="dxa"/>
                  <w:vMerge w:val="continue"/>
                  <w:vAlign w:val="center"/>
                </w:tcPr>
                <w:p>
                  <w:pPr>
                    <w:jc w:val="center"/>
                    <w:textAlignment w:val="center"/>
                    <w:rPr>
                      <w:kern w:val="0"/>
                      <w:sz w:val="18"/>
                      <w:szCs w:val="18"/>
                      <w:lang w:bidi="ar"/>
                    </w:rPr>
                  </w:pPr>
                </w:p>
              </w:tc>
              <w:tc>
                <w:tcPr>
                  <w:tcW w:w="600" w:type="dxa"/>
                  <w:vMerge w:val="continue"/>
                  <w:vAlign w:val="center"/>
                </w:tcPr>
                <w:p>
                  <w:pPr>
                    <w:jc w:val="center"/>
                    <w:textAlignment w:val="center"/>
                    <w:rPr>
                      <w:kern w:val="0"/>
                      <w:sz w:val="18"/>
                      <w:szCs w:val="18"/>
                      <w:lang w:bidi="ar"/>
                    </w:rPr>
                  </w:pPr>
                </w:p>
              </w:tc>
              <w:tc>
                <w:tcPr>
                  <w:tcW w:w="624" w:type="dxa"/>
                  <w:vMerge w:val="continue"/>
                  <w:vAlign w:val="center"/>
                </w:tcPr>
                <w:p>
                  <w:pPr>
                    <w:jc w:val="center"/>
                    <w:textAlignment w:val="center"/>
                    <w:rPr>
                      <w:kern w:val="0"/>
                      <w:sz w:val="18"/>
                      <w:szCs w:val="18"/>
                      <w:lang w:bidi="ar"/>
                    </w:rPr>
                  </w:pPr>
                </w:p>
              </w:tc>
              <w:tc>
                <w:tcPr>
                  <w:tcW w:w="661" w:type="dxa"/>
                  <w:vMerge w:val="continue"/>
                  <w:vAlign w:val="center"/>
                </w:tcPr>
                <w:p>
                  <w:pPr>
                    <w:jc w:val="center"/>
                    <w:textAlignment w:val="center"/>
                    <w:rPr>
                      <w:kern w:val="0"/>
                      <w:sz w:val="18"/>
                      <w:szCs w:val="18"/>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613" w:type="dxa"/>
                  <w:vMerge w:val="continue"/>
                  <w:vAlign w:val="center"/>
                </w:tcPr>
                <w:p>
                  <w:pPr>
                    <w:jc w:val="center"/>
                    <w:textAlignment w:val="center"/>
                    <w:rPr>
                      <w:kern w:val="0"/>
                      <w:sz w:val="18"/>
                      <w:szCs w:val="18"/>
                      <w:lang w:bidi="ar"/>
                    </w:rPr>
                  </w:pPr>
                </w:p>
              </w:tc>
              <w:tc>
                <w:tcPr>
                  <w:tcW w:w="827" w:type="dxa"/>
                  <w:vMerge w:val="continue"/>
                  <w:vAlign w:val="center"/>
                </w:tcPr>
                <w:p>
                  <w:pPr>
                    <w:jc w:val="center"/>
                    <w:textAlignment w:val="center"/>
                    <w:rPr>
                      <w:kern w:val="0"/>
                      <w:sz w:val="18"/>
                      <w:szCs w:val="18"/>
                      <w:lang w:bidi="ar"/>
                    </w:rPr>
                  </w:pPr>
                </w:p>
              </w:tc>
              <w:tc>
                <w:tcPr>
                  <w:tcW w:w="756" w:type="dxa"/>
                  <w:vMerge w:val="continue"/>
                  <w:vAlign w:val="center"/>
                </w:tcPr>
                <w:p>
                  <w:pPr>
                    <w:jc w:val="center"/>
                    <w:textAlignment w:val="center"/>
                    <w:rPr>
                      <w:kern w:val="0"/>
                      <w:sz w:val="18"/>
                      <w:szCs w:val="18"/>
                      <w:lang w:bidi="ar"/>
                    </w:rPr>
                  </w:pPr>
                </w:p>
              </w:tc>
              <w:tc>
                <w:tcPr>
                  <w:tcW w:w="885" w:type="dxa"/>
                  <w:shd w:val="clear" w:color="auto" w:fill="auto"/>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0"/>
                      <w:kern w:val="0"/>
                      <w:sz w:val="18"/>
                      <w:szCs w:val="18"/>
                      <w:lang w:val="en-US" w:eastAsia="zh-CN" w:bidi="ar-SA"/>
                    </w:rPr>
                  </w:pPr>
                  <w:r>
                    <w:rPr>
                      <w:rFonts w:hint="default" w:ascii="Times New Roman" w:hAnsi="Times New Roman" w:eastAsia="宋体" w:cs="Times New Roman"/>
                      <w:color w:val="auto"/>
                      <w:sz w:val="18"/>
                      <w:szCs w:val="18"/>
                    </w:rPr>
                    <w:t>SS</w:t>
                  </w:r>
                </w:p>
              </w:tc>
              <w:tc>
                <w:tcPr>
                  <w:tcW w:w="873" w:type="dxa"/>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2</w:t>
                  </w:r>
                  <w:r>
                    <w:rPr>
                      <w:rFonts w:hint="eastAsia" w:ascii="Times New Roman" w:hAnsi="Times New Roman" w:eastAsia="宋体" w:cs="Times New Roman"/>
                      <w:i w:val="0"/>
                      <w:iCs w:val="0"/>
                      <w:color w:val="auto"/>
                      <w:kern w:val="0"/>
                      <w:sz w:val="18"/>
                      <w:szCs w:val="18"/>
                      <w:u w:val="none"/>
                      <w:lang w:val="en-US" w:eastAsia="zh-CN" w:bidi="ar"/>
                    </w:rPr>
                    <w:t>5</w:t>
                  </w:r>
                  <w:r>
                    <w:rPr>
                      <w:rFonts w:hint="default" w:ascii="Times New Roman" w:hAnsi="Times New Roman" w:eastAsia="宋体" w:cs="Times New Roman"/>
                      <w:i w:val="0"/>
                      <w:iCs w:val="0"/>
                      <w:color w:val="auto"/>
                      <w:kern w:val="0"/>
                      <w:sz w:val="18"/>
                      <w:szCs w:val="18"/>
                      <w:u w:val="none"/>
                      <w:lang w:val="en-US" w:eastAsia="zh-CN" w:bidi="ar"/>
                    </w:rPr>
                    <w:t>0</w:t>
                  </w:r>
                </w:p>
              </w:tc>
              <w:tc>
                <w:tcPr>
                  <w:tcW w:w="930" w:type="dxa"/>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 xml:space="preserve">0.0240 </w:t>
                  </w:r>
                </w:p>
              </w:tc>
              <w:tc>
                <w:tcPr>
                  <w:tcW w:w="815" w:type="dxa"/>
                  <w:vMerge w:val="continue"/>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iCs w:val="0"/>
                      <w:color w:val="auto"/>
                      <w:kern w:val="0"/>
                      <w:sz w:val="18"/>
                      <w:szCs w:val="18"/>
                      <w:u w:val="none"/>
                      <w:lang w:val="en-US" w:eastAsia="zh-CN" w:bidi="ar"/>
                    </w:rPr>
                  </w:pPr>
                </w:p>
              </w:tc>
              <w:tc>
                <w:tcPr>
                  <w:tcW w:w="846" w:type="dxa"/>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20</w:t>
                  </w:r>
                  <w:r>
                    <w:rPr>
                      <w:rFonts w:hint="default" w:ascii="Times New Roman" w:hAnsi="Times New Roman" w:eastAsia="宋体" w:cs="Times New Roman"/>
                      <w:i w:val="0"/>
                      <w:iCs w:val="0"/>
                      <w:color w:val="auto"/>
                      <w:kern w:val="0"/>
                      <w:sz w:val="18"/>
                      <w:szCs w:val="18"/>
                      <w:u w:val="none"/>
                      <w:lang w:val="en-US" w:eastAsia="zh-CN" w:bidi="ar"/>
                    </w:rPr>
                    <w:t>0</w:t>
                  </w:r>
                </w:p>
              </w:tc>
              <w:tc>
                <w:tcPr>
                  <w:tcW w:w="818" w:type="dxa"/>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 xml:space="preserve">0.0192 </w:t>
                  </w:r>
                </w:p>
              </w:tc>
              <w:tc>
                <w:tcPr>
                  <w:tcW w:w="601" w:type="dxa"/>
                  <w:vMerge w:val="continue"/>
                  <w:vAlign w:val="center"/>
                </w:tcPr>
                <w:p>
                  <w:pPr>
                    <w:jc w:val="center"/>
                    <w:textAlignment w:val="center"/>
                    <w:rPr>
                      <w:kern w:val="0"/>
                      <w:sz w:val="18"/>
                      <w:szCs w:val="18"/>
                      <w:lang w:bidi="ar"/>
                    </w:rPr>
                  </w:pPr>
                </w:p>
              </w:tc>
              <w:tc>
                <w:tcPr>
                  <w:tcW w:w="754" w:type="dxa"/>
                  <w:vMerge w:val="continue"/>
                  <w:vAlign w:val="center"/>
                </w:tcPr>
                <w:p>
                  <w:pPr>
                    <w:jc w:val="center"/>
                    <w:textAlignment w:val="center"/>
                    <w:rPr>
                      <w:kern w:val="0"/>
                      <w:sz w:val="18"/>
                      <w:szCs w:val="18"/>
                      <w:lang w:bidi="ar"/>
                    </w:rPr>
                  </w:pPr>
                </w:p>
              </w:tc>
              <w:tc>
                <w:tcPr>
                  <w:tcW w:w="945" w:type="dxa"/>
                  <w:vMerge w:val="continue"/>
                  <w:vAlign w:val="center"/>
                </w:tcPr>
                <w:p>
                  <w:pPr>
                    <w:jc w:val="center"/>
                    <w:textAlignment w:val="center"/>
                    <w:rPr>
                      <w:kern w:val="0"/>
                      <w:sz w:val="18"/>
                      <w:szCs w:val="18"/>
                      <w:lang w:bidi="ar"/>
                    </w:rPr>
                  </w:pPr>
                </w:p>
              </w:tc>
              <w:tc>
                <w:tcPr>
                  <w:tcW w:w="810" w:type="dxa"/>
                  <w:vAlign w:val="center"/>
                </w:tcPr>
                <w:p>
                  <w:pPr>
                    <w:jc w:val="center"/>
                    <w:textAlignment w:val="center"/>
                    <w:rPr>
                      <w:rFonts w:hint="eastAsia"/>
                      <w:kern w:val="0"/>
                      <w:sz w:val="18"/>
                      <w:szCs w:val="18"/>
                      <w:lang w:val="en-US" w:eastAsia="zh-CN" w:bidi="ar"/>
                    </w:rPr>
                  </w:pPr>
                  <w:r>
                    <w:rPr>
                      <w:rFonts w:hint="eastAsia"/>
                      <w:kern w:val="0"/>
                      <w:sz w:val="18"/>
                      <w:szCs w:val="18"/>
                      <w:lang w:val="en-US" w:eastAsia="zh-CN" w:bidi="ar"/>
                    </w:rPr>
                    <w:t>20</w:t>
                  </w:r>
                </w:p>
              </w:tc>
              <w:tc>
                <w:tcPr>
                  <w:tcW w:w="930" w:type="dxa"/>
                  <w:vMerge w:val="continue"/>
                  <w:vAlign w:val="center"/>
                </w:tcPr>
                <w:p>
                  <w:pPr>
                    <w:jc w:val="center"/>
                    <w:textAlignment w:val="center"/>
                    <w:rPr>
                      <w:kern w:val="0"/>
                      <w:sz w:val="18"/>
                      <w:szCs w:val="18"/>
                      <w:lang w:bidi="ar"/>
                    </w:rPr>
                  </w:pPr>
                </w:p>
              </w:tc>
              <w:tc>
                <w:tcPr>
                  <w:tcW w:w="600" w:type="dxa"/>
                  <w:vMerge w:val="continue"/>
                  <w:vAlign w:val="center"/>
                </w:tcPr>
                <w:p>
                  <w:pPr>
                    <w:jc w:val="center"/>
                    <w:textAlignment w:val="center"/>
                    <w:rPr>
                      <w:kern w:val="0"/>
                      <w:sz w:val="18"/>
                      <w:szCs w:val="18"/>
                      <w:lang w:bidi="ar"/>
                    </w:rPr>
                  </w:pPr>
                </w:p>
              </w:tc>
              <w:tc>
                <w:tcPr>
                  <w:tcW w:w="624" w:type="dxa"/>
                  <w:vMerge w:val="continue"/>
                  <w:vAlign w:val="center"/>
                </w:tcPr>
                <w:p>
                  <w:pPr>
                    <w:jc w:val="center"/>
                    <w:textAlignment w:val="center"/>
                    <w:rPr>
                      <w:kern w:val="0"/>
                      <w:sz w:val="18"/>
                      <w:szCs w:val="18"/>
                      <w:lang w:bidi="ar"/>
                    </w:rPr>
                  </w:pPr>
                </w:p>
              </w:tc>
              <w:tc>
                <w:tcPr>
                  <w:tcW w:w="661" w:type="dxa"/>
                  <w:vMerge w:val="continue"/>
                  <w:vAlign w:val="center"/>
                </w:tcPr>
                <w:p>
                  <w:pPr>
                    <w:jc w:val="center"/>
                    <w:textAlignment w:val="center"/>
                    <w:rPr>
                      <w:kern w:val="0"/>
                      <w:sz w:val="18"/>
                      <w:szCs w:val="18"/>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613" w:type="dxa"/>
                  <w:vMerge w:val="continue"/>
                  <w:vAlign w:val="center"/>
                </w:tcPr>
                <w:p>
                  <w:pPr>
                    <w:jc w:val="center"/>
                    <w:textAlignment w:val="center"/>
                    <w:rPr>
                      <w:kern w:val="0"/>
                      <w:sz w:val="18"/>
                      <w:szCs w:val="18"/>
                      <w:lang w:bidi="ar"/>
                    </w:rPr>
                  </w:pPr>
                </w:p>
              </w:tc>
              <w:tc>
                <w:tcPr>
                  <w:tcW w:w="827" w:type="dxa"/>
                  <w:vMerge w:val="continue"/>
                  <w:vAlign w:val="center"/>
                </w:tcPr>
                <w:p>
                  <w:pPr>
                    <w:jc w:val="center"/>
                    <w:textAlignment w:val="center"/>
                    <w:rPr>
                      <w:kern w:val="0"/>
                      <w:sz w:val="18"/>
                      <w:szCs w:val="18"/>
                      <w:lang w:bidi="ar"/>
                    </w:rPr>
                  </w:pPr>
                </w:p>
              </w:tc>
              <w:tc>
                <w:tcPr>
                  <w:tcW w:w="756" w:type="dxa"/>
                  <w:vMerge w:val="continue"/>
                  <w:vAlign w:val="center"/>
                </w:tcPr>
                <w:p>
                  <w:pPr>
                    <w:jc w:val="center"/>
                    <w:textAlignment w:val="center"/>
                    <w:rPr>
                      <w:kern w:val="0"/>
                      <w:sz w:val="18"/>
                      <w:szCs w:val="18"/>
                      <w:lang w:bidi="ar"/>
                    </w:rPr>
                  </w:pPr>
                </w:p>
              </w:tc>
              <w:tc>
                <w:tcPr>
                  <w:tcW w:w="885" w:type="dxa"/>
                  <w:shd w:val="clear" w:color="auto" w:fill="auto"/>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0"/>
                      <w:kern w:val="0"/>
                      <w:sz w:val="18"/>
                      <w:szCs w:val="18"/>
                      <w:lang w:val="en-US" w:eastAsia="zh-CN" w:bidi="ar-SA"/>
                    </w:rPr>
                  </w:pPr>
                  <w:r>
                    <w:rPr>
                      <w:rFonts w:hint="default" w:ascii="Times New Roman" w:hAnsi="Times New Roman" w:eastAsia="宋体" w:cs="Times New Roman"/>
                      <w:color w:val="auto"/>
                      <w:sz w:val="18"/>
                      <w:szCs w:val="18"/>
                    </w:rPr>
                    <w:t>NH</w:t>
                  </w:r>
                  <w:r>
                    <w:rPr>
                      <w:rFonts w:hint="default" w:ascii="Times New Roman" w:hAnsi="Times New Roman" w:eastAsia="宋体" w:cs="Times New Roman"/>
                      <w:color w:val="auto"/>
                      <w:sz w:val="18"/>
                      <w:szCs w:val="18"/>
                      <w:vertAlign w:val="subscript"/>
                    </w:rPr>
                    <w:t>3</w:t>
                  </w:r>
                  <w:r>
                    <w:rPr>
                      <w:rFonts w:hint="default" w:ascii="Times New Roman" w:hAnsi="Times New Roman" w:eastAsia="宋体" w:cs="Times New Roman"/>
                      <w:color w:val="auto"/>
                      <w:sz w:val="18"/>
                      <w:szCs w:val="18"/>
                    </w:rPr>
                    <w:t>-N</w:t>
                  </w:r>
                </w:p>
              </w:tc>
              <w:tc>
                <w:tcPr>
                  <w:tcW w:w="873" w:type="dxa"/>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30</w:t>
                  </w:r>
                </w:p>
              </w:tc>
              <w:tc>
                <w:tcPr>
                  <w:tcW w:w="930" w:type="dxa"/>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 xml:space="preserve">0.0029 </w:t>
                  </w:r>
                </w:p>
              </w:tc>
              <w:tc>
                <w:tcPr>
                  <w:tcW w:w="815" w:type="dxa"/>
                  <w:vMerge w:val="continue"/>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iCs w:val="0"/>
                      <w:color w:val="auto"/>
                      <w:kern w:val="0"/>
                      <w:sz w:val="18"/>
                      <w:szCs w:val="18"/>
                      <w:u w:val="none"/>
                      <w:lang w:val="en-US" w:eastAsia="zh-CN" w:bidi="ar"/>
                    </w:rPr>
                  </w:pPr>
                </w:p>
              </w:tc>
              <w:tc>
                <w:tcPr>
                  <w:tcW w:w="846" w:type="dxa"/>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30</w:t>
                  </w:r>
                </w:p>
              </w:tc>
              <w:tc>
                <w:tcPr>
                  <w:tcW w:w="818" w:type="dxa"/>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 xml:space="preserve">0.0029 </w:t>
                  </w:r>
                </w:p>
              </w:tc>
              <w:tc>
                <w:tcPr>
                  <w:tcW w:w="601" w:type="dxa"/>
                  <w:vMerge w:val="continue"/>
                  <w:vAlign w:val="center"/>
                </w:tcPr>
                <w:p>
                  <w:pPr>
                    <w:jc w:val="center"/>
                    <w:textAlignment w:val="center"/>
                    <w:rPr>
                      <w:kern w:val="0"/>
                      <w:sz w:val="18"/>
                      <w:szCs w:val="18"/>
                      <w:lang w:bidi="ar"/>
                    </w:rPr>
                  </w:pPr>
                </w:p>
              </w:tc>
              <w:tc>
                <w:tcPr>
                  <w:tcW w:w="754" w:type="dxa"/>
                  <w:vMerge w:val="continue"/>
                  <w:vAlign w:val="center"/>
                </w:tcPr>
                <w:p>
                  <w:pPr>
                    <w:jc w:val="center"/>
                    <w:textAlignment w:val="center"/>
                    <w:rPr>
                      <w:kern w:val="0"/>
                      <w:sz w:val="18"/>
                      <w:szCs w:val="18"/>
                      <w:lang w:bidi="ar"/>
                    </w:rPr>
                  </w:pPr>
                </w:p>
              </w:tc>
              <w:tc>
                <w:tcPr>
                  <w:tcW w:w="945" w:type="dxa"/>
                  <w:vMerge w:val="continue"/>
                  <w:vAlign w:val="center"/>
                </w:tcPr>
                <w:p>
                  <w:pPr>
                    <w:jc w:val="center"/>
                    <w:textAlignment w:val="center"/>
                    <w:rPr>
                      <w:kern w:val="0"/>
                      <w:sz w:val="18"/>
                      <w:szCs w:val="18"/>
                      <w:lang w:bidi="ar"/>
                    </w:rPr>
                  </w:pPr>
                </w:p>
              </w:tc>
              <w:tc>
                <w:tcPr>
                  <w:tcW w:w="810" w:type="dxa"/>
                  <w:vAlign w:val="center"/>
                </w:tcPr>
                <w:p>
                  <w:pPr>
                    <w:jc w:val="center"/>
                    <w:textAlignment w:val="center"/>
                    <w:rPr>
                      <w:rFonts w:hint="eastAsia"/>
                      <w:kern w:val="0"/>
                      <w:sz w:val="18"/>
                      <w:szCs w:val="18"/>
                      <w:lang w:val="en-US" w:eastAsia="zh-CN" w:bidi="ar"/>
                    </w:rPr>
                  </w:pPr>
                  <w:r>
                    <w:rPr>
                      <w:rFonts w:hint="eastAsia"/>
                      <w:kern w:val="0"/>
                      <w:sz w:val="18"/>
                      <w:szCs w:val="18"/>
                      <w:lang w:val="en-US" w:eastAsia="zh-CN" w:bidi="ar"/>
                    </w:rPr>
                    <w:t>0</w:t>
                  </w:r>
                </w:p>
              </w:tc>
              <w:tc>
                <w:tcPr>
                  <w:tcW w:w="930" w:type="dxa"/>
                  <w:vMerge w:val="continue"/>
                  <w:vAlign w:val="center"/>
                </w:tcPr>
                <w:p>
                  <w:pPr>
                    <w:jc w:val="center"/>
                    <w:textAlignment w:val="center"/>
                    <w:rPr>
                      <w:kern w:val="0"/>
                      <w:sz w:val="18"/>
                      <w:szCs w:val="18"/>
                      <w:lang w:bidi="ar"/>
                    </w:rPr>
                  </w:pPr>
                </w:p>
              </w:tc>
              <w:tc>
                <w:tcPr>
                  <w:tcW w:w="600" w:type="dxa"/>
                  <w:vMerge w:val="continue"/>
                  <w:vAlign w:val="center"/>
                </w:tcPr>
                <w:p>
                  <w:pPr>
                    <w:jc w:val="center"/>
                    <w:textAlignment w:val="center"/>
                    <w:rPr>
                      <w:kern w:val="0"/>
                      <w:sz w:val="18"/>
                      <w:szCs w:val="18"/>
                      <w:lang w:bidi="ar"/>
                    </w:rPr>
                  </w:pPr>
                </w:p>
              </w:tc>
              <w:tc>
                <w:tcPr>
                  <w:tcW w:w="624" w:type="dxa"/>
                  <w:vMerge w:val="continue"/>
                  <w:vAlign w:val="center"/>
                </w:tcPr>
                <w:p>
                  <w:pPr>
                    <w:jc w:val="center"/>
                    <w:textAlignment w:val="center"/>
                    <w:rPr>
                      <w:kern w:val="0"/>
                      <w:sz w:val="18"/>
                      <w:szCs w:val="18"/>
                      <w:lang w:bidi="ar"/>
                    </w:rPr>
                  </w:pPr>
                </w:p>
              </w:tc>
              <w:tc>
                <w:tcPr>
                  <w:tcW w:w="661" w:type="dxa"/>
                  <w:vMerge w:val="continue"/>
                  <w:vAlign w:val="center"/>
                </w:tcPr>
                <w:p>
                  <w:pPr>
                    <w:jc w:val="center"/>
                    <w:textAlignment w:val="center"/>
                    <w:rPr>
                      <w:kern w:val="0"/>
                      <w:sz w:val="18"/>
                      <w:szCs w:val="18"/>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613" w:type="dxa"/>
                  <w:vMerge w:val="continue"/>
                  <w:vAlign w:val="center"/>
                </w:tcPr>
                <w:p>
                  <w:pPr>
                    <w:jc w:val="center"/>
                    <w:textAlignment w:val="center"/>
                    <w:rPr>
                      <w:kern w:val="0"/>
                      <w:sz w:val="18"/>
                      <w:szCs w:val="18"/>
                      <w:lang w:bidi="ar"/>
                    </w:rPr>
                  </w:pPr>
                </w:p>
              </w:tc>
              <w:tc>
                <w:tcPr>
                  <w:tcW w:w="827" w:type="dxa"/>
                  <w:vMerge w:val="continue"/>
                  <w:vAlign w:val="center"/>
                </w:tcPr>
                <w:p>
                  <w:pPr>
                    <w:jc w:val="center"/>
                    <w:textAlignment w:val="center"/>
                    <w:rPr>
                      <w:kern w:val="0"/>
                      <w:sz w:val="18"/>
                      <w:szCs w:val="18"/>
                      <w:lang w:bidi="ar"/>
                    </w:rPr>
                  </w:pPr>
                </w:p>
              </w:tc>
              <w:tc>
                <w:tcPr>
                  <w:tcW w:w="756" w:type="dxa"/>
                  <w:vMerge w:val="continue"/>
                  <w:vAlign w:val="center"/>
                </w:tcPr>
                <w:p>
                  <w:pPr>
                    <w:jc w:val="center"/>
                    <w:textAlignment w:val="center"/>
                    <w:rPr>
                      <w:kern w:val="0"/>
                      <w:sz w:val="18"/>
                      <w:szCs w:val="18"/>
                      <w:lang w:bidi="ar"/>
                    </w:rPr>
                  </w:pPr>
                </w:p>
              </w:tc>
              <w:tc>
                <w:tcPr>
                  <w:tcW w:w="885" w:type="dxa"/>
                  <w:shd w:val="clear" w:color="auto" w:fill="auto"/>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0"/>
                      <w:kern w:val="0"/>
                      <w:sz w:val="18"/>
                      <w:szCs w:val="18"/>
                      <w:lang w:val="en-US" w:eastAsia="zh-CN" w:bidi="ar-SA"/>
                    </w:rPr>
                  </w:pPr>
                  <w:r>
                    <w:rPr>
                      <w:rFonts w:hint="default" w:ascii="Times New Roman" w:hAnsi="Times New Roman" w:eastAsia="宋体" w:cs="Times New Roman"/>
                      <w:color w:val="auto"/>
                      <w:sz w:val="18"/>
                      <w:szCs w:val="18"/>
                    </w:rPr>
                    <w:t>总磷</w:t>
                  </w:r>
                </w:p>
              </w:tc>
              <w:tc>
                <w:tcPr>
                  <w:tcW w:w="873" w:type="dxa"/>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4</w:t>
                  </w:r>
                </w:p>
              </w:tc>
              <w:tc>
                <w:tcPr>
                  <w:tcW w:w="930" w:type="dxa"/>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 xml:space="preserve">0.0004 </w:t>
                  </w:r>
                </w:p>
              </w:tc>
              <w:tc>
                <w:tcPr>
                  <w:tcW w:w="815" w:type="dxa"/>
                  <w:vMerge w:val="continue"/>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p>
              </w:tc>
              <w:tc>
                <w:tcPr>
                  <w:tcW w:w="846" w:type="dxa"/>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4</w:t>
                  </w:r>
                </w:p>
              </w:tc>
              <w:tc>
                <w:tcPr>
                  <w:tcW w:w="818" w:type="dxa"/>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 xml:space="preserve">0.0004 </w:t>
                  </w:r>
                </w:p>
              </w:tc>
              <w:tc>
                <w:tcPr>
                  <w:tcW w:w="601" w:type="dxa"/>
                  <w:vMerge w:val="continue"/>
                  <w:vAlign w:val="center"/>
                </w:tcPr>
                <w:p>
                  <w:pPr>
                    <w:jc w:val="center"/>
                    <w:textAlignment w:val="center"/>
                    <w:rPr>
                      <w:kern w:val="0"/>
                      <w:sz w:val="18"/>
                      <w:szCs w:val="18"/>
                      <w:lang w:bidi="ar"/>
                    </w:rPr>
                  </w:pPr>
                </w:p>
              </w:tc>
              <w:tc>
                <w:tcPr>
                  <w:tcW w:w="754" w:type="dxa"/>
                  <w:vMerge w:val="continue"/>
                  <w:vAlign w:val="center"/>
                </w:tcPr>
                <w:p>
                  <w:pPr>
                    <w:jc w:val="center"/>
                    <w:textAlignment w:val="center"/>
                    <w:rPr>
                      <w:kern w:val="0"/>
                      <w:sz w:val="18"/>
                      <w:szCs w:val="18"/>
                      <w:lang w:bidi="ar"/>
                    </w:rPr>
                  </w:pPr>
                </w:p>
              </w:tc>
              <w:tc>
                <w:tcPr>
                  <w:tcW w:w="945" w:type="dxa"/>
                  <w:vMerge w:val="continue"/>
                  <w:vAlign w:val="center"/>
                </w:tcPr>
                <w:p>
                  <w:pPr>
                    <w:jc w:val="center"/>
                    <w:textAlignment w:val="center"/>
                    <w:rPr>
                      <w:kern w:val="0"/>
                      <w:sz w:val="18"/>
                      <w:szCs w:val="18"/>
                      <w:lang w:bidi="ar"/>
                    </w:rPr>
                  </w:pPr>
                </w:p>
              </w:tc>
              <w:tc>
                <w:tcPr>
                  <w:tcW w:w="810" w:type="dxa"/>
                  <w:vAlign w:val="center"/>
                </w:tcPr>
                <w:p>
                  <w:pPr>
                    <w:jc w:val="center"/>
                    <w:textAlignment w:val="center"/>
                    <w:rPr>
                      <w:rFonts w:hint="eastAsia"/>
                      <w:kern w:val="0"/>
                      <w:sz w:val="18"/>
                      <w:szCs w:val="18"/>
                      <w:lang w:val="en-US" w:eastAsia="zh-CN" w:bidi="ar"/>
                    </w:rPr>
                  </w:pPr>
                  <w:r>
                    <w:rPr>
                      <w:rFonts w:hint="eastAsia"/>
                      <w:kern w:val="0"/>
                      <w:sz w:val="18"/>
                      <w:szCs w:val="18"/>
                      <w:lang w:val="en-US" w:eastAsia="zh-CN" w:bidi="ar"/>
                    </w:rPr>
                    <w:t>0</w:t>
                  </w:r>
                </w:p>
              </w:tc>
              <w:tc>
                <w:tcPr>
                  <w:tcW w:w="930" w:type="dxa"/>
                  <w:vMerge w:val="continue"/>
                  <w:vAlign w:val="center"/>
                </w:tcPr>
                <w:p>
                  <w:pPr>
                    <w:jc w:val="center"/>
                    <w:textAlignment w:val="center"/>
                    <w:rPr>
                      <w:kern w:val="0"/>
                      <w:sz w:val="18"/>
                      <w:szCs w:val="18"/>
                      <w:lang w:bidi="ar"/>
                    </w:rPr>
                  </w:pPr>
                </w:p>
              </w:tc>
              <w:tc>
                <w:tcPr>
                  <w:tcW w:w="600" w:type="dxa"/>
                  <w:vMerge w:val="continue"/>
                  <w:vAlign w:val="center"/>
                </w:tcPr>
                <w:p>
                  <w:pPr>
                    <w:jc w:val="center"/>
                    <w:textAlignment w:val="center"/>
                    <w:rPr>
                      <w:kern w:val="0"/>
                      <w:sz w:val="18"/>
                      <w:szCs w:val="18"/>
                      <w:lang w:bidi="ar"/>
                    </w:rPr>
                  </w:pPr>
                </w:p>
              </w:tc>
              <w:tc>
                <w:tcPr>
                  <w:tcW w:w="624" w:type="dxa"/>
                  <w:vMerge w:val="continue"/>
                  <w:vAlign w:val="center"/>
                </w:tcPr>
                <w:p>
                  <w:pPr>
                    <w:jc w:val="center"/>
                    <w:textAlignment w:val="center"/>
                    <w:rPr>
                      <w:kern w:val="0"/>
                      <w:sz w:val="18"/>
                      <w:szCs w:val="18"/>
                      <w:lang w:bidi="ar"/>
                    </w:rPr>
                  </w:pPr>
                </w:p>
              </w:tc>
              <w:tc>
                <w:tcPr>
                  <w:tcW w:w="661" w:type="dxa"/>
                  <w:vMerge w:val="continue"/>
                  <w:vAlign w:val="center"/>
                </w:tcPr>
                <w:p>
                  <w:pPr>
                    <w:jc w:val="center"/>
                    <w:textAlignment w:val="center"/>
                    <w:rPr>
                      <w:kern w:val="0"/>
                      <w:sz w:val="18"/>
                      <w:szCs w:val="18"/>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613" w:type="dxa"/>
                  <w:vMerge w:val="continue"/>
                  <w:vAlign w:val="center"/>
                </w:tcPr>
                <w:p>
                  <w:pPr>
                    <w:jc w:val="center"/>
                    <w:textAlignment w:val="center"/>
                    <w:rPr>
                      <w:kern w:val="0"/>
                      <w:sz w:val="18"/>
                      <w:szCs w:val="18"/>
                      <w:lang w:bidi="ar"/>
                    </w:rPr>
                  </w:pPr>
                </w:p>
              </w:tc>
              <w:tc>
                <w:tcPr>
                  <w:tcW w:w="827" w:type="dxa"/>
                  <w:vMerge w:val="continue"/>
                  <w:vAlign w:val="center"/>
                </w:tcPr>
                <w:p>
                  <w:pPr>
                    <w:jc w:val="center"/>
                    <w:textAlignment w:val="center"/>
                    <w:rPr>
                      <w:kern w:val="0"/>
                      <w:sz w:val="18"/>
                      <w:szCs w:val="18"/>
                      <w:lang w:bidi="ar"/>
                    </w:rPr>
                  </w:pPr>
                </w:p>
              </w:tc>
              <w:tc>
                <w:tcPr>
                  <w:tcW w:w="756" w:type="dxa"/>
                  <w:vMerge w:val="continue"/>
                  <w:vAlign w:val="center"/>
                </w:tcPr>
                <w:p>
                  <w:pPr>
                    <w:jc w:val="center"/>
                    <w:textAlignment w:val="center"/>
                    <w:rPr>
                      <w:kern w:val="0"/>
                      <w:sz w:val="18"/>
                      <w:szCs w:val="18"/>
                      <w:lang w:bidi="ar"/>
                    </w:rPr>
                  </w:pPr>
                </w:p>
              </w:tc>
              <w:tc>
                <w:tcPr>
                  <w:tcW w:w="885" w:type="dxa"/>
                  <w:shd w:val="clear" w:color="auto" w:fill="auto"/>
                  <w:vAlign w:val="center"/>
                </w:tcPr>
                <w:p>
                  <w:pPr>
                    <w:pStyle w:val="30"/>
                    <w:keepNext w:val="0"/>
                    <w:keepLines w:val="0"/>
                    <w:pageBreakBefore w:val="0"/>
                    <w:widowControl w:val="0"/>
                    <w:tabs>
                      <w:tab w:val="left" w:pos="46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0"/>
                      <w:kern w:val="0"/>
                      <w:sz w:val="18"/>
                      <w:szCs w:val="18"/>
                      <w:lang w:val="en-US" w:eastAsia="zh-CN" w:bidi="ar-SA"/>
                    </w:rPr>
                  </w:pPr>
                  <w:r>
                    <w:rPr>
                      <w:rFonts w:hint="default" w:ascii="Times New Roman" w:hAnsi="Times New Roman" w:eastAsia="宋体" w:cs="Times New Roman"/>
                      <w:color w:val="auto"/>
                      <w:sz w:val="18"/>
                      <w:szCs w:val="18"/>
                    </w:rPr>
                    <w:t>总氮</w:t>
                  </w:r>
                </w:p>
              </w:tc>
              <w:tc>
                <w:tcPr>
                  <w:tcW w:w="873" w:type="dxa"/>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45</w:t>
                  </w:r>
                </w:p>
              </w:tc>
              <w:tc>
                <w:tcPr>
                  <w:tcW w:w="930" w:type="dxa"/>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 xml:space="preserve">0.0043 </w:t>
                  </w:r>
                </w:p>
              </w:tc>
              <w:tc>
                <w:tcPr>
                  <w:tcW w:w="815" w:type="dxa"/>
                  <w:vMerge w:val="continue"/>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p>
              </w:tc>
              <w:tc>
                <w:tcPr>
                  <w:tcW w:w="846" w:type="dxa"/>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45</w:t>
                  </w:r>
                </w:p>
              </w:tc>
              <w:tc>
                <w:tcPr>
                  <w:tcW w:w="818" w:type="dxa"/>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 xml:space="preserve">0.0043 </w:t>
                  </w:r>
                </w:p>
              </w:tc>
              <w:tc>
                <w:tcPr>
                  <w:tcW w:w="601" w:type="dxa"/>
                  <w:vMerge w:val="continue"/>
                  <w:vAlign w:val="center"/>
                </w:tcPr>
                <w:p>
                  <w:pPr>
                    <w:jc w:val="center"/>
                    <w:textAlignment w:val="center"/>
                    <w:rPr>
                      <w:kern w:val="0"/>
                      <w:sz w:val="18"/>
                      <w:szCs w:val="18"/>
                      <w:lang w:bidi="ar"/>
                    </w:rPr>
                  </w:pPr>
                </w:p>
              </w:tc>
              <w:tc>
                <w:tcPr>
                  <w:tcW w:w="754" w:type="dxa"/>
                  <w:vMerge w:val="continue"/>
                  <w:vAlign w:val="center"/>
                </w:tcPr>
                <w:p>
                  <w:pPr>
                    <w:jc w:val="center"/>
                    <w:textAlignment w:val="center"/>
                    <w:rPr>
                      <w:kern w:val="0"/>
                      <w:sz w:val="18"/>
                      <w:szCs w:val="18"/>
                      <w:lang w:bidi="ar"/>
                    </w:rPr>
                  </w:pPr>
                </w:p>
              </w:tc>
              <w:tc>
                <w:tcPr>
                  <w:tcW w:w="945" w:type="dxa"/>
                  <w:vMerge w:val="continue"/>
                  <w:vAlign w:val="center"/>
                </w:tcPr>
                <w:p>
                  <w:pPr>
                    <w:jc w:val="center"/>
                    <w:textAlignment w:val="center"/>
                    <w:rPr>
                      <w:kern w:val="0"/>
                      <w:sz w:val="18"/>
                      <w:szCs w:val="18"/>
                      <w:lang w:bidi="ar"/>
                    </w:rPr>
                  </w:pPr>
                </w:p>
              </w:tc>
              <w:tc>
                <w:tcPr>
                  <w:tcW w:w="810" w:type="dxa"/>
                  <w:vAlign w:val="center"/>
                </w:tcPr>
                <w:p>
                  <w:pPr>
                    <w:jc w:val="center"/>
                    <w:textAlignment w:val="center"/>
                    <w:rPr>
                      <w:rFonts w:hint="eastAsia"/>
                      <w:kern w:val="0"/>
                      <w:sz w:val="18"/>
                      <w:szCs w:val="18"/>
                      <w:lang w:val="en-US" w:eastAsia="zh-CN" w:bidi="ar"/>
                    </w:rPr>
                  </w:pPr>
                  <w:r>
                    <w:rPr>
                      <w:rFonts w:hint="eastAsia"/>
                      <w:kern w:val="0"/>
                      <w:sz w:val="18"/>
                      <w:szCs w:val="18"/>
                      <w:lang w:val="en-US" w:eastAsia="zh-CN" w:bidi="ar"/>
                    </w:rPr>
                    <w:t>0</w:t>
                  </w:r>
                </w:p>
              </w:tc>
              <w:tc>
                <w:tcPr>
                  <w:tcW w:w="930" w:type="dxa"/>
                  <w:vMerge w:val="continue"/>
                  <w:vAlign w:val="center"/>
                </w:tcPr>
                <w:p>
                  <w:pPr>
                    <w:jc w:val="center"/>
                    <w:textAlignment w:val="center"/>
                    <w:rPr>
                      <w:kern w:val="0"/>
                      <w:sz w:val="18"/>
                      <w:szCs w:val="18"/>
                      <w:lang w:bidi="ar"/>
                    </w:rPr>
                  </w:pPr>
                </w:p>
              </w:tc>
              <w:tc>
                <w:tcPr>
                  <w:tcW w:w="600" w:type="dxa"/>
                  <w:vMerge w:val="continue"/>
                  <w:vAlign w:val="center"/>
                </w:tcPr>
                <w:p>
                  <w:pPr>
                    <w:jc w:val="center"/>
                    <w:textAlignment w:val="center"/>
                    <w:rPr>
                      <w:kern w:val="0"/>
                      <w:sz w:val="18"/>
                      <w:szCs w:val="18"/>
                      <w:lang w:bidi="ar"/>
                    </w:rPr>
                  </w:pPr>
                </w:p>
              </w:tc>
              <w:tc>
                <w:tcPr>
                  <w:tcW w:w="624" w:type="dxa"/>
                  <w:vMerge w:val="continue"/>
                  <w:vAlign w:val="center"/>
                </w:tcPr>
                <w:p>
                  <w:pPr>
                    <w:jc w:val="center"/>
                    <w:textAlignment w:val="center"/>
                    <w:rPr>
                      <w:kern w:val="0"/>
                      <w:sz w:val="18"/>
                      <w:szCs w:val="18"/>
                      <w:lang w:bidi="ar"/>
                    </w:rPr>
                  </w:pPr>
                </w:p>
              </w:tc>
              <w:tc>
                <w:tcPr>
                  <w:tcW w:w="661" w:type="dxa"/>
                  <w:vMerge w:val="continue"/>
                  <w:vAlign w:val="center"/>
                </w:tcPr>
                <w:p>
                  <w:pPr>
                    <w:jc w:val="center"/>
                    <w:textAlignment w:val="center"/>
                    <w:rPr>
                      <w:kern w:val="0"/>
                      <w:sz w:val="18"/>
                      <w:szCs w:val="18"/>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613" w:type="dxa"/>
                  <w:vMerge w:val="continue"/>
                  <w:vAlign w:val="center"/>
                </w:tcPr>
                <w:p>
                  <w:pPr>
                    <w:jc w:val="center"/>
                    <w:textAlignment w:val="center"/>
                    <w:rPr>
                      <w:kern w:val="0"/>
                      <w:sz w:val="18"/>
                      <w:szCs w:val="18"/>
                      <w:lang w:bidi="ar"/>
                    </w:rPr>
                  </w:pPr>
                </w:p>
              </w:tc>
              <w:tc>
                <w:tcPr>
                  <w:tcW w:w="827" w:type="dxa"/>
                  <w:vMerge w:val="continue"/>
                  <w:vAlign w:val="center"/>
                </w:tcPr>
                <w:p>
                  <w:pPr>
                    <w:jc w:val="center"/>
                    <w:textAlignment w:val="center"/>
                    <w:rPr>
                      <w:kern w:val="0"/>
                      <w:sz w:val="18"/>
                      <w:szCs w:val="18"/>
                      <w:lang w:bidi="ar"/>
                    </w:rPr>
                  </w:pPr>
                </w:p>
              </w:tc>
              <w:tc>
                <w:tcPr>
                  <w:tcW w:w="756" w:type="dxa"/>
                  <w:vMerge w:val="continue"/>
                  <w:vAlign w:val="center"/>
                </w:tcPr>
                <w:p>
                  <w:pPr>
                    <w:jc w:val="center"/>
                    <w:textAlignment w:val="center"/>
                    <w:rPr>
                      <w:kern w:val="0"/>
                      <w:sz w:val="18"/>
                      <w:szCs w:val="18"/>
                      <w:lang w:bidi="ar"/>
                    </w:rPr>
                  </w:pPr>
                </w:p>
              </w:tc>
              <w:tc>
                <w:tcPr>
                  <w:tcW w:w="885" w:type="dxa"/>
                  <w:shd w:val="clear" w:color="auto" w:fill="auto"/>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0"/>
                      <w:kern w:val="0"/>
                      <w:sz w:val="18"/>
                      <w:szCs w:val="18"/>
                      <w:lang w:val="en-US" w:eastAsia="zh-CN" w:bidi="ar-SA"/>
                    </w:rPr>
                  </w:pPr>
                  <w:r>
                    <w:rPr>
                      <w:rFonts w:hint="default" w:ascii="Times New Roman" w:hAnsi="Times New Roman" w:eastAsia="宋体" w:cs="Times New Roman"/>
                      <w:color w:val="auto"/>
                      <w:sz w:val="18"/>
                      <w:szCs w:val="18"/>
                    </w:rPr>
                    <w:t>动植物油</w:t>
                  </w:r>
                </w:p>
              </w:tc>
              <w:tc>
                <w:tcPr>
                  <w:tcW w:w="873" w:type="dxa"/>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160</w:t>
                  </w:r>
                </w:p>
              </w:tc>
              <w:tc>
                <w:tcPr>
                  <w:tcW w:w="930" w:type="dxa"/>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 xml:space="preserve">0.0154 </w:t>
                  </w:r>
                </w:p>
              </w:tc>
              <w:tc>
                <w:tcPr>
                  <w:tcW w:w="815" w:type="dxa"/>
                  <w:vMerge w:val="continue"/>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p>
              </w:tc>
              <w:tc>
                <w:tcPr>
                  <w:tcW w:w="846" w:type="dxa"/>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80</w:t>
                  </w:r>
                </w:p>
              </w:tc>
              <w:tc>
                <w:tcPr>
                  <w:tcW w:w="818" w:type="dxa"/>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 xml:space="preserve">0.0077 </w:t>
                  </w:r>
                </w:p>
              </w:tc>
              <w:tc>
                <w:tcPr>
                  <w:tcW w:w="601" w:type="dxa"/>
                  <w:vMerge w:val="continue"/>
                  <w:vAlign w:val="center"/>
                </w:tcPr>
                <w:p>
                  <w:pPr>
                    <w:jc w:val="center"/>
                    <w:textAlignment w:val="center"/>
                    <w:rPr>
                      <w:kern w:val="0"/>
                      <w:sz w:val="18"/>
                      <w:szCs w:val="18"/>
                      <w:lang w:bidi="ar"/>
                    </w:rPr>
                  </w:pPr>
                </w:p>
              </w:tc>
              <w:tc>
                <w:tcPr>
                  <w:tcW w:w="754" w:type="dxa"/>
                  <w:vMerge w:val="continue"/>
                  <w:vAlign w:val="center"/>
                </w:tcPr>
                <w:p>
                  <w:pPr>
                    <w:jc w:val="center"/>
                    <w:textAlignment w:val="center"/>
                    <w:rPr>
                      <w:kern w:val="0"/>
                      <w:sz w:val="18"/>
                      <w:szCs w:val="18"/>
                      <w:lang w:bidi="ar"/>
                    </w:rPr>
                  </w:pPr>
                </w:p>
              </w:tc>
              <w:tc>
                <w:tcPr>
                  <w:tcW w:w="945" w:type="dxa"/>
                  <w:vMerge w:val="continue"/>
                  <w:vAlign w:val="center"/>
                </w:tcPr>
                <w:p>
                  <w:pPr>
                    <w:jc w:val="center"/>
                    <w:textAlignment w:val="center"/>
                    <w:rPr>
                      <w:kern w:val="0"/>
                      <w:sz w:val="18"/>
                      <w:szCs w:val="18"/>
                      <w:lang w:bidi="ar"/>
                    </w:rPr>
                  </w:pPr>
                </w:p>
              </w:tc>
              <w:tc>
                <w:tcPr>
                  <w:tcW w:w="810" w:type="dxa"/>
                  <w:vAlign w:val="center"/>
                </w:tcPr>
                <w:p>
                  <w:pPr>
                    <w:jc w:val="center"/>
                    <w:textAlignment w:val="center"/>
                    <w:rPr>
                      <w:rFonts w:hint="eastAsia"/>
                      <w:kern w:val="0"/>
                      <w:sz w:val="18"/>
                      <w:szCs w:val="18"/>
                      <w:lang w:val="en-US" w:eastAsia="zh-CN" w:bidi="ar"/>
                    </w:rPr>
                  </w:pPr>
                  <w:r>
                    <w:rPr>
                      <w:rFonts w:hint="eastAsia"/>
                      <w:kern w:val="0"/>
                      <w:sz w:val="18"/>
                      <w:szCs w:val="18"/>
                      <w:lang w:val="en-US" w:eastAsia="zh-CN" w:bidi="ar"/>
                    </w:rPr>
                    <w:t>0</w:t>
                  </w:r>
                </w:p>
              </w:tc>
              <w:tc>
                <w:tcPr>
                  <w:tcW w:w="930" w:type="dxa"/>
                  <w:vMerge w:val="continue"/>
                  <w:vAlign w:val="center"/>
                </w:tcPr>
                <w:p>
                  <w:pPr>
                    <w:jc w:val="center"/>
                    <w:textAlignment w:val="center"/>
                    <w:rPr>
                      <w:kern w:val="0"/>
                      <w:sz w:val="18"/>
                      <w:szCs w:val="18"/>
                      <w:lang w:bidi="ar"/>
                    </w:rPr>
                  </w:pPr>
                </w:p>
              </w:tc>
              <w:tc>
                <w:tcPr>
                  <w:tcW w:w="600" w:type="dxa"/>
                  <w:vMerge w:val="continue"/>
                  <w:vAlign w:val="center"/>
                </w:tcPr>
                <w:p>
                  <w:pPr>
                    <w:jc w:val="center"/>
                    <w:textAlignment w:val="center"/>
                    <w:rPr>
                      <w:kern w:val="0"/>
                      <w:sz w:val="18"/>
                      <w:szCs w:val="18"/>
                      <w:lang w:bidi="ar"/>
                    </w:rPr>
                  </w:pPr>
                </w:p>
              </w:tc>
              <w:tc>
                <w:tcPr>
                  <w:tcW w:w="624" w:type="dxa"/>
                  <w:vMerge w:val="continue"/>
                  <w:vAlign w:val="center"/>
                </w:tcPr>
                <w:p>
                  <w:pPr>
                    <w:jc w:val="center"/>
                    <w:textAlignment w:val="center"/>
                    <w:rPr>
                      <w:kern w:val="0"/>
                      <w:sz w:val="18"/>
                      <w:szCs w:val="18"/>
                      <w:lang w:bidi="ar"/>
                    </w:rPr>
                  </w:pPr>
                </w:p>
              </w:tc>
              <w:tc>
                <w:tcPr>
                  <w:tcW w:w="661" w:type="dxa"/>
                  <w:vMerge w:val="continue"/>
                  <w:vAlign w:val="center"/>
                </w:tcPr>
                <w:p>
                  <w:pPr>
                    <w:jc w:val="center"/>
                    <w:textAlignment w:val="center"/>
                    <w:rPr>
                      <w:kern w:val="0"/>
                      <w:sz w:val="18"/>
                      <w:szCs w:val="18"/>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613" w:type="dxa"/>
                  <w:vMerge w:val="restart"/>
                  <w:vAlign w:val="center"/>
                </w:tcPr>
                <w:p>
                  <w:pPr>
                    <w:jc w:val="center"/>
                    <w:textAlignment w:val="center"/>
                    <w:rPr>
                      <w:rFonts w:hint="eastAsia" w:eastAsia="宋体"/>
                      <w:kern w:val="0"/>
                      <w:sz w:val="18"/>
                      <w:szCs w:val="18"/>
                      <w:lang w:eastAsia="zh-CN" w:bidi="ar"/>
                    </w:rPr>
                  </w:pPr>
                  <w:r>
                    <w:rPr>
                      <w:rFonts w:hint="eastAsia"/>
                      <w:kern w:val="0"/>
                      <w:sz w:val="18"/>
                      <w:szCs w:val="18"/>
                      <w:lang w:eastAsia="zh-CN" w:bidi="ar"/>
                    </w:rPr>
                    <w:t>热处理</w:t>
                  </w:r>
                </w:p>
              </w:tc>
              <w:tc>
                <w:tcPr>
                  <w:tcW w:w="827" w:type="dxa"/>
                  <w:vMerge w:val="restart"/>
                  <w:vAlign w:val="center"/>
                </w:tcPr>
                <w:p>
                  <w:pPr>
                    <w:jc w:val="center"/>
                    <w:textAlignment w:val="center"/>
                    <w:rPr>
                      <w:kern w:val="0"/>
                      <w:sz w:val="18"/>
                      <w:szCs w:val="18"/>
                      <w:lang w:bidi="ar"/>
                    </w:rPr>
                  </w:pPr>
                  <w:r>
                    <w:rPr>
                      <w:color w:val="auto"/>
                      <w:kern w:val="0"/>
                      <w:sz w:val="18"/>
                      <w:szCs w:val="18"/>
                      <w:lang w:bidi="ar"/>
                    </w:rPr>
                    <w:t>冷却水</w:t>
                  </w:r>
                </w:p>
              </w:tc>
              <w:tc>
                <w:tcPr>
                  <w:tcW w:w="756" w:type="dxa"/>
                  <w:vMerge w:val="restart"/>
                  <w:shd w:val="clear" w:color="auto" w:fill="auto"/>
                  <w:vAlign w:val="center"/>
                </w:tcPr>
                <w:p>
                  <w:pPr>
                    <w:jc w:val="center"/>
                    <w:textAlignment w:val="center"/>
                    <w:rPr>
                      <w:rFonts w:hint="default" w:ascii="Times New Roman" w:hAnsi="Times New Roman" w:eastAsia="宋体" w:cs="Times New Roman"/>
                      <w:kern w:val="0"/>
                      <w:sz w:val="18"/>
                      <w:szCs w:val="18"/>
                      <w:lang w:val="en-US" w:eastAsia="zh-CN" w:bidi="ar"/>
                    </w:rPr>
                  </w:pPr>
                  <w:r>
                    <w:rPr>
                      <w:rFonts w:hint="eastAsia"/>
                      <w:kern w:val="0"/>
                      <w:sz w:val="18"/>
                      <w:szCs w:val="18"/>
                      <w:lang w:val="en-US" w:eastAsia="zh-CN" w:bidi="ar"/>
                    </w:rPr>
                    <w:t>240</w:t>
                  </w:r>
                </w:p>
              </w:tc>
              <w:tc>
                <w:tcPr>
                  <w:tcW w:w="885" w:type="dxa"/>
                  <w:shd w:val="clear" w:color="auto" w:fill="auto"/>
                  <w:vAlign w:val="center"/>
                </w:tcPr>
                <w:p>
                  <w:pPr>
                    <w:jc w:val="center"/>
                    <w:rPr>
                      <w:rFonts w:ascii="Times New Roman" w:hAnsi="Times New Roman" w:eastAsia="宋体" w:cs="Times New Roman"/>
                      <w:kern w:val="2"/>
                      <w:sz w:val="18"/>
                      <w:szCs w:val="18"/>
                      <w:lang w:val="en-US" w:eastAsia="zh-CN" w:bidi="ar-SA"/>
                    </w:rPr>
                  </w:pPr>
                  <w:r>
                    <w:rPr>
                      <w:sz w:val="18"/>
                      <w:szCs w:val="18"/>
                    </w:rPr>
                    <w:t>COD</w:t>
                  </w:r>
                </w:p>
              </w:tc>
              <w:tc>
                <w:tcPr>
                  <w:tcW w:w="873" w:type="dxa"/>
                  <w:shd w:val="clear" w:color="auto" w:fill="auto"/>
                  <w:vAlign w:val="center"/>
                </w:tcPr>
                <w:p>
                  <w:pPr>
                    <w:jc w:val="center"/>
                    <w:textAlignment w:val="center"/>
                    <w:rPr>
                      <w:rFonts w:hint="eastAsia" w:ascii="Times New Roman" w:hAnsi="Times New Roman" w:eastAsia="宋体" w:cs="Times New Roman"/>
                      <w:kern w:val="2"/>
                      <w:sz w:val="18"/>
                      <w:szCs w:val="18"/>
                      <w:lang w:val="en-US" w:eastAsia="zh-CN" w:bidi="ar-SA"/>
                    </w:rPr>
                  </w:pPr>
                  <w:r>
                    <w:rPr>
                      <w:rFonts w:hint="eastAsia"/>
                      <w:sz w:val="18"/>
                      <w:szCs w:val="18"/>
                      <w:lang w:val="en-US" w:eastAsia="zh-CN"/>
                    </w:rPr>
                    <w:t>40</w:t>
                  </w:r>
                </w:p>
              </w:tc>
              <w:tc>
                <w:tcPr>
                  <w:tcW w:w="930" w:type="dxa"/>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 xml:space="preserve">0.0096 </w:t>
                  </w:r>
                </w:p>
              </w:tc>
              <w:tc>
                <w:tcPr>
                  <w:tcW w:w="815"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240</w:t>
                  </w:r>
                </w:p>
              </w:tc>
              <w:tc>
                <w:tcPr>
                  <w:tcW w:w="846" w:type="dxa"/>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40</w:t>
                  </w:r>
                </w:p>
              </w:tc>
              <w:tc>
                <w:tcPr>
                  <w:tcW w:w="818" w:type="dxa"/>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 xml:space="preserve">0.0096 </w:t>
                  </w:r>
                </w:p>
              </w:tc>
              <w:tc>
                <w:tcPr>
                  <w:tcW w:w="601" w:type="dxa"/>
                  <w:vMerge w:val="restart"/>
                  <w:shd w:val="clear" w:color="auto" w:fill="auto"/>
                  <w:vAlign w:val="center"/>
                </w:tcPr>
                <w:p>
                  <w:pPr>
                    <w:jc w:val="center"/>
                    <w:textAlignment w:val="center"/>
                    <w:rPr>
                      <w:rFonts w:hint="eastAsia" w:ascii="Times New Roman" w:hAnsi="Times New Roman" w:eastAsia="宋体" w:cs="Times New Roman"/>
                      <w:kern w:val="0"/>
                      <w:sz w:val="18"/>
                      <w:szCs w:val="18"/>
                      <w:lang w:val="en-US" w:eastAsia="zh-CN" w:bidi="ar"/>
                    </w:rPr>
                  </w:pPr>
                  <w:r>
                    <w:rPr>
                      <w:rFonts w:hint="eastAsia"/>
                      <w:kern w:val="0"/>
                      <w:sz w:val="18"/>
                      <w:szCs w:val="18"/>
                      <w:lang w:eastAsia="zh-CN" w:bidi="ar"/>
                    </w:rPr>
                    <w:t>冷却池</w:t>
                  </w:r>
                </w:p>
              </w:tc>
              <w:tc>
                <w:tcPr>
                  <w:tcW w:w="754" w:type="dxa"/>
                  <w:vMerge w:val="restart"/>
                  <w:shd w:val="clear" w:color="auto" w:fill="auto"/>
                  <w:vAlign w:val="center"/>
                </w:tcPr>
                <w:p>
                  <w:pPr>
                    <w:jc w:val="center"/>
                    <w:textAlignment w:val="center"/>
                    <w:rPr>
                      <w:rFonts w:hint="default" w:ascii="Times New Roman" w:hAnsi="Times New Roman" w:eastAsia="宋体" w:cs="Times New Roman"/>
                      <w:kern w:val="0"/>
                      <w:sz w:val="18"/>
                      <w:szCs w:val="18"/>
                      <w:lang w:val="en-US" w:eastAsia="zh-CN" w:bidi="ar"/>
                    </w:rPr>
                  </w:pPr>
                  <w:r>
                    <w:rPr>
                      <w:rFonts w:hint="eastAsia"/>
                      <w:color w:val="auto"/>
                      <w:kern w:val="0"/>
                      <w:sz w:val="18"/>
                      <w:szCs w:val="18"/>
                      <w:lang w:val="en-US" w:eastAsia="zh-CN" w:bidi="ar"/>
                    </w:rPr>
                    <w:t>80m</w:t>
                  </w:r>
                  <w:r>
                    <w:rPr>
                      <w:rFonts w:hint="eastAsia"/>
                      <w:color w:val="auto"/>
                      <w:kern w:val="0"/>
                      <w:sz w:val="18"/>
                      <w:szCs w:val="18"/>
                      <w:vertAlign w:val="superscript"/>
                      <w:lang w:val="en-US" w:eastAsia="zh-CN" w:bidi="ar"/>
                    </w:rPr>
                    <w:t>3</w:t>
                  </w:r>
                  <w:r>
                    <w:rPr>
                      <w:rFonts w:hint="eastAsia"/>
                      <w:color w:val="auto"/>
                      <w:kern w:val="0"/>
                      <w:sz w:val="18"/>
                      <w:szCs w:val="18"/>
                      <w:lang w:val="en-US" w:eastAsia="zh-CN" w:bidi="ar"/>
                    </w:rPr>
                    <w:t>/h</w:t>
                  </w:r>
                </w:p>
              </w:tc>
              <w:tc>
                <w:tcPr>
                  <w:tcW w:w="945" w:type="dxa"/>
                  <w:vMerge w:val="restart"/>
                  <w:shd w:val="clear" w:color="auto" w:fill="auto"/>
                  <w:vAlign w:val="center"/>
                </w:tcPr>
                <w:p>
                  <w:pPr>
                    <w:jc w:val="center"/>
                    <w:textAlignment w:val="center"/>
                    <w:rPr>
                      <w:rFonts w:hint="eastAsia" w:ascii="Times New Roman" w:hAnsi="Times New Roman" w:eastAsia="宋体" w:cs="Times New Roman"/>
                      <w:kern w:val="0"/>
                      <w:sz w:val="18"/>
                      <w:szCs w:val="18"/>
                      <w:lang w:val="en-US" w:eastAsia="zh-CN" w:bidi="ar"/>
                    </w:rPr>
                  </w:pPr>
                  <w:r>
                    <w:rPr>
                      <w:rFonts w:hint="eastAsia"/>
                      <w:sz w:val="18"/>
                      <w:szCs w:val="18"/>
                      <w:lang w:val="en-US" w:eastAsia="zh-CN"/>
                    </w:rPr>
                    <w:t>/</w:t>
                  </w:r>
                </w:p>
              </w:tc>
              <w:tc>
                <w:tcPr>
                  <w:tcW w:w="810" w:type="dxa"/>
                  <w:shd w:val="clear" w:color="auto" w:fill="auto"/>
                  <w:vAlign w:val="center"/>
                </w:tcPr>
                <w:p>
                  <w:pPr>
                    <w:jc w:val="center"/>
                    <w:textAlignment w:val="center"/>
                    <w:rPr>
                      <w:rFonts w:hint="eastAsia" w:ascii="Times New Roman" w:hAnsi="Times New Roman" w:eastAsia="宋体" w:cs="Times New Roman"/>
                      <w:kern w:val="0"/>
                      <w:sz w:val="18"/>
                      <w:szCs w:val="18"/>
                      <w:lang w:val="en-US" w:eastAsia="zh-CN" w:bidi="ar"/>
                    </w:rPr>
                  </w:pPr>
                  <w:r>
                    <w:rPr>
                      <w:rFonts w:hint="eastAsia"/>
                      <w:kern w:val="0"/>
                      <w:sz w:val="18"/>
                      <w:szCs w:val="18"/>
                      <w:lang w:val="en-US" w:eastAsia="zh-CN" w:bidi="ar"/>
                    </w:rPr>
                    <w:t>0</w:t>
                  </w:r>
                </w:p>
              </w:tc>
              <w:tc>
                <w:tcPr>
                  <w:tcW w:w="930" w:type="dxa"/>
                  <w:vMerge w:val="continue"/>
                  <w:shd w:val="clear" w:color="auto" w:fill="auto"/>
                  <w:vAlign w:val="center"/>
                </w:tcPr>
                <w:p>
                  <w:pPr>
                    <w:jc w:val="center"/>
                    <w:textAlignment w:val="center"/>
                    <w:rPr>
                      <w:rFonts w:hint="eastAsia" w:ascii="Times New Roman" w:hAnsi="Times New Roman" w:eastAsia="宋体" w:cs="Times New Roman"/>
                      <w:kern w:val="0"/>
                      <w:sz w:val="18"/>
                      <w:szCs w:val="18"/>
                      <w:lang w:val="en-US" w:eastAsia="zh-CN" w:bidi="ar"/>
                    </w:rPr>
                  </w:pPr>
                </w:p>
              </w:tc>
              <w:tc>
                <w:tcPr>
                  <w:tcW w:w="600" w:type="dxa"/>
                  <w:vMerge w:val="continue"/>
                  <w:shd w:val="clear" w:color="auto" w:fill="auto"/>
                  <w:vAlign w:val="center"/>
                </w:tcPr>
                <w:p>
                  <w:pPr>
                    <w:jc w:val="center"/>
                    <w:textAlignment w:val="center"/>
                    <w:rPr>
                      <w:rFonts w:hint="eastAsia" w:ascii="Times New Roman" w:hAnsi="Times New Roman" w:eastAsia="宋体" w:cs="Times New Roman"/>
                      <w:kern w:val="0"/>
                      <w:sz w:val="18"/>
                      <w:szCs w:val="18"/>
                      <w:lang w:val="en-US" w:eastAsia="zh-CN" w:bidi="ar"/>
                    </w:rPr>
                  </w:pPr>
                </w:p>
              </w:tc>
              <w:tc>
                <w:tcPr>
                  <w:tcW w:w="624" w:type="dxa"/>
                  <w:vMerge w:val="continue"/>
                  <w:vAlign w:val="center"/>
                </w:tcPr>
                <w:p>
                  <w:pPr>
                    <w:jc w:val="center"/>
                    <w:textAlignment w:val="center"/>
                    <w:rPr>
                      <w:kern w:val="0"/>
                      <w:sz w:val="18"/>
                      <w:szCs w:val="18"/>
                      <w:lang w:bidi="ar"/>
                    </w:rPr>
                  </w:pPr>
                </w:p>
              </w:tc>
              <w:tc>
                <w:tcPr>
                  <w:tcW w:w="661" w:type="dxa"/>
                  <w:vMerge w:val="continue"/>
                  <w:vAlign w:val="center"/>
                </w:tcPr>
                <w:p>
                  <w:pPr>
                    <w:jc w:val="center"/>
                    <w:textAlignment w:val="center"/>
                    <w:rPr>
                      <w:kern w:val="0"/>
                      <w:sz w:val="18"/>
                      <w:szCs w:val="18"/>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613" w:type="dxa"/>
                  <w:vMerge w:val="continue"/>
                  <w:tcBorders>
                    <w:bottom w:val="single" w:color="auto" w:sz="12" w:space="0"/>
                  </w:tcBorders>
                  <w:vAlign w:val="center"/>
                </w:tcPr>
                <w:p>
                  <w:pPr>
                    <w:jc w:val="center"/>
                    <w:textAlignment w:val="center"/>
                    <w:rPr>
                      <w:kern w:val="0"/>
                      <w:sz w:val="18"/>
                      <w:szCs w:val="18"/>
                      <w:lang w:bidi="ar"/>
                    </w:rPr>
                  </w:pPr>
                </w:p>
              </w:tc>
              <w:tc>
                <w:tcPr>
                  <w:tcW w:w="827" w:type="dxa"/>
                  <w:vMerge w:val="continue"/>
                  <w:tcBorders>
                    <w:bottom w:val="single" w:color="auto" w:sz="12" w:space="0"/>
                  </w:tcBorders>
                  <w:vAlign w:val="center"/>
                </w:tcPr>
                <w:p>
                  <w:pPr>
                    <w:jc w:val="center"/>
                    <w:textAlignment w:val="center"/>
                    <w:rPr>
                      <w:kern w:val="0"/>
                      <w:sz w:val="18"/>
                      <w:szCs w:val="18"/>
                      <w:lang w:bidi="ar"/>
                    </w:rPr>
                  </w:pPr>
                </w:p>
              </w:tc>
              <w:tc>
                <w:tcPr>
                  <w:tcW w:w="756" w:type="dxa"/>
                  <w:vMerge w:val="continue"/>
                  <w:tcBorders>
                    <w:bottom w:val="single" w:color="auto" w:sz="12" w:space="0"/>
                  </w:tcBorders>
                  <w:vAlign w:val="center"/>
                </w:tcPr>
                <w:p>
                  <w:pPr>
                    <w:jc w:val="center"/>
                    <w:textAlignment w:val="center"/>
                    <w:rPr>
                      <w:kern w:val="0"/>
                      <w:sz w:val="18"/>
                      <w:szCs w:val="18"/>
                      <w:lang w:bidi="ar"/>
                    </w:rPr>
                  </w:pPr>
                </w:p>
              </w:tc>
              <w:tc>
                <w:tcPr>
                  <w:tcW w:w="885" w:type="dxa"/>
                  <w:tcBorders>
                    <w:bottom w:val="single" w:color="auto" w:sz="12" w:space="0"/>
                  </w:tcBorders>
                  <w:vAlign w:val="center"/>
                </w:tcPr>
                <w:p>
                  <w:pPr>
                    <w:jc w:val="center"/>
                    <w:rPr>
                      <w:sz w:val="18"/>
                      <w:szCs w:val="18"/>
                    </w:rPr>
                  </w:pPr>
                  <w:r>
                    <w:rPr>
                      <w:sz w:val="18"/>
                      <w:szCs w:val="18"/>
                    </w:rPr>
                    <w:t>SS</w:t>
                  </w:r>
                </w:p>
              </w:tc>
              <w:tc>
                <w:tcPr>
                  <w:tcW w:w="873" w:type="dxa"/>
                  <w:tcBorders>
                    <w:bottom w:val="single" w:color="auto" w:sz="12" w:space="0"/>
                  </w:tcBorders>
                  <w:vAlign w:val="center"/>
                </w:tcPr>
                <w:p>
                  <w:pPr>
                    <w:jc w:val="center"/>
                    <w:textAlignment w:val="center"/>
                    <w:rPr>
                      <w:rFonts w:hint="eastAsia"/>
                      <w:sz w:val="18"/>
                      <w:szCs w:val="18"/>
                      <w:lang w:val="en-US" w:eastAsia="zh-CN"/>
                    </w:rPr>
                  </w:pPr>
                  <w:r>
                    <w:rPr>
                      <w:rFonts w:hint="eastAsia"/>
                      <w:sz w:val="18"/>
                      <w:szCs w:val="18"/>
                      <w:lang w:val="en-US" w:eastAsia="zh-CN"/>
                    </w:rPr>
                    <w:t>10</w:t>
                  </w:r>
                </w:p>
              </w:tc>
              <w:tc>
                <w:tcPr>
                  <w:tcW w:w="930" w:type="dxa"/>
                  <w:tcBorders>
                    <w:bottom w:val="single" w:color="auto" w:sz="12" w:space="0"/>
                  </w:tcBorders>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 xml:space="preserve">0.0024 </w:t>
                  </w:r>
                </w:p>
              </w:tc>
              <w:tc>
                <w:tcPr>
                  <w:tcW w:w="815" w:type="dxa"/>
                  <w:vMerge w:val="continue"/>
                  <w:tcBorders>
                    <w:bottom w:val="single" w:color="auto" w:sz="12" w:space="0"/>
                  </w:tcBorders>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p>
              </w:tc>
              <w:tc>
                <w:tcPr>
                  <w:tcW w:w="846" w:type="dxa"/>
                  <w:tcBorders>
                    <w:bottom w:val="single" w:color="auto" w:sz="12" w:space="0"/>
                  </w:tcBorders>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10</w:t>
                  </w:r>
                </w:p>
              </w:tc>
              <w:tc>
                <w:tcPr>
                  <w:tcW w:w="818" w:type="dxa"/>
                  <w:tcBorders>
                    <w:bottom w:val="single" w:color="auto" w:sz="12" w:space="0"/>
                  </w:tcBorders>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 xml:space="preserve">0.0024 </w:t>
                  </w:r>
                </w:p>
              </w:tc>
              <w:tc>
                <w:tcPr>
                  <w:tcW w:w="601" w:type="dxa"/>
                  <w:vMerge w:val="continue"/>
                  <w:tcBorders>
                    <w:bottom w:val="single" w:color="auto" w:sz="12" w:space="0"/>
                  </w:tcBorders>
                  <w:vAlign w:val="center"/>
                </w:tcPr>
                <w:p>
                  <w:pPr>
                    <w:jc w:val="center"/>
                    <w:textAlignment w:val="center"/>
                    <w:rPr>
                      <w:kern w:val="0"/>
                      <w:sz w:val="18"/>
                      <w:szCs w:val="18"/>
                      <w:lang w:bidi="ar"/>
                    </w:rPr>
                  </w:pPr>
                </w:p>
              </w:tc>
              <w:tc>
                <w:tcPr>
                  <w:tcW w:w="754" w:type="dxa"/>
                  <w:vMerge w:val="continue"/>
                  <w:tcBorders>
                    <w:bottom w:val="single" w:color="auto" w:sz="12" w:space="0"/>
                  </w:tcBorders>
                  <w:vAlign w:val="center"/>
                </w:tcPr>
                <w:p>
                  <w:pPr>
                    <w:jc w:val="center"/>
                    <w:textAlignment w:val="center"/>
                    <w:rPr>
                      <w:kern w:val="0"/>
                      <w:sz w:val="18"/>
                      <w:szCs w:val="18"/>
                      <w:lang w:bidi="ar"/>
                    </w:rPr>
                  </w:pPr>
                </w:p>
              </w:tc>
              <w:tc>
                <w:tcPr>
                  <w:tcW w:w="945" w:type="dxa"/>
                  <w:vMerge w:val="continue"/>
                  <w:tcBorders>
                    <w:bottom w:val="single" w:color="auto" w:sz="12" w:space="0"/>
                  </w:tcBorders>
                  <w:vAlign w:val="center"/>
                </w:tcPr>
                <w:p>
                  <w:pPr>
                    <w:jc w:val="center"/>
                    <w:textAlignment w:val="center"/>
                    <w:rPr>
                      <w:kern w:val="0"/>
                      <w:sz w:val="18"/>
                      <w:szCs w:val="18"/>
                      <w:lang w:bidi="ar"/>
                    </w:rPr>
                  </w:pPr>
                </w:p>
              </w:tc>
              <w:tc>
                <w:tcPr>
                  <w:tcW w:w="810" w:type="dxa"/>
                  <w:tcBorders>
                    <w:bottom w:val="single" w:color="auto" w:sz="12" w:space="0"/>
                  </w:tcBorders>
                  <w:vAlign w:val="center"/>
                </w:tcPr>
                <w:p>
                  <w:pPr>
                    <w:jc w:val="center"/>
                    <w:textAlignment w:val="center"/>
                    <w:rPr>
                      <w:rFonts w:hint="eastAsia"/>
                      <w:kern w:val="0"/>
                      <w:sz w:val="18"/>
                      <w:szCs w:val="18"/>
                      <w:lang w:val="en-US" w:eastAsia="zh-CN" w:bidi="ar"/>
                    </w:rPr>
                  </w:pPr>
                  <w:r>
                    <w:rPr>
                      <w:rFonts w:hint="eastAsia"/>
                      <w:kern w:val="0"/>
                      <w:sz w:val="18"/>
                      <w:szCs w:val="18"/>
                      <w:lang w:val="en-US" w:eastAsia="zh-CN" w:bidi="ar"/>
                    </w:rPr>
                    <w:t>0</w:t>
                  </w:r>
                </w:p>
              </w:tc>
              <w:tc>
                <w:tcPr>
                  <w:tcW w:w="930" w:type="dxa"/>
                  <w:vMerge w:val="continue"/>
                  <w:tcBorders>
                    <w:bottom w:val="single" w:color="auto" w:sz="12" w:space="0"/>
                  </w:tcBorders>
                  <w:vAlign w:val="center"/>
                </w:tcPr>
                <w:p>
                  <w:pPr>
                    <w:jc w:val="center"/>
                    <w:textAlignment w:val="center"/>
                    <w:rPr>
                      <w:kern w:val="0"/>
                      <w:sz w:val="18"/>
                      <w:szCs w:val="18"/>
                      <w:lang w:bidi="ar"/>
                    </w:rPr>
                  </w:pPr>
                </w:p>
              </w:tc>
              <w:tc>
                <w:tcPr>
                  <w:tcW w:w="600" w:type="dxa"/>
                  <w:vMerge w:val="continue"/>
                  <w:tcBorders>
                    <w:bottom w:val="single" w:color="auto" w:sz="12" w:space="0"/>
                  </w:tcBorders>
                  <w:vAlign w:val="center"/>
                </w:tcPr>
                <w:p>
                  <w:pPr>
                    <w:jc w:val="center"/>
                    <w:textAlignment w:val="center"/>
                    <w:rPr>
                      <w:kern w:val="0"/>
                      <w:sz w:val="18"/>
                      <w:szCs w:val="18"/>
                      <w:lang w:bidi="ar"/>
                    </w:rPr>
                  </w:pPr>
                </w:p>
              </w:tc>
              <w:tc>
                <w:tcPr>
                  <w:tcW w:w="624" w:type="dxa"/>
                  <w:vMerge w:val="continue"/>
                  <w:tcBorders>
                    <w:bottom w:val="single" w:color="auto" w:sz="12" w:space="0"/>
                  </w:tcBorders>
                  <w:vAlign w:val="center"/>
                </w:tcPr>
                <w:p>
                  <w:pPr>
                    <w:jc w:val="center"/>
                    <w:textAlignment w:val="center"/>
                    <w:rPr>
                      <w:kern w:val="0"/>
                      <w:sz w:val="18"/>
                      <w:szCs w:val="18"/>
                      <w:lang w:bidi="ar"/>
                    </w:rPr>
                  </w:pPr>
                </w:p>
              </w:tc>
              <w:tc>
                <w:tcPr>
                  <w:tcW w:w="661" w:type="dxa"/>
                  <w:vMerge w:val="continue"/>
                  <w:tcBorders>
                    <w:bottom w:val="single" w:color="auto" w:sz="12" w:space="0"/>
                  </w:tcBorders>
                  <w:vAlign w:val="center"/>
                </w:tcPr>
                <w:p>
                  <w:pPr>
                    <w:jc w:val="center"/>
                    <w:textAlignment w:val="center"/>
                    <w:rPr>
                      <w:kern w:val="0"/>
                      <w:sz w:val="18"/>
                      <w:szCs w:val="18"/>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3288" w:type="dxa"/>
                  <w:gridSpan w:val="17"/>
                  <w:tcBorders>
                    <w:top w:val="single" w:color="auto" w:sz="12" w:space="0"/>
                  </w:tcBorders>
                  <w:vAlign w:val="center"/>
                </w:tcPr>
                <w:p>
                  <w:pPr>
                    <w:jc w:val="left"/>
                    <w:textAlignment w:val="center"/>
                    <w:rPr>
                      <w:rFonts w:hint="eastAsia" w:eastAsia="宋体"/>
                      <w:kern w:val="0"/>
                      <w:sz w:val="18"/>
                      <w:szCs w:val="18"/>
                      <w:lang w:eastAsia="zh-CN" w:bidi="ar"/>
                    </w:rPr>
                  </w:pPr>
                  <w:r>
                    <w:rPr>
                      <w:rFonts w:hint="eastAsia"/>
                      <w:color w:val="auto"/>
                      <w:kern w:val="0"/>
                      <w:sz w:val="18"/>
                      <w:szCs w:val="18"/>
                      <w:lang w:eastAsia="zh-CN" w:bidi="ar"/>
                    </w:rPr>
                    <w:t>注：</w:t>
                  </w:r>
                  <w:r>
                    <w:rPr>
                      <w:rFonts w:hint="eastAsia"/>
                      <w:bCs/>
                      <w:color w:val="auto"/>
                      <w:sz w:val="18"/>
                      <w:szCs w:val="18"/>
                    </w:rPr>
                    <w:t>“</w:t>
                  </w:r>
                  <w:r>
                    <w:rPr>
                      <w:bCs/>
                      <w:color w:val="auto"/>
                      <w:sz w:val="18"/>
                      <w:szCs w:val="18"/>
                    </w:rPr>
                    <w:t>是否为可行技术</w:t>
                  </w:r>
                  <w:r>
                    <w:rPr>
                      <w:rFonts w:hint="eastAsia"/>
                      <w:bCs/>
                      <w:color w:val="auto"/>
                      <w:sz w:val="18"/>
                      <w:szCs w:val="18"/>
                    </w:rPr>
                    <w:t>”是根据</w:t>
                  </w:r>
                  <w:r>
                    <w:rPr>
                      <w:rFonts w:hint="eastAsia"/>
                      <w:color w:val="auto"/>
                      <w:kern w:val="0"/>
                      <w:sz w:val="18"/>
                      <w:szCs w:val="18"/>
                      <w:lang w:eastAsia="zh-CN" w:bidi="ar"/>
                    </w:rPr>
                    <w:t>《排污许可证申请与核发技术规范 水处理通用工序》</w:t>
                  </w:r>
                  <w:r>
                    <w:rPr>
                      <w:rFonts w:hint="eastAsia"/>
                      <w:bCs/>
                      <w:color w:val="auto"/>
                      <w:sz w:val="18"/>
                      <w:szCs w:val="18"/>
                    </w:rPr>
                    <w:t>中的可行技术</w:t>
                  </w:r>
                  <w:r>
                    <w:rPr>
                      <w:rFonts w:hint="eastAsia"/>
                      <w:bCs/>
                      <w:color w:val="auto"/>
                      <w:sz w:val="18"/>
                      <w:szCs w:val="18"/>
                      <w:lang w:eastAsia="zh-CN"/>
                    </w:rPr>
                    <w:t>；</w:t>
                  </w:r>
                  <w:r>
                    <w:rPr>
                      <w:rFonts w:hint="eastAsia"/>
                      <w:color w:val="auto"/>
                      <w:kern w:val="0"/>
                      <w:sz w:val="18"/>
                      <w:szCs w:val="18"/>
                      <w:lang w:eastAsia="zh-CN" w:bidi="ar"/>
                    </w:rPr>
                    <w:t>根据《废水处理设备选型手册》化粪池对COD和SS的去除率取值分析如下：</w:t>
                  </w:r>
                  <w:r>
                    <w:rPr>
                      <w:rFonts w:hint="default"/>
                      <w:color w:val="auto"/>
                      <w:kern w:val="0"/>
                      <w:sz w:val="18"/>
                      <w:szCs w:val="18"/>
                      <w:lang w:eastAsia="zh-CN" w:bidi="ar"/>
                    </w:rPr>
                    <w:t>其中文献数据显示化粪池通过厌氧消化和沉淀作用可实现COD去除率约15%，本项目取值14%差异较小，可能与设备类型、运行条件或水质特性相关，仍在合理接受范围内，手册建议SS去除率范围为20%-30%，主要依赖沉淀和固液分离机制实现，本项目选取20%（下限值），虽低于典型值30%，但符合手册的最低要求。综上，本项目COD去除率14%和SS去除率20%的取值均满足《手册》指导范围，符合技术规范要求。</w:t>
                  </w:r>
                </w:p>
              </w:tc>
            </w:tr>
          </w:tbl>
          <w:p/>
        </w:tc>
      </w:tr>
    </w:tbl>
    <w:p>
      <w:pPr>
        <w:pStyle w:val="7"/>
        <w:rPr>
          <w:rFonts w:ascii="Times New Roman" w:hAnsi="Times New Roman" w:eastAsia="楷体_GB2312"/>
          <w:sz w:val="36"/>
          <w:szCs w:val="36"/>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3"/>
        <w:gridCol w:w="8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7" w:hRule="atLeast"/>
        </w:trPr>
        <w:tc>
          <w:tcPr>
            <w:tcW w:w="826" w:type="dxa"/>
          </w:tcPr>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r>
              <w:rPr>
                <w:bCs/>
                <w:szCs w:val="21"/>
              </w:rPr>
              <w:t>运营</w:t>
            </w:r>
          </w:p>
          <w:p>
            <w:pPr>
              <w:adjustRightInd w:val="0"/>
              <w:snapToGrid w:val="0"/>
              <w:jc w:val="center"/>
              <w:rPr>
                <w:bCs/>
                <w:szCs w:val="21"/>
              </w:rPr>
            </w:pPr>
            <w:r>
              <w:rPr>
                <w:bCs/>
                <w:szCs w:val="21"/>
              </w:rPr>
              <w:t>期环</w:t>
            </w:r>
          </w:p>
          <w:p>
            <w:pPr>
              <w:adjustRightInd w:val="0"/>
              <w:snapToGrid w:val="0"/>
              <w:jc w:val="center"/>
              <w:rPr>
                <w:bCs/>
                <w:szCs w:val="21"/>
              </w:rPr>
            </w:pPr>
            <w:r>
              <w:rPr>
                <w:bCs/>
                <w:szCs w:val="21"/>
              </w:rPr>
              <w:t>境影</w:t>
            </w:r>
          </w:p>
          <w:p>
            <w:pPr>
              <w:adjustRightInd w:val="0"/>
              <w:snapToGrid w:val="0"/>
              <w:jc w:val="center"/>
              <w:rPr>
                <w:bCs/>
                <w:szCs w:val="21"/>
              </w:rPr>
            </w:pPr>
            <w:r>
              <w:rPr>
                <w:bCs/>
                <w:szCs w:val="21"/>
              </w:rPr>
              <w:t>响和</w:t>
            </w:r>
          </w:p>
          <w:p>
            <w:pPr>
              <w:adjustRightInd w:val="0"/>
              <w:snapToGrid w:val="0"/>
              <w:jc w:val="center"/>
              <w:rPr>
                <w:bCs/>
                <w:szCs w:val="21"/>
              </w:rPr>
            </w:pPr>
            <w:r>
              <w:rPr>
                <w:bCs/>
                <w:szCs w:val="21"/>
              </w:rPr>
              <w:t>保护</w:t>
            </w:r>
          </w:p>
          <w:p>
            <w:pPr>
              <w:jc w:val="center"/>
            </w:pPr>
            <w:r>
              <w:rPr>
                <w:bCs/>
                <w:szCs w:val="21"/>
              </w:rPr>
              <w:t>措施</w:t>
            </w:r>
          </w:p>
        </w:tc>
        <w:tc>
          <w:tcPr>
            <w:tcW w:w="7690" w:type="dxa"/>
          </w:tcPr>
          <w:p>
            <w:pPr>
              <w:autoSpaceDE w:val="0"/>
              <w:autoSpaceDN w:val="0"/>
              <w:adjustRightInd w:val="0"/>
              <w:spacing w:line="500" w:lineRule="exact"/>
              <w:jc w:val="center"/>
              <w:rPr>
                <w:rFonts w:hint="eastAsia"/>
                <w:b/>
                <w:bCs/>
                <w:color w:val="auto"/>
                <w:szCs w:val="21"/>
              </w:rPr>
            </w:pPr>
            <w:r>
              <w:rPr>
                <w:b/>
                <w:bCs/>
                <w:color w:val="auto"/>
                <w:szCs w:val="21"/>
              </w:rPr>
              <w:t>表</w:t>
            </w:r>
            <w:r>
              <w:rPr>
                <w:rFonts w:hint="eastAsia"/>
                <w:b/>
                <w:bCs/>
                <w:color w:val="auto"/>
                <w:szCs w:val="21"/>
              </w:rPr>
              <w:t>4-</w:t>
            </w:r>
            <w:r>
              <w:rPr>
                <w:rFonts w:hint="eastAsia"/>
                <w:b/>
                <w:bCs/>
                <w:color w:val="auto"/>
                <w:szCs w:val="21"/>
                <w:lang w:val="en-US" w:eastAsia="zh-CN"/>
              </w:rPr>
              <w:t xml:space="preserve">14  </w:t>
            </w:r>
            <w:r>
              <w:rPr>
                <w:rFonts w:hint="eastAsia"/>
                <w:b/>
                <w:bCs/>
                <w:color w:val="auto"/>
                <w:szCs w:val="21"/>
              </w:rPr>
              <w:t>项目废水排放口</w:t>
            </w:r>
            <w:r>
              <w:rPr>
                <w:b/>
                <w:bCs/>
                <w:color w:val="auto"/>
                <w:szCs w:val="21"/>
              </w:rPr>
              <w:t>污染物</w:t>
            </w:r>
            <w:r>
              <w:rPr>
                <w:rFonts w:hint="eastAsia"/>
                <w:b/>
                <w:bCs/>
                <w:color w:val="auto"/>
                <w:szCs w:val="21"/>
              </w:rPr>
              <w:t>源强情况</w:t>
            </w:r>
          </w:p>
          <w:tbl>
            <w:tblPr>
              <w:tblStyle w:val="21"/>
              <w:tblW w:w="795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26"/>
              <w:gridCol w:w="1276"/>
              <w:gridCol w:w="1417"/>
              <w:gridCol w:w="1584"/>
              <w:gridCol w:w="1326"/>
              <w:gridCol w:w="13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1026" w:type="dxa"/>
                  <w:vMerge w:val="restart"/>
                  <w:noWrap w:val="0"/>
                  <w:vAlign w:val="center"/>
                </w:tcPr>
                <w:p>
                  <w:pPr>
                    <w:jc w:val="center"/>
                    <w:rPr>
                      <w:rFonts w:hint="eastAsia" w:ascii="Times New Roman" w:hAnsi="Times New Roman" w:eastAsia="宋体" w:cs="Times New Roman"/>
                      <w:b/>
                      <w:bCs/>
                      <w:color w:val="auto"/>
                      <w:sz w:val="18"/>
                      <w:szCs w:val="18"/>
                    </w:rPr>
                  </w:pPr>
                  <w:r>
                    <w:rPr>
                      <w:rFonts w:hint="eastAsia" w:ascii="Times New Roman" w:hAnsi="Times New Roman" w:eastAsia="宋体" w:cs="Times New Roman"/>
                      <w:b/>
                      <w:bCs/>
                      <w:color w:val="auto"/>
                      <w:sz w:val="18"/>
                      <w:szCs w:val="18"/>
                    </w:rPr>
                    <w:t>类别</w:t>
                  </w:r>
                </w:p>
              </w:tc>
              <w:tc>
                <w:tcPr>
                  <w:tcW w:w="1276" w:type="dxa"/>
                  <w:vMerge w:val="restart"/>
                  <w:noWrap w:val="0"/>
                  <w:vAlign w:val="center"/>
                </w:tcPr>
                <w:p>
                  <w:pPr>
                    <w:jc w:val="center"/>
                    <w:rPr>
                      <w:rFonts w:hint="eastAsia" w:ascii="Times New Roman" w:hAnsi="Times New Roman" w:eastAsia="宋体" w:cs="Times New Roman"/>
                      <w:b/>
                      <w:bCs/>
                      <w:color w:val="auto"/>
                      <w:sz w:val="18"/>
                      <w:szCs w:val="18"/>
                    </w:rPr>
                  </w:pPr>
                  <w:r>
                    <w:rPr>
                      <w:rFonts w:hint="eastAsia" w:ascii="Times New Roman" w:hAnsi="Times New Roman" w:eastAsia="宋体" w:cs="Times New Roman"/>
                      <w:b/>
                      <w:bCs/>
                      <w:color w:val="auto"/>
                      <w:sz w:val="18"/>
                      <w:szCs w:val="18"/>
                    </w:rPr>
                    <w:t>废水量（t/a）</w:t>
                  </w:r>
                </w:p>
              </w:tc>
              <w:tc>
                <w:tcPr>
                  <w:tcW w:w="1417" w:type="dxa"/>
                  <w:vMerge w:val="restart"/>
                  <w:noWrap w:val="0"/>
                  <w:vAlign w:val="center"/>
                </w:tcPr>
                <w:p>
                  <w:pPr>
                    <w:jc w:val="center"/>
                    <w:rPr>
                      <w:rFonts w:hint="eastAsia" w:ascii="Times New Roman" w:hAnsi="Times New Roman" w:eastAsia="宋体" w:cs="Times New Roman"/>
                      <w:b/>
                      <w:bCs/>
                      <w:color w:val="auto"/>
                      <w:sz w:val="18"/>
                      <w:szCs w:val="18"/>
                    </w:rPr>
                  </w:pPr>
                  <w:r>
                    <w:rPr>
                      <w:rFonts w:hint="eastAsia" w:ascii="Times New Roman" w:hAnsi="Times New Roman" w:eastAsia="宋体" w:cs="Times New Roman"/>
                      <w:b/>
                      <w:bCs/>
                      <w:color w:val="auto"/>
                      <w:sz w:val="18"/>
                      <w:szCs w:val="18"/>
                    </w:rPr>
                    <w:t>污染物名称</w:t>
                  </w:r>
                </w:p>
              </w:tc>
              <w:tc>
                <w:tcPr>
                  <w:tcW w:w="2910" w:type="dxa"/>
                  <w:gridSpan w:val="2"/>
                  <w:noWrap w:val="0"/>
                  <w:vAlign w:val="center"/>
                </w:tcPr>
                <w:p>
                  <w:pPr>
                    <w:jc w:val="center"/>
                    <w:rPr>
                      <w:rFonts w:hint="eastAsia" w:ascii="Times New Roman" w:hAnsi="Times New Roman" w:eastAsia="宋体" w:cs="Times New Roman"/>
                      <w:b/>
                      <w:bCs/>
                      <w:color w:val="auto"/>
                      <w:sz w:val="18"/>
                      <w:szCs w:val="18"/>
                    </w:rPr>
                  </w:pPr>
                  <w:r>
                    <w:rPr>
                      <w:rFonts w:hint="eastAsia" w:ascii="Times New Roman" w:hAnsi="Times New Roman" w:eastAsia="宋体" w:cs="Times New Roman"/>
                      <w:b/>
                      <w:bCs/>
                      <w:color w:val="auto"/>
                      <w:sz w:val="18"/>
                      <w:szCs w:val="18"/>
                    </w:rPr>
                    <w:t>污染物排放量</w:t>
                  </w:r>
                </w:p>
              </w:tc>
              <w:tc>
                <w:tcPr>
                  <w:tcW w:w="1326" w:type="dxa"/>
                  <w:vMerge w:val="restart"/>
                  <w:noWrap w:val="0"/>
                  <w:vAlign w:val="center"/>
                </w:tcPr>
                <w:p>
                  <w:pPr>
                    <w:jc w:val="center"/>
                    <w:rPr>
                      <w:rFonts w:hint="eastAsia" w:ascii="Times New Roman" w:hAnsi="Times New Roman" w:eastAsia="宋体" w:cs="Times New Roman"/>
                      <w:color w:val="auto"/>
                      <w:sz w:val="18"/>
                      <w:szCs w:val="18"/>
                    </w:rPr>
                  </w:pPr>
                  <w:r>
                    <w:rPr>
                      <w:rFonts w:hint="eastAsia" w:ascii="Times New Roman" w:hAnsi="Times New Roman" w:eastAsia="宋体" w:cs="Times New Roman"/>
                      <w:b/>
                      <w:bCs/>
                      <w:color w:val="auto"/>
                      <w:sz w:val="18"/>
                      <w:szCs w:val="18"/>
                    </w:rPr>
                    <w:t>排放去向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1026" w:type="dxa"/>
                  <w:vMerge w:val="continue"/>
                  <w:noWrap w:val="0"/>
                  <w:vAlign w:val="center"/>
                </w:tcPr>
                <w:p>
                  <w:pPr>
                    <w:jc w:val="center"/>
                    <w:rPr>
                      <w:rFonts w:hint="eastAsia" w:ascii="Times New Roman" w:hAnsi="Times New Roman" w:eastAsia="宋体" w:cs="Times New Roman"/>
                      <w:b/>
                      <w:bCs/>
                      <w:color w:val="auto"/>
                      <w:sz w:val="18"/>
                      <w:szCs w:val="18"/>
                    </w:rPr>
                  </w:pPr>
                </w:p>
              </w:tc>
              <w:tc>
                <w:tcPr>
                  <w:tcW w:w="1276" w:type="dxa"/>
                  <w:vMerge w:val="continue"/>
                  <w:noWrap w:val="0"/>
                  <w:vAlign w:val="center"/>
                </w:tcPr>
                <w:p>
                  <w:pPr>
                    <w:jc w:val="center"/>
                    <w:rPr>
                      <w:rFonts w:hint="eastAsia" w:ascii="Times New Roman" w:hAnsi="Times New Roman" w:eastAsia="宋体" w:cs="Times New Roman"/>
                      <w:b/>
                      <w:bCs/>
                      <w:color w:val="auto"/>
                      <w:sz w:val="18"/>
                      <w:szCs w:val="18"/>
                    </w:rPr>
                  </w:pPr>
                </w:p>
              </w:tc>
              <w:tc>
                <w:tcPr>
                  <w:tcW w:w="1417" w:type="dxa"/>
                  <w:vMerge w:val="continue"/>
                  <w:noWrap w:val="0"/>
                  <w:vAlign w:val="center"/>
                </w:tcPr>
                <w:p>
                  <w:pPr>
                    <w:jc w:val="center"/>
                    <w:rPr>
                      <w:rFonts w:hint="eastAsia" w:ascii="Times New Roman" w:hAnsi="Times New Roman" w:eastAsia="宋体" w:cs="Times New Roman"/>
                      <w:b/>
                      <w:bCs/>
                      <w:color w:val="auto"/>
                      <w:sz w:val="18"/>
                      <w:szCs w:val="18"/>
                    </w:rPr>
                  </w:pPr>
                </w:p>
              </w:tc>
              <w:tc>
                <w:tcPr>
                  <w:tcW w:w="1584" w:type="dxa"/>
                  <w:noWrap w:val="0"/>
                  <w:vAlign w:val="center"/>
                </w:tcPr>
                <w:p>
                  <w:pPr>
                    <w:jc w:val="center"/>
                    <w:rPr>
                      <w:rFonts w:hint="eastAsia" w:ascii="Times New Roman" w:hAnsi="Times New Roman" w:eastAsia="宋体" w:cs="Times New Roman"/>
                      <w:b/>
                      <w:bCs/>
                      <w:color w:val="auto"/>
                      <w:sz w:val="18"/>
                      <w:szCs w:val="18"/>
                    </w:rPr>
                  </w:pPr>
                  <w:r>
                    <w:rPr>
                      <w:rFonts w:hint="eastAsia" w:ascii="Times New Roman" w:hAnsi="Times New Roman" w:eastAsia="宋体" w:cs="Times New Roman"/>
                      <w:b/>
                      <w:bCs/>
                      <w:color w:val="auto"/>
                      <w:sz w:val="18"/>
                      <w:szCs w:val="18"/>
                    </w:rPr>
                    <w:t>排放浓度（mg/L）</w:t>
                  </w:r>
                </w:p>
              </w:tc>
              <w:tc>
                <w:tcPr>
                  <w:tcW w:w="1326" w:type="dxa"/>
                  <w:noWrap w:val="0"/>
                  <w:vAlign w:val="center"/>
                </w:tcPr>
                <w:p>
                  <w:pPr>
                    <w:jc w:val="center"/>
                    <w:rPr>
                      <w:rFonts w:hint="eastAsia" w:ascii="Times New Roman" w:hAnsi="Times New Roman" w:eastAsia="宋体" w:cs="Times New Roman"/>
                      <w:b/>
                      <w:bCs/>
                      <w:color w:val="auto"/>
                      <w:sz w:val="18"/>
                      <w:szCs w:val="18"/>
                    </w:rPr>
                  </w:pPr>
                  <w:r>
                    <w:rPr>
                      <w:rFonts w:hint="eastAsia" w:ascii="Times New Roman" w:hAnsi="Times New Roman" w:eastAsia="宋体" w:cs="Times New Roman"/>
                      <w:b/>
                      <w:bCs/>
                      <w:color w:val="auto"/>
                      <w:sz w:val="18"/>
                      <w:szCs w:val="18"/>
                    </w:rPr>
                    <w:t>排放量（t/a）</w:t>
                  </w:r>
                </w:p>
              </w:tc>
              <w:tc>
                <w:tcPr>
                  <w:tcW w:w="1326" w:type="dxa"/>
                  <w:vMerge w:val="continue"/>
                  <w:noWrap w:val="0"/>
                  <w:vAlign w:val="center"/>
                </w:tcPr>
                <w:p>
                  <w:pPr>
                    <w:jc w:val="center"/>
                    <w:rPr>
                      <w:rFonts w:hint="eastAsia" w:ascii="Times New Roman" w:hAnsi="Times New Roman" w:eastAsia="宋体" w:cs="Times New Roman"/>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1026" w:type="dxa"/>
                  <w:vMerge w:val="restart"/>
                  <w:noWrap w:val="0"/>
                  <w:vAlign w:val="center"/>
                </w:tcPr>
                <w:p>
                  <w:pPr>
                    <w:jc w:val="center"/>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综合废水</w:t>
                  </w:r>
                </w:p>
              </w:tc>
              <w:tc>
                <w:tcPr>
                  <w:tcW w:w="1276" w:type="dxa"/>
                  <w:vMerge w:val="restart"/>
                  <w:noWrap w:val="0"/>
                  <w:vAlign w:val="center"/>
                </w:tcPr>
                <w:p>
                  <w:pPr>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3216</w:t>
                  </w:r>
                </w:p>
              </w:tc>
              <w:tc>
                <w:tcPr>
                  <w:tcW w:w="1417" w:type="dxa"/>
                  <w:noWrap w:val="0"/>
                  <w:vAlign w:val="center"/>
                </w:tcPr>
                <w:p>
                  <w:pPr>
                    <w:jc w:val="center"/>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COD</w:t>
                  </w:r>
                </w:p>
              </w:tc>
              <w:tc>
                <w:tcPr>
                  <w:tcW w:w="1584" w:type="dxa"/>
                  <w:noWrap w:val="0"/>
                  <w:vAlign w:val="center"/>
                </w:tcPr>
                <w:p>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280.60 </w:t>
                  </w:r>
                </w:p>
              </w:tc>
              <w:tc>
                <w:tcPr>
                  <w:tcW w:w="1326" w:type="dxa"/>
                  <w:noWrap w:val="0"/>
                  <w:vAlign w:val="center"/>
                </w:tcPr>
                <w:p>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0.9024 </w:t>
                  </w:r>
                </w:p>
              </w:tc>
              <w:tc>
                <w:tcPr>
                  <w:tcW w:w="1326" w:type="dxa"/>
                  <w:vMerge w:val="restart"/>
                  <w:noWrap w:val="0"/>
                  <w:vAlign w:val="center"/>
                </w:tcPr>
                <w:p>
                  <w:pPr>
                    <w:jc w:val="center"/>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如皋市富港水处理有限公司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1026" w:type="dxa"/>
                  <w:vMerge w:val="continue"/>
                  <w:noWrap w:val="0"/>
                  <w:vAlign w:val="center"/>
                </w:tcPr>
                <w:p>
                  <w:pPr>
                    <w:jc w:val="center"/>
                    <w:rPr>
                      <w:rFonts w:hint="eastAsia" w:ascii="Times New Roman" w:hAnsi="Times New Roman" w:eastAsia="宋体" w:cs="Times New Roman"/>
                      <w:color w:val="auto"/>
                      <w:sz w:val="18"/>
                      <w:szCs w:val="18"/>
                    </w:rPr>
                  </w:pPr>
                </w:p>
              </w:tc>
              <w:tc>
                <w:tcPr>
                  <w:tcW w:w="1276" w:type="dxa"/>
                  <w:vMerge w:val="continue"/>
                  <w:noWrap w:val="0"/>
                  <w:vAlign w:val="center"/>
                </w:tcPr>
                <w:p>
                  <w:pPr>
                    <w:jc w:val="center"/>
                    <w:rPr>
                      <w:rFonts w:hint="eastAsia" w:ascii="Times New Roman" w:hAnsi="Times New Roman" w:eastAsia="宋体" w:cs="Times New Roman"/>
                      <w:color w:val="auto"/>
                      <w:sz w:val="18"/>
                      <w:szCs w:val="18"/>
                    </w:rPr>
                  </w:pPr>
                </w:p>
              </w:tc>
              <w:tc>
                <w:tcPr>
                  <w:tcW w:w="1417" w:type="dxa"/>
                  <w:noWrap w:val="0"/>
                  <w:vAlign w:val="center"/>
                </w:tcPr>
                <w:p>
                  <w:pPr>
                    <w:jc w:val="center"/>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SS</w:t>
                  </w:r>
                </w:p>
              </w:tc>
              <w:tc>
                <w:tcPr>
                  <w:tcW w:w="1584" w:type="dxa"/>
                  <w:noWrap w:val="0"/>
                  <w:vAlign w:val="center"/>
                </w:tcPr>
                <w:p>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185.82 </w:t>
                  </w:r>
                </w:p>
              </w:tc>
              <w:tc>
                <w:tcPr>
                  <w:tcW w:w="1326" w:type="dxa"/>
                  <w:noWrap w:val="0"/>
                  <w:vAlign w:val="center"/>
                </w:tcPr>
                <w:p>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0.5976 </w:t>
                  </w:r>
                </w:p>
              </w:tc>
              <w:tc>
                <w:tcPr>
                  <w:tcW w:w="1326" w:type="dxa"/>
                  <w:vMerge w:val="continue"/>
                  <w:noWrap w:val="0"/>
                  <w:vAlign w:val="center"/>
                </w:tcPr>
                <w:p>
                  <w:pPr>
                    <w:jc w:val="center"/>
                    <w:rPr>
                      <w:rFonts w:hint="eastAsia"/>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1026" w:type="dxa"/>
                  <w:vMerge w:val="continue"/>
                  <w:noWrap w:val="0"/>
                  <w:vAlign w:val="center"/>
                </w:tcPr>
                <w:p>
                  <w:pPr>
                    <w:jc w:val="center"/>
                    <w:rPr>
                      <w:rFonts w:hint="eastAsia" w:ascii="Times New Roman" w:hAnsi="Times New Roman" w:eastAsia="宋体" w:cs="Times New Roman"/>
                      <w:color w:val="auto"/>
                      <w:sz w:val="18"/>
                      <w:szCs w:val="18"/>
                    </w:rPr>
                  </w:pPr>
                </w:p>
              </w:tc>
              <w:tc>
                <w:tcPr>
                  <w:tcW w:w="1276" w:type="dxa"/>
                  <w:vMerge w:val="continue"/>
                  <w:noWrap w:val="0"/>
                  <w:vAlign w:val="center"/>
                </w:tcPr>
                <w:p>
                  <w:pPr>
                    <w:jc w:val="center"/>
                    <w:rPr>
                      <w:rFonts w:hint="eastAsia" w:ascii="Times New Roman" w:hAnsi="Times New Roman" w:eastAsia="宋体" w:cs="Times New Roman"/>
                      <w:color w:val="auto"/>
                      <w:sz w:val="18"/>
                      <w:szCs w:val="18"/>
                    </w:rPr>
                  </w:pPr>
                </w:p>
              </w:tc>
              <w:tc>
                <w:tcPr>
                  <w:tcW w:w="1417" w:type="dxa"/>
                  <w:noWrap w:val="0"/>
                  <w:vAlign w:val="center"/>
                </w:tcPr>
                <w:p>
                  <w:pPr>
                    <w:jc w:val="center"/>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NH</w:t>
                  </w:r>
                  <w:r>
                    <w:rPr>
                      <w:rFonts w:hint="eastAsia" w:ascii="Times New Roman" w:hAnsi="Times New Roman" w:eastAsia="宋体" w:cs="Times New Roman"/>
                      <w:color w:val="auto"/>
                      <w:sz w:val="18"/>
                      <w:szCs w:val="18"/>
                      <w:vertAlign w:val="subscript"/>
                    </w:rPr>
                    <w:t>3</w:t>
                  </w:r>
                  <w:r>
                    <w:rPr>
                      <w:rFonts w:hint="eastAsia" w:ascii="Times New Roman" w:hAnsi="Times New Roman" w:eastAsia="宋体" w:cs="Times New Roman"/>
                      <w:color w:val="auto"/>
                      <w:sz w:val="18"/>
                      <w:szCs w:val="18"/>
                    </w:rPr>
                    <w:t>-N</w:t>
                  </w:r>
                </w:p>
              </w:tc>
              <w:tc>
                <w:tcPr>
                  <w:tcW w:w="1584" w:type="dxa"/>
                  <w:noWrap w:val="0"/>
                  <w:vAlign w:val="center"/>
                </w:tcPr>
                <w:p>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27.77 </w:t>
                  </w:r>
                </w:p>
              </w:tc>
              <w:tc>
                <w:tcPr>
                  <w:tcW w:w="1326" w:type="dxa"/>
                  <w:noWrap w:val="0"/>
                  <w:vAlign w:val="center"/>
                </w:tcPr>
                <w:p>
                  <w:pPr>
                    <w:jc w:val="center"/>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 xml:space="preserve">0.0893 </w:t>
                  </w:r>
                </w:p>
              </w:tc>
              <w:tc>
                <w:tcPr>
                  <w:tcW w:w="1326" w:type="dxa"/>
                  <w:vMerge w:val="continue"/>
                  <w:noWrap w:val="0"/>
                  <w:vAlign w:val="center"/>
                </w:tcPr>
                <w:p>
                  <w:pPr>
                    <w:jc w:val="center"/>
                    <w:rPr>
                      <w:rFonts w:hint="eastAsia"/>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1026" w:type="dxa"/>
                  <w:vMerge w:val="continue"/>
                  <w:noWrap w:val="0"/>
                  <w:vAlign w:val="center"/>
                </w:tcPr>
                <w:p>
                  <w:pPr>
                    <w:jc w:val="center"/>
                    <w:rPr>
                      <w:rFonts w:hint="eastAsia" w:ascii="Times New Roman" w:hAnsi="Times New Roman" w:eastAsia="宋体" w:cs="Times New Roman"/>
                      <w:color w:val="auto"/>
                      <w:sz w:val="18"/>
                      <w:szCs w:val="18"/>
                    </w:rPr>
                  </w:pPr>
                </w:p>
              </w:tc>
              <w:tc>
                <w:tcPr>
                  <w:tcW w:w="1276" w:type="dxa"/>
                  <w:vMerge w:val="continue"/>
                  <w:noWrap w:val="0"/>
                  <w:vAlign w:val="center"/>
                </w:tcPr>
                <w:p>
                  <w:pPr>
                    <w:jc w:val="center"/>
                    <w:rPr>
                      <w:rFonts w:hint="eastAsia" w:ascii="Times New Roman" w:hAnsi="Times New Roman" w:eastAsia="宋体" w:cs="Times New Roman"/>
                      <w:color w:val="auto"/>
                      <w:sz w:val="18"/>
                      <w:szCs w:val="18"/>
                    </w:rPr>
                  </w:pPr>
                </w:p>
              </w:tc>
              <w:tc>
                <w:tcPr>
                  <w:tcW w:w="1417" w:type="dxa"/>
                  <w:noWrap w:val="0"/>
                  <w:vAlign w:val="center"/>
                </w:tcPr>
                <w:p>
                  <w:pPr>
                    <w:jc w:val="center"/>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TP</w:t>
                  </w:r>
                </w:p>
              </w:tc>
              <w:tc>
                <w:tcPr>
                  <w:tcW w:w="1584" w:type="dxa"/>
                  <w:noWrap w:val="0"/>
                  <w:vAlign w:val="center"/>
                </w:tcPr>
                <w:p>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3.70 </w:t>
                  </w:r>
                </w:p>
              </w:tc>
              <w:tc>
                <w:tcPr>
                  <w:tcW w:w="1326" w:type="dxa"/>
                  <w:noWrap w:val="0"/>
                  <w:vAlign w:val="center"/>
                </w:tcPr>
                <w:p>
                  <w:pPr>
                    <w:jc w:val="center"/>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 xml:space="preserve">0.0119 </w:t>
                  </w:r>
                </w:p>
              </w:tc>
              <w:tc>
                <w:tcPr>
                  <w:tcW w:w="1326" w:type="dxa"/>
                  <w:vMerge w:val="continue"/>
                  <w:noWrap w:val="0"/>
                  <w:vAlign w:val="center"/>
                </w:tcPr>
                <w:p>
                  <w:pPr>
                    <w:jc w:val="center"/>
                    <w:rPr>
                      <w:rFonts w:hint="eastAsia"/>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1026" w:type="dxa"/>
                  <w:vMerge w:val="continue"/>
                  <w:noWrap w:val="0"/>
                  <w:vAlign w:val="center"/>
                </w:tcPr>
                <w:p>
                  <w:pPr>
                    <w:jc w:val="center"/>
                    <w:rPr>
                      <w:rFonts w:hint="eastAsia" w:ascii="Times New Roman" w:hAnsi="Times New Roman" w:eastAsia="宋体" w:cs="Times New Roman"/>
                      <w:color w:val="auto"/>
                      <w:sz w:val="18"/>
                      <w:szCs w:val="18"/>
                    </w:rPr>
                  </w:pPr>
                </w:p>
              </w:tc>
              <w:tc>
                <w:tcPr>
                  <w:tcW w:w="1276" w:type="dxa"/>
                  <w:vMerge w:val="continue"/>
                  <w:noWrap w:val="0"/>
                  <w:vAlign w:val="center"/>
                </w:tcPr>
                <w:p>
                  <w:pPr>
                    <w:jc w:val="center"/>
                    <w:rPr>
                      <w:rFonts w:hint="eastAsia" w:ascii="Times New Roman" w:hAnsi="Times New Roman" w:eastAsia="宋体" w:cs="Times New Roman"/>
                      <w:color w:val="auto"/>
                      <w:sz w:val="18"/>
                      <w:szCs w:val="18"/>
                    </w:rPr>
                  </w:pPr>
                </w:p>
              </w:tc>
              <w:tc>
                <w:tcPr>
                  <w:tcW w:w="1417" w:type="dxa"/>
                  <w:noWrap w:val="0"/>
                  <w:vAlign w:val="center"/>
                </w:tcPr>
                <w:p>
                  <w:pPr>
                    <w:jc w:val="center"/>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TN</w:t>
                  </w:r>
                </w:p>
              </w:tc>
              <w:tc>
                <w:tcPr>
                  <w:tcW w:w="1584" w:type="dxa"/>
                  <w:noWrap w:val="0"/>
                  <w:vAlign w:val="center"/>
                </w:tcPr>
                <w:p>
                  <w:pPr>
                    <w:jc w:val="center"/>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 xml:space="preserve">41.64 </w:t>
                  </w:r>
                </w:p>
              </w:tc>
              <w:tc>
                <w:tcPr>
                  <w:tcW w:w="1326" w:type="dxa"/>
                  <w:noWrap w:val="0"/>
                  <w:vAlign w:val="center"/>
                </w:tcPr>
                <w:p>
                  <w:pPr>
                    <w:jc w:val="center"/>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 xml:space="preserve">0.1339 </w:t>
                  </w:r>
                </w:p>
              </w:tc>
              <w:tc>
                <w:tcPr>
                  <w:tcW w:w="1326" w:type="dxa"/>
                  <w:vMerge w:val="continue"/>
                  <w:noWrap w:val="0"/>
                  <w:vAlign w:val="center"/>
                </w:tcPr>
                <w:p>
                  <w:pPr>
                    <w:jc w:val="center"/>
                    <w:rPr>
                      <w:rFonts w:hint="eastAsia"/>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1026" w:type="dxa"/>
                  <w:vMerge w:val="continue"/>
                  <w:noWrap w:val="0"/>
                  <w:vAlign w:val="center"/>
                </w:tcPr>
                <w:p>
                  <w:pPr>
                    <w:jc w:val="center"/>
                    <w:rPr>
                      <w:rFonts w:hint="eastAsia" w:ascii="Times New Roman" w:hAnsi="Times New Roman" w:eastAsia="宋体" w:cs="Times New Roman"/>
                      <w:color w:val="auto"/>
                      <w:sz w:val="18"/>
                      <w:szCs w:val="18"/>
                    </w:rPr>
                  </w:pPr>
                </w:p>
              </w:tc>
              <w:tc>
                <w:tcPr>
                  <w:tcW w:w="1276" w:type="dxa"/>
                  <w:vMerge w:val="continue"/>
                  <w:noWrap w:val="0"/>
                  <w:vAlign w:val="center"/>
                </w:tcPr>
                <w:p>
                  <w:pPr>
                    <w:jc w:val="center"/>
                    <w:rPr>
                      <w:rFonts w:hint="eastAsia" w:ascii="Times New Roman" w:hAnsi="Times New Roman" w:eastAsia="宋体" w:cs="Times New Roman"/>
                      <w:color w:val="auto"/>
                      <w:sz w:val="18"/>
                      <w:szCs w:val="18"/>
                    </w:rPr>
                  </w:pPr>
                </w:p>
              </w:tc>
              <w:tc>
                <w:tcPr>
                  <w:tcW w:w="1417" w:type="dxa"/>
                  <w:noWrap w:val="0"/>
                  <w:vAlign w:val="center"/>
                </w:tcPr>
                <w:p>
                  <w:pPr>
                    <w:jc w:val="center"/>
                    <w:rPr>
                      <w:rFonts w:hint="eastAsia"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rPr>
                    <w:t>动植物油</w:t>
                  </w:r>
                </w:p>
              </w:tc>
              <w:tc>
                <w:tcPr>
                  <w:tcW w:w="1584" w:type="dxa"/>
                  <w:noWrap w:val="0"/>
                  <w:vAlign w:val="center"/>
                </w:tcPr>
                <w:p>
                  <w:pPr>
                    <w:jc w:val="center"/>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 xml:space="preserve">2.39 </w:t>
                  </w:r>
                </w:p>
              </w:tc>
              <w:tc>
                <w:tcPr>
                  <w:tcW w:w="1326" w:type="dxa"/>
                  <w:noWrap w:val="0"/>
                  <w:vAlign w:val="center"/>
                </w:tcPr>
                <w:p>
                  <w:pPr>
                    <w:jc w:val="center"/>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 xml:space="preserve">0.0077 </w:t>
                  </w:r>
                </w:p>
              </w:tc>
              <w:tc>
                <w:tcPr>
                  <w:tcW w:w="1326" w:type="dxa"/>
                  <w:vMerge w:val="continue"/>
                  <w:noWrap w:val="0"/>
                  <w:vAlign w:val="center"/>
                </w:tcPr>
                <w:p>
                  <w:pPr>
                    <w:jc w:val="center"/>
                    <w:rPr>
                      <w:rFonts w:hint="eastAsia"/>
                      <w:color w:val="auto"/>
                      <w:sz w:val="18"/>
                      <w:szCs w:val="18"/>
                    </w:rPr>
                  </w:pPr>
                </w:p>
              </w:tc>
            </w:tr>
          </w:tbl>
          <w:p>
            <w:pPr>
              <w:autoSpaceDE w:val="0"/>
              <w:autoSpaceDN w:val="0"/>
              <w:adjustRightInd w:val="0"/>
              <w:spacing w:line="500" w:lineRule="exact"/>
              <w:jc w:val="center"/>
              <w:rPr>
                <w:b/>
                <w:bCs/>
                <w:color w:val="auto"/>
                <w:szCs w:val="21"/>
              </w:rPr>
            </w:pPr>
            <w:r>
              <w:rPr>
                <w:b/>
                <w:bCs/>
                <w:color w:val="auto"/>
                <w:szCs w:val="21"/>
              </w:rPr>
              <w:t>表</w:t>
            </w:r>
            <w:r>
              <w:rPr>
                <w:rFonts w:hint="eastAsia"/>
                <w:b/>
                <w:bCs/>
                <w:color w:val="auto"/>
                <w:szCs w:val="21"/>
              </w:rPr>
              <w:t>4-</w:t>
            </w:r>
            <w:r>
              <w:rPr>
                <w:rFonts w:hint="eastAsia"/>
                <w:b/>
                <w:bCs/>
                <w:color w:val="auto"/>
                <w:szCs w:val="21"/>
                <w:lang w:val="en-US" w:eastAsia="zh-CN"/>
              </w:rPr>
              <w:t>15</w:t>
            </w:r>
            <w:r>
              <w:rPr>
                <w:rFonts w:hint="eastAsia"/>
                <w:b/>
                <w:bCs/>
                <w:color w:val="auto"/>
                <w:szCs w:val="21"/>
                <w:lang w:eastAsia="zh-CN"/>
              </w:rPr>
              <w:t xml:space="preserve">  </w:t>
            </w:r>
            <w:r>
              <w:rPr>
                <w:b/>
                <w:bCs/>
                <w:color w:val="auto"/>
                <w:szCs w:val="21"/>
              </w:rPr>
              <w:t>项目废水排放口基本情况</w:t>
            </w:r>
          </w:p>
          <w:tbl>
            <w:tblPr>
              <w:tblStyle w:val="21"/>
              <w:tblW w:w="797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73"/>
              <w:gridCol w:w="1701"/>
              <w:gridCol w:w="1559"/>
              <w:gridCol w:w="1770"/>
              <w:gridCol w:w="17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173" w:type="dxa"/>
                  <w:vMerge w:val="restart"/>
                  <w:noWrap w:val="0"/>
                  <w:vAlign w:val="center"/>
                </w:tcPr>
                <w:p>
                  <w:pPr>
                    <w:jc w:val="center"/>
                    <w:rPr>
                      <w:b/>
                      <w:bCs/>
                      <w:color w:val="auto"/>
                      <w:sz w:val="18"/>
                      <w:szCs w:val="18"/>
                    </w:rPr>
                  </w:pPr>
                  <w:r>
                    <w:rPr>
                      <w:b/>
                      <w:bCs/>
                      <w:color w:val="auto"/>
                      <w:sz w:val="18"/>
                      <w:szCs w:val="18"/>
                    </w:rPr>
                    <w:t>编号</w:t>
                  </w:r>
                </w:p>
              </w:tc>
              <w:tc>
                <w:tcPr>
                  <w:tcW w:w="1701" w:type="dxa"/>
                  <w:vMerge w:val="restart"/>
                  <w:noWrap w:val="0"/>
                  <w:vAlign w:val="center"/>
                </w:tcPr>
                <w:p>
                  <w:pPr>
                    <w:jc w:val="center"/>
                    <w:rPr>
                      <w:b/>
                      <w:bCs/>
                      <w:color w:val="auto"/>
                      <w:sz w:val="18"/>
                      <w:szCs w:val="18"/>
                    </w:rPr>
                  </w:pPr>
                  <w:r>
                    <w:rPr>
                      <w:b/>
                      <w:bCs/>
                      <w:color w:val="auto"/>
                      <w:sz w:val="18"/>
                      <w:szCs w:val="18"/>
                    </w:rPr>
                    <w:t>名称</w:t>
                  </w:r>
                </w:p>
              </w:tc>
              <w:tc>
                <w:tcPr>
                  <w:tcW w:w="1559" w:type="dxa"/>
                  <w:vMerge w:val="restart"/>
                  <w:noWrap w:val="0"/>
                  <w:vAlign w:val="center"/>
                </w:tcPr>
                <w:p>
                  <w:pPr>
                    <w:jc w:val="center"/>
                    <w:rPr>
                      <w:b/>
                      <w:bCs/>
                      <w:color w:val="auto"/>
                      <w:sz w:val="18"/>
                      <w:szCs w:val="18"/>
                    </w:rPr>
                  </w:pPr>
                  <w:r>
                    <w:rPr>
                      <w:b/>
                      <w:bCs/>
                      <w:color w:val="auto"/>
                      <w:sz w:val="18"/>
                      <w:szCs w:val="18"/>
                    </w:rPr>
                    <w:t>类型</w:t>
                  </w:r>
                </w:p>
              </w:tc>
              <w:tc>
                <w:tcPr>
                  <w:tcW w:w="3540" w:type="dxa"/>
                  <w:gridSpan w:val="2"/>
                  <w:noWrap w:val="0"/>
                  <w:vAlign w:val="center"/>
                </w:tcPr>
                <w:p>
                  <w:pPr>
                    <w:jc w:val="center"/>
                    <w:rPr>
                      <w:b/>
                      <w:bCs/>
                      <w:color w:val="auto"/>
                      <w:sz w:val="18"/>
                      <w:szCs w:val="18"/>
                    </w:rPr>
                  </w:pPr>
                  <w:r>
                    <w:rPr>
                      <w:b/>
                      <w:bCs/>
                      <w:color w:val="auto"/>
                      <w:sz w:val="18"/>
                      <w:szCs w:val="18"/>
                    </w:rPr>
                    <w:t>地理坐标（°）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173" w:type="dxa"/>
                  <w:vMerge w:val="continue"/>
                  <w:noWrap w:val="0"/>
                  <w:vAlign w:val="center"/>
                </w:tcPr>
                <w:p>
                  <w:pPr>
                    <w:jc w:val="center"/>
                    <w:rPr>
                      <w:b/>
                      <w:bCs/>
                      <w:color w:val="auto"/>
                      <w:sz w:val="18"/>
                      <w:szCs w:val="18"/>
                    </w:rPr>
                  </w:pPr>
                </w:p>
              </w:tc>
              <w:tc>
                <w:tcPr>
                  <w:tcW w:w="1701" w:type="dxa"/>
                  <w:vMerge w:val="continue"/>
                  <w:noWrap w:val="0"/>
                  <w:vAlign w:val="center"/>
                </w:tcPr>
                <w:p>
                  <w:pPr>
                    <w:jc w:val="center"/>
                    <w:rPr>
                      <w:b/>
                      <w:bCs/>
                      <w:color w:val="auto"/>
                      <w:sz w:val="18"/>
                      <w:szCs w:val="18"/>
                    </w:rPr>
                  </w:pPr>
                </w:p>
              </w:tc>
              <w:tc>
                <w:tcPr>
                  <w:tcW w:w="1559" w:type="dxa"/>
                  <w:vMerge w:val="continue"/>
                  <w:noWrap w:val="0"/>
                  <w:vAlign w:val="center"/>
                </w:tcPr>
                <w:p>
                  <w:pPr>
                    <w:jc w:val="center"/>
                    <w:rPr>
                      <w:b/>
                      <w:bCs/>
                      <w:color w:val="auto"/>
                      <w:sz w:val="18"/>
                      <w:szCs w:val="18"/>
                    </w:rPr>
                  </w:pPr>
                </w:p>
              </w:tc>
              <w:tc>
                <w:tcPr>
                  <w:tcW w:w="1770" w:type="dxa"/>
                  <w:noWrap w:val="0"/>
                  <w:vAlign w:val="center"/>
                </w:tcPr>
                <w:p>
                  <w:pPr>
                    <w:jc w:val="center"/>
                    <w:rPr>
                      <w:b/>
                      <w:bCs/>
                      <w:color w:val="auto"/>
                      <w:sz w:val="18"/>
                      <w:szCs w:val="18"/>
                    </w:rPr>
                  </w:pPr>
                  <w:r>
                    <w:rPr>
                      <w:b/>
                      <w:bCs/>
                      <w:color w:val="auto"/>
                      <w:sz w:val="18"/>
                      <w:szCs w:val="18"/>
                    </w:rPr>
                    <w:t>纬度</w:t>
                  </w:r>
                </w:p>
              </w:tc>
              <w:tc>
                <w:tcPr>
                  <w:tcW w:w="1770" w:type="dxa"/>
                  <w:noWrap w:val="0"/>
                  <w:vAlign w:val="center"/>
                </w:tcPr>
                <w:p>
                  <w:pPr>
                    <w:jc w:val="center"/>
                    <w:rPr>
                      <w:b/>
                      <w:bCs/>
                      <w:color w:val="auto"/>
                      <w:sz w:val="18"/>
                      <w:szCs w:val="18"/>
                    </w:rPr>
                  </w:pPr>
                  <w:r>
                    <w:rPr>
                      <w:b/>
                      <w:bCs/>
                      <w:color w:val="auto"/>
                      <w:sz w:val="18"/>
                      <w:szCs w:val="18"/>
                    </w:rPr>
                    <w:t>经度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173" w:type="dxa"/>
                  <w:noWrap w:val="0"/>
                  <w:vAlign w:val="center"/>
                </w:tcPr>
                <w:p>
                  <w:pPr>
                    <w:jc w:val="center"/>
                    <w:rPr>
                      <w:color w:val="auto"/>
                      <w:sz w:val="18"/>
                      <w:szCs w:val="18"/>
                    </w:rPr>
                  </w:pPr>
                  <w:r>
                    <w:rPr>
                      <w:rFonts w:hint="eastAsia"/>
                      <w:color w:val="auto"/>
                      <w:sz w:val="18"/>
                      <w:szCs w:val="18"/>
                    </w:rPr>
                    <w:t>DW001</w:t>
                  </w:r>
                </w:p>
              </w:tc>
              <w:tc>
                <w:tcPr>
                  <w:tcW w:w="1701" w:type="dxa"/>
                  <w:noWrap w:val="0"/>
                  <w:vAlign w:val="center"/>
                </w:tcPr>
                <w:p>
                  <w:pPr>
                    <w:jc w:val="center"/>
                    <w:rPr>
                      <w:color w:val="auto"/>
                      <w:sz w:val="18"/>
                      <w:szCs w:val="18"/>
                    </w:rPr>
                  </w:pPr>
                  <w:r>
                    <w:rPr>
                      <w:color w:val="auto"/>
                      <w:sz w:val="18"/>
                      <w:szCs w:val="18"/>
                    </w:rPr>
                    <w:t>废水总排口</w:t>
                  </w:r>
                </w:p>
              </w:tc>
              <w:tc>
                <w:tcPr>
                  <w:tcW w:w="1559" w:type="dxa"/>
                  <w:noWrap w:val="0"/>
                  <w:vAlign w:val="center"/>
                </w:tcPr>
                <w:p>
                  <w:pPr>
                    <w:jc w:val="center"/>
                    <w:rPr>
                      <w:color w:val="auto"/>
                      <w:sz w:val="18"/>
                      <w:szCs w:val="18"/>
                    </w:rPr>
                  </w:pPr>
                  <w:r>
                    <w:rPr>
                      <w:color w:val="auto"/>
                      <w:sz w:val="18"/>
                      <w:szCs w:val="18"/>
                    </w:rPr>
                    <w:t>一般排放口</w:t>
                  </w:r>
                </w:p>
              </w:tc>
              <w:tc>
                <w:tcPr>
                  <w:tcW w:w="1770" w:type="dxa"/>
                  <w:noWrap w:val="0"/>
                  <w:vAlign w:val="center"/>
                </w:tcPr>
                <w:p>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32.106043</w:t>
                  </w:r>
                </w:p>
              </w:tc>
              <w:tc>
                <w:tcPr>
                  <w:tcW w:w="1770" w:type="dxa"/>
                  <w:noWrap w:val="0"/>
                  <w:vAlign w:val="center"/>
                </w:tcPr>
                <w:p>
                  <w:pPr>
                    <w:jc w:val="center"/>
                    <w:rPr>
                      <w:rFonts w:hint="default" w:ascii="Times New Roman" w:hAnsi="Times New Roman" w:eastAsia="宋体" w:cs="Times New Roman"/>
                      <w:color w:val="auto"/>
                      <w:sz w:val="18"/>
                      <w:szCs w:val="18"/>
                      <w:lang w:val="en-US" w:eastAsia="zh-CN"/>
                    </w:rPr>
                  </w:pPr>
                  <w:r>
                    <w:rPr>
                      <w:rFonts w:ascii="Times New Roman" w:hAnsi="Times New Roman" w:eastAsia="宋体" w:cs="Times New Roman"/>
                      <w:color w:val="auto"/>
                      <w:sz w:val="18"/>
                      <w:szCs w:val="18"/>
                    </w:rPr>
                    <w:t>120.556373</w:t>
                  </w:r>
                </w:p>
              </w:tc>
            </w:tr>
          </w:tbl>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420" w:firstLineChars="200"/>
              <w:jc w:val="left"/>
              <w:textAlignment w:val="auto"/>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根据《排污许可证申请与核发技术规范 总则》（HJ942-2018）、《排污单位自行监测技术指南 总则》（HJ819-2017）文件的要求制定以下监测计划，具体见表4-16。</w:t>
            </w:r>
          </w:p>
          <w:p>
            <w:pPr>
              <w:autoSpaceDE w:val="0"/>
              <w:autoSpaceDN w:val="0"/>
              <w:adjustRightInd w:val="0"/>
              <w:spacing w:line="500" w:lineRule="exact"/>
              <w:jc w:val="center"/>
              <w:rPr>
                <w:rFonts w:hint="eastAsia"/>
                <w:b/>
                <w:bCs/>
                <w:color w:val="auto"/>
                <w:szCs w:val="21"/>
              </w:rPr>
            </w:pPr>
            <w:r>
              <w:rPr>
                <w:b/>
                <w:bCs/>
                <w:color w:val="auto"/>
                <w:szCs w:val="21"/>
              </w:rPr>
              <w:t>表</w:t>
            </w:r>
            <w:r>
              <w:rPr>
                <w:rFonts w:hint="eastAsia"/>
                <w:b/>
                <w:bCs/>
                <w:color w:val="auto"/>
                <w:szCs w:val="21"/>
              </w:rPr>
              <w:t>4-</w:t>
            </w:r>
            <w:r>
              <w:rPr>
                <w:rFonts w:hint="eastAsia"/>
                <w:b/>
                <w:bCs/>
                <w:color w:val="auto"/>
                <w:szCs w:val="21"/>
                <w:lang w:val="en-US" w:eastAsia="zh-CN"/>
              </w:rPr>
              <w:t>16</w:t>
            </w:r>
            <w:r>
              <w:rPr>
                <w:rFonts w:hint="eastAsia"/>
                <w:b/>
                <w:bCs/>
                <w:color w:val="auto"/>
                <w:szCs w:val="21"/>
                <w:lang w:eastAsia="zh-CN"/>
              </w:rPr>
              <w:t xml:space="preserve">  </w:t>
            </w:r>
            <w:r>
              <w:rPr>
                <w:b/>
                <w:bCs/>
                <w:color w:val="auto"/>
                <w:szCs w:val="21"/>
              </w:rPr>
              <w:t>废水污染物监测要求</w:t>
            </w:r>
          </w:p>
          <w:tbl>
            <w:tblPr>
              <w:tblStyle w:val="21"/>
              <w:tblW w:w="795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51"/>
              <w:gridCol w:w="2168"/>
              <w:gridCol w:w="2168"/>
              <w:gridCol w:w="21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451" w:type="dxa"/>
                  <w:noWrap w:val="0"/>
                  <w:vAlign w:val="center"/>
                </w:tcPr>
                <w:p>
                  <w:pPr>
                    <w:jc w:val="center"/>
                    <w:rPr>
                      <w:b/>
                      <w:bCs/>
                      <w:color w:val="auto"/>
                      <w:sz w:val="18"/>
                      <w:szCs w:val="18"/>
                    </w:rPr>
                  </w:pPr>
                  <w:r>
                    <w:rPr>
                      <w:b/>
                      <w:bCs/>
                      <w:color w:val="auto"/>
                      <w:sz w:val="18"/>
                      <w:szCs w:val="18"/>
                    </w:rPr>
                    <w:t>监测点位</w:t>
                  </w:r>
                </w:p>
              </w:tc>
              <w:tc>
                <w:tcPr>
                  <w:tcW w:w="2168" w:type="dxa"/>
                  <w:noWrap w:val="0"/>
                  <w:vAlign w:val="center"/>
                </w:tcPr>
                <w:p>
                  <w:pPr>
                    <w:jc w:val="center"/>
                    <w:rPr>
                      <w:b/>
                      <w:bCs/>
                      <w:color w:val="auto"/>
                      <w:sz w:val="18"/>
                      <w:szCs w:val="18"/>
                    </w:rPr>
                  </w:pPr>
                  <w:r>
                    <w:rPr>
                      <w:b/>
                      <w:bCs/>
                      <w:color w:val="auto"/>
                      <w:sz w:val="18"/>
                      <w:szCs w:val="18"/>
                    </w:rPr>
                    <w:t>监测指标</w:t>
                  </w:r>
                </w:p>
              </w:tc>
              <w:tc>
                <w:tcPr>
                  <w:tcW w:w="2168" w:type="dxa"/>
                  <w:noWrap w:val="0"/>
                  <w:vAlign w:val="center"/>
                </w:tcPr>
                <w:p>
                  <w:pPr>
                    <w:jc w:val="center"/>
                    <w:rPr>
                      <w:b/>
                      <w:bCs/>
                      <w:color w:val="auto"/>
                      <w:sz w:val="18"/>
                      <w:szCs w:val="18"/>
                    </w:rPr>
                  </w:pPr>
                  <w:r>
                    <w:rPr>
                      <w:b/>
                      <w:bCs/>
                      <w:color w:val="auto"/>
                      <w:sz w:val="18"/>
                      <w:szCs w:val="18"/>
                    </w:rPr>
                    <w:t>监测频次</w:t>
                  </w:r>
                </w:p>
              </w:tc>
              <w:tc>
                <w:tcPr>
                  <w:tcW w:w="2168" w:type="dxa"/>
                  <w:noWrap w:val="0"/>
                  <w:vAlign w:val="center"/>
                </w:tcPr>
                <w:p>
                  <w:pPr>
                    <w:jc w:val="center"/>
                    <w:rPr>
                      <w:b/>
                      <w:bCs/>
                      <w:color w:val="auto"/>
                      <w:sz w:val="18"/>
                      <w:szCs w:val="18"/>
                    </w:rPr>
                  </w:pPr>
                  <w:r>
                    <w:rPr>
                      <w:b/>
                      <w:bCs/>
                      <w:color w:val="auto"/>
                      <w:sz w:val="18"/>
                      <w:szCs w:val="18"/>
                    </w:rPr>
                    <w:t>排放标准（</w:t>
                  </w:r>
                  <w:r>
                    <w:rPr>
                      <w:rFonts w:hint="eastAsia"/>
                      <w:b/>
                      <w:bCs/>
                      <w:color w:val="auto"/>
                      <w:sz w:val="18"/>
                      <w:szCs w:val="18"/>
                    </w:rPr>
                    <w:t>mg/L</w:t>
                  </w:r>
                  <w:r>
                    <w:rPr>
                      <w:b/>
                      <w:bCs/>
                      <w:color w:val="auto"/>
                      <w:sz w:val="18"/>
                      <w:szCs w:val="1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451" w:type="dxa"/>
                  <w:vMerge w:val="restart"/>
                  <w:noWrap w:val="0"/>
                  <w:vAlign w:val="center"/>
                </w:tcPr>
                <w:p>
                  <w:pPr>
                    <w:jc w:val="center"/>
                    <w:rPr>
                      <w:rFonts w:hint="default" w:eastAsia="宋体"/>
                      <w:color w:val="auto"/>
                      <w:sz w:val="18"/>
                      <w:szCs w:val="18"/>
                      <w:lang w:val="en-US" w:eastAsia="zh-CN"/>
                    </w:rPr>
                  </w:pPr>
                  <w:r>
                    <w:rPr>
                      <w:color w:val="auto"/>
                      <w:sz w:val="18"/>
                      <w:szCs w:val="18"/>
                    </w:rPr>
                    <w:t>废水排口</w:t>
                  </w:r>
                  <w:r>
                    <w:rPr>
                      <w:rFonts w:hint="eastAsia"/>
                      <w:b/>
                      <w:bCs/>
                      <w:color w:val="auto"/>
                      <w:sz w:val="18"/>
                      <w:szCs w:val="18"/>
                      <w:vertAlign w:val="superscript"/>
                      <w:lang w:val="en-US" w:eastAsia="zh-CN"/>
                    </w:rPr>
                    <w:t>[1]</w:t>
                  </w:r>
                </w:p>
              </w:tc>
              <w:tc>
                <w:tcPr>
                  <w:tcW w:w="2168" w:type="dxa"/>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rPr>
                    <w:t>COD</w:t>
                  </w:r>
                </w:p>
              </w:tc>
              <w:tc>
                <w:tcPr>
                  <w:tcW w:w="2168" w:type="dxa"/>
                  <w:noWrap w:val="0"/>
                  <w:vAlign w:val="center"/>
                </w:tcPr>
                <w:p>
                  <w:pPr>
                    <w:jc w:val="center"/>
                    <w:rPr>
                      <w:rFonts w:hint="eastAsia"/>
                      <w:color w:val="auto"/>
                      <w:sz w:val="18"/>
                      <w:szCs w:val="18"/>
                    </w:rPr>
                  </w:pPr>
                  <w:r>
                    <w:rPr>
                      <w:sz w:val="18"/>
                      <w:szCs w:val="18"/>
                    </w:rPr>
                    <w:t>1次/年</w:t>
                  </w:r>
                </w:p>
              </w:tc>
              <w:tc>
                <w:tcPr>
                  <w:tcW w:w="2168" w:type="dxa"/>
                  <w:noWrap w:val="0"/>
                  <w:vAlign w:val="center"/>
                </w:tcPr>
                <w:p>
                  <w:pPr>
                    <w:jc w:val="center"/>
                    <w:rPr>
                      <w:color w:val="auto"/>
                      <w:sz w:val="18"/>
                      <w:szCs w:val="18"/>
                    </w:rPr>
                  </w:pPr>
                  <w:r>
                    <w:rPr>
                      <w:sz w:val="18"/>
                      <w:szCs w:val="18"/>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451" w:type="dxa"/>
                  <w:vMerge w:val="continue"/>
                  <w:noWrap w:val="0"/>
                  <w:vAlign w:val="center"/>
                </w:tcPr>
                <w:p>
                  <w:pPr>
                    <w:jc w:val="center"/>
                    <w:rPr>
                      <w:color w:val="auto"/>
                      <w:sz w:val="18"/>
                      <w:szCs w:val="18"/>
                    </w:rPr>
                  </w:pPr>
                </w:p>
              </w:tc>
              <w:tc>
                <w:tcPr>
                  <w:tcW w:w="2168" w:type="dxa"/>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rPr>
                    <w:t>SS</w:t>
                  </w:r>
                </w:p>
              </w:tc>
              <w:tc>
                <w:tcPr>
                  <w:tcW w:w="2168" w:type="dxa"/>
                  <w:noWrap w:val="0"/>
                  <w:vAlign w:val="center"/>
                </w:tcPr>
                <w:p>
                  <w:pPr>
                    <w:jc w:val="center"/>
                    <w:rPr>
                      <w:rFonts w:hint="eastAsia"/>
                      <w:color w:val="auto"/>
                      <w:sz w:val="18"/>
                      <w:szCs w:val="18"/>
                      <w:lang w:val="en-US" w:eastAsia="zh-CN"/>
                    </w:rPr>
                  </w:pPr>
                  <w:r>
                    <w:rPr>
                      <w:sz w:val="18"/>
                      <w:szCs w:val="18"/>
                    </w:rPr>
                    <w:t>1次/年</w:t>
                  </w:r>
                </w:p>
              </w:tc>
              <w:tc>
                <w:tcPr>
                  <w:tcW w:w="2168" w:type="dxa"/>
                  <w:noWrap w:val="0"/>
                  <w:vAlign w:val="center"/>
                </w:tcPr>
                <w:p>
                  <w:pPr>
                    <w:jc w:val="center"/>
                    <w:rPr>
                      <w:rFonts w:hint="eastAsia"/>
                      <w:color w:val="auto"/>
                      <w:sz w:val="18"/>
                      <w:szCs w:val="18"/>
                      <w:lang w:val="en-US" w:eastAsia="zh-CN"/>
                    </w:rPr>
                  </w:pPr>
                  <w:r>
                    <w:rPr>
                      <w:sz w:val="18"/>
                      <w:szCs w:val="18"/>
                    </w:rPr>
                    <w:t>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451" w:type="dxa"/>
                  <w:vMerge w:val="continue"/>
                  <w:noWrap w:val="0"/>
                  <w:vAlign w:val="center"/>
                </w:tcPr>
                <w:p>
                  <w:pPr>
                    <w:jc w:val="center"/>
                    <w:rPr>
                      <w:color w:val="auto"/>
                      <w:sz w:val="18"/>
                      <w:szCs w:val="18"/>
                    </w:rPr>
                  </w:pPr>
                </w:p>
              </w:tc>
              <w:tc>
                <w:tcPr>
                  <w:tcW w:w="2168" w:type="dxa"/>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rPr>
                    <w:t>NH</w:t>
                  </w:r>
                  <w:r>
                    <w:rPr>
                      <w:rFonts w:hint="eastAsia" w:ascii="Times New Roman" w:hAnsi="Times New Roman" w:eastAsia="宋体" w:cs="Times New Roman"/>
                      <w:color w:val="auto"/>
                      <w:sz w:val="18"/>
                      <w:szCs w:val="18"/>
                      <w:vertAlign w:val="subscript"/>
                    </w:rPr>
                    <w:t>3</w:t>
                  </w:r>
                  <w:r>
                    <w:rPr>
                      <w:rFonts w:hint="eastAsia" w:ascii="Times New Roman" w:hAnsi="Times New Roman" w:eastAsia="宋体" w:cs="Times New Roman"/>
                      <w:color w:val="auto"/>
                      <w:sz w:val="18"/>
                      <w:szCs w:val="18"/>
                    </w:rPr>
                    <w:t>-N</w:t>
                  </w:r>
                </w:p>
              </w:tc>
              <w:tc>
                <w:tcPr>
                  <w:tcW w:w="2168" w:type="dxa"/>
                  <w:noWrap w:val="0"/>
                  <w:vAlign w:val="center"/>
                </w:tcPr>
                <w:p>
                  <w:pPr>
                    <w:jc w:val="center"/>
                    <w:rPr>
                      <w:rFonts w:hint="eastAsia"/>
                      <w:color w:val="auto"/>
                      <w:sz w:val="18"/>
                      <w:szCs w:val="18"/>
                      <w:lang w:val="en-US" w:eastAsia="zh-CN"/>
                    </w:rPr>
                  </w:pPr>
                  <w:r>
                    <w:rPr>
                      <w:sz w:val="18"/>
                      <w:szCs w:val="18"/>
                    </w:rPr>
                    <w:t>1次/年</w:t>
                  </w:r>
                </w:p>
              </w:tc>
              <w:tc>
                <w:tcPr>
                  <w:tcW w:w="2168" w:type="dxa"/>
                  <w:noWrap w:val="0"/>
                  <w:vAlign w:val="center"/>
                </w:tcPr>
                <w:p>
                  <w:pPr>
                    <w:jc w:val="center"/>
                    <w:rPr>
                      <w:rFonts w:hint="eastAsia"/>
                      <w:color w:val="auto"/>
                      <w:sz w:val="18"/>
                      <w:szCs w:val="18"/>
                      <w:lang w:val="en-US" w:eastAsia="zh-CN"/>
                    </w:rPr>
                  </w:pPr>
                  <w:r>
                    <w:rPr>
                      <w:sz w:val="18"/>
                      <w:szCs w:val="18"/>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451" w:type="dxa"/>
                  <w:vMerge w:val="continue"/>
                  <w:noWrap w:val="0"/>
                  <w:vAlign w:val="center"/>
                </w:tcPr>
                <w:p>
                  <w:pPr>
                    <w:jc w:val="center"/>
                    <w:rPr>
                      <w:color w:val="auto"/>
                      <w:sz w:val="18"/>
                      <w:szCs w:val="18"/>
                    </w:rPr>
                  </w:pPr>
                </w:p>
              </w:tc>
              <w:tc>
                <w:tcPr>
                  <w:tcW w:w="2168" w:type="dxa"/>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rPr>
                    <w:t>TP</w:t>
                  </w:r>
                </w:p>
              </w:tc>
              <w:tc>
                <w:tcPr>
                  <w:tcW w:w="2168" w:type="dxa"/>
                  <w:noWrap w:val="0"/>
                  <w:vAlign w:val="center"/>
                </w:tcPr>
                <w:p>
                  <w:pPr>
                    <w:jc w:val="center"/>
                    <w:rPr>
                      <w:rFonts w:hint="eastAsia"/>
                      <w:color w:val="auto"/>
                      <w:sz w:val="18"/>
                      <w:szCs w:val="18"/>
                      <w:lang w:val="en-US" w:eastAsia="zh-CN"/>
                    </w:rPr>
                  </w:pPr>
                  <w:r>
                    <w:rPr>
                      <w:sz w:val="18"/>
                      <w:szCs w:val="18"/>
                    </w:rPr>
                    <w:t>1次/年</w:t>
                  </w:r>
                </w:p>
              </w:tc>
              <w:tc>
                <w:tcPr>
                  <w:tcW w:w="2168" w:type="dxa"/>
                  <w:noWrap w:val="0"/>
                  <w:vAlign w:val="center"/>
                </w:tcPr>
                <w:p>
                  <w:pPr>
                    <w:jc w:val="center"/>
                    <w:rPr>
                      <w:rFonts w:hint="eastAsia"/>
                      <w:color w:val="auto"/>
                      <w:sz w:val="18"/>
                      <w:szCs w:val="18"/>
                      <w:lang w:val="en-US" w:eastAsia="zh-CN"/>
                    </w:rPr>
                  </w:pPr>
                  <w:r>
                    <w:rPr>
                      <w:sz w:val="18"/>
                      <w:szCs w:val="18"/>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451" w:type="dxa"/>
                  <w:vMerge w:val="continue"/>
                  <w:noWrap w:val="0"/>
                  <w:vAlign w:val="center"/>
                </w:tcPr>
                <w:p>
                  <w:pPr>
                    <w:jc w:val="center"/>
                    <w:rPr>
                      <w:color w:val="auto"/>
                      <w:sz w:val="18"/>
                      <w:szCs w:val="18"/>
                    </w:rPr>
                  </w:pPr>
                </w:p>
              </w:tc>
              <w:tc>
                <w:tcPr>
                  <w:tcW w:w="2168" w:type="dxa"/>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rPr>
                    <w:t>TN</w:t>
                  </w:r>
                </w:p>
              </w:tc>
              <w:tc>
                <w:tcPr>
                  <w:tcW w:w="2168" w:type="dxa"/>
                  <w:noWrap w:val="0"/>
                  <w:vAlign w:val="center"/>
                </w:tcPr>
                <w:p>
                  <w:pPr>
                    <w:jc w:val="center"/>
                    <w:rPr>
                      <w:rFonts w:hint="eastAsia"/>
                      <w:color w:val="auto"/>
                      <w:sz w:val="18"/>
                      <w:szCs w:val="18"/>
                      <w:lang w:val="en-US" w:eastAsia="zh-CN"/>
                    </w:rPr>
                  </w:pPr>
                  <w:r>
                    <w:rPr>
                      <w:sz w:val="18"/>
                      <w:szCs w:val="18"/>
                    </w:rPr>
                    <w:t>1次/年</w:t>
                  </w:r>
                </w:p>
              </w:tc>
              <w:tc>
                <w:tcPr>
                  <w:tcW w:w="2168" w:type="dxa"/>
                  <w:noWrap w:val="0"/>
                  <w:vAlign w:val="center"/>
                </w:tcPr>
                <w:p>
                  <w:pPr>
                    <w:jc w:val="center"/>
                    <w:rPr>
                      <w:rFonts w:hint="eastAsia"/>
                      <w:color w:val="auto"/>
                      <w:sz w:val="18"/>
                      <w:szCs w:val="18"/>
                      <w:lang w:val="en-US" w:eastAsia="zh-CN"/>
                    </w:rPr>
                  </w:pPr>
                  <w:r>
                    <w:rPr>
                      <w:sz w:val="18"/>
                      <w:szCs w:val="18"/>
                    </w:rPr>
                    <w:t>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451" w:type="dxa"/>
                  <w:vMerge w:val="continue"/>
                  <w:noWrap w:val="0"/>
                  <w:vAlign w:val="center"/>
                </w:tcPr>
                <w:p>
                  <w:pPr>
                    <w:jc w:val="center"/>
                    <w:rPr>
                      <w:color w:val="auto"/>
                      <w:sz w:val="18"/>
                      <w:szCs w:val="18"/>
                    </w:rPr>
                  </w:pPr>
                </w:p>
              </w:tc>
              <w:tc>
                <w:tcPr>
                  <w:tcW w:w="2168" w:type="dxa"/>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动植物油</w:t>
                  </w:r>
                </w:p>
              </w:tc>
              <w:tc>
                <w:tcPr>
                  <w:tcW w:w="2168" w:type="dxa"/>
                  <w:noWrap w:val="0"/>
                  <w:vAlign w:val="center"/>
                </w:tcPr>
                <w:p>
                  <w:pPr>
                    <w:jc w:val="center"/>
                    <w:rPr>
                      <w:rFonts w:hint="eastAsia"/>
                      <w:color w:val="auto"/>
                      <w:sz w:val="18"/>
                      <w:szCs w:val="18"/>
                      <w:lang w:val="en-US" w:eastAsia="zh-CN"/>
                    </w:rPr>
                  </w:pPr>
                  <w:r>
                    <w:rPr>
                      <w:sz w:val="18"/>
                      <w:szCs w:val="18"/>
                    </w:rPr>
                    <w:t>1次/年</w:t>
                  </w:r>
                </w:p>
              </w:tc>
              <w:tc>
                <w:tcPr>
                  <w:tcW w:w="2168" w:type="dxa"/>
                  <w:noWrap w:val="0"/>
                  <w:vAlign w:val="center"/>
                </w:tcPr>
                <w:p>
                  <w:pPr>
                    <w:jc w:val="center"/>
                    <w:rPr>
                      <w:rFonts w:hint="default"/>
                      <w:color w:val="auto"/>
                      <w:sz w:val="18"/>
                      <w:szCs w:val="18"/>
                      <w:lang w:val="en-US" w:eastAsia="zh-CN"/>
                    </w:rPr>
                  </w:pPr>
                  <w:r>
                    <w:rPr>
                      <w:rFonts w:hint="eastAsia"/>
                      <w:color w:val="auto"/>
                      <w:sz w:val="18"/>
                      <w:szCs w:val="18"/>
                      <w:lang w:val="en-US" w:eastAsia="zh-CN"/>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451" w:type="dxa"/>
                  <w:vMerge w:val="restart"/>
                  <w:noWrap w:val="0"/>
                  <w:vAlign w:val="center"/>
                </w:tcPr>
                <w:p>
                  <w:pPr>
                    <w:jc w:val="center"/>
                    <w:rPr>
                      <w:rFonts w:hint="default" w:eastAsia="宋体"/>
                      <w:color w:val="auto"/>
                      <w:sz w:val="18"/>
                      <w:szCs w:val="18"/>
                      <w:lang w:val="en-US" w:eastAsia="zh-CN"/>
                    </w:rPr>
                  </w:pPr>
                  <w:r>
                    <w:rPr>
                      <w:rFonts w:hint="eastAsia"/>
                      <w:color w:val="auto"/>
                      <w:sz w:val="18"/>
                      <w:szCs w:val="18"/>
                      <w:lang w:val="en-US" w:eastAsia="zh-CN"/>
                    </w:rPr>
                    <w:t>雨水排口</w:t>
                  </w:r>
                  <w:r>
                    <w:rPr>
                      <w:rFonts w:hint="eastAsia"/>
                      <w:b/>
                      <w:bCs/>
                      <w:color w:val="auto"/>
                      <w:sz w:val="18"/>
                      <w:szCs w:val="18"/>
                      <w:vertAlign w:val="superscript"/>
                      <w:lang w:val="en-US" w:eastAsia="zh-CN"/>
                    </w:rPr>
                    <w:t>[1]</w:t>
                  </w:r>
                </w:p>
              </w:tc>
              <w:tc>
                <w:tcPr>
                  <w:tcW w:w="2168" w:type="dxa"/>
                  <w:noWrap w:val="0"/>
                  <w:vAlign w:val="center"/>
                </w:tcPr>
                <w:p>
                  <w:pPr>
                    <w:pStyle w:val="8"/>
                    <w:ind w:firstLine="0" w:firstLineChars="0"/>
                    <w:jc w:val="center"/>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pH值</w:t>
                  </w:r>
                </w:p>
              </w:tc>
              <w:tc>
                <w:tcPr>
                  <w:tcW w:w="2168" w:type="dxa"/>
                  <w:noWrap w:val="0"/>
                  <w:vAlign w:val="center"/>
                </w:tcPr>
                <w:p>
                  <w:pPr>
                    <w:jc w:val="center"/>
                    <w:rPr>
                      <w:rFonts w:hint="eastAsia"/>
                      <w:color w:val="auto"/>
                      <w:sz w:val="18"/>
                      <w:szCs w:val="18"/>
                    </w:rPr>
                  </w:pPr>
                  <w:r>
                    <w:rPr>
                      <w:rFonts w:hint="eastAsia"/>
                      <w:color w:val="auto"/>
                      <w:sz w:val="18"/>
                      <w:szCs w:val="18"/>
                    </w:rPr>
                    <w:t>1次/</w:t>
                  </w:r>
                  <w:r>
                    <w:rPr>
                      <w:rFonts w:hint="eastAsia"/>
                      <w:color w:val="auto"/>
                      <w:sz w:val="18"/>
                      <w:szCs w:val="18"/>
                      <w:lang w:val="en-US" w:eastAsia="zh-CN"/>
                    </w:rPr>
                    <w:t>日</w:t>
                  </w:r>
                </w:p>
              </w:tc>
              <w:tc>
                <w:tcPr>
                  <w:tcW w:w="2168" w:type="dxa"/>
                  <w:noWrap w:val="0"/>
                  <w:vAlign w:val="center"/>
                </w:tcPr>
                <w:p>
                  <w:pPr>
                    <w:jc w:val="center"/>
                    <w:rPr>
                      <w:rFonts w:hint="default"/>
                      <w:color w:val="auto"/>
                      <w:sz w:val="18"/>
                      <w:szCs w:val="18"/>
                      <w:lang w:val="en-US" w:eastAsia="zh-CN"/>
                    </w:rPr>
                  </w:pPr>
                  <w:r>
                    <w:rPr>
                      <w:rFonts w:hint="eastAsia"/>
                      <w:color w:val="auto"/>
                      <w:sz w:val="18"/>
                      <w:szCs w:val="18"/>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451" w:type="dxa"/>
                  <w:vMerge w:val="continue"/>
                  <w:noWrap w:val="0"/>
                  <w:vAlign w:val="center"/>
                </w:tcPr>
                <w:p>
                  <w:pPr>
                    <w:jc w:val="center"/>
                    <w:rPr>
                      <w:rFonts w:hint="default" w:eastAsia="宋体"/>
                      <w:color w:val="auto"/>
                      <w:sz w:val="18"/>
                      <w:szCs w:val="18"/>
                      <w:lang w:val="en-US" w:eastAsia="zh-CN"/>
                    </w:rPr>
                  </w:pPr>
                </w:p>
              </w:tc>
              <w:tc>
                <w:tcPr>
                  <w:tcW w:w="2168" w:type="dxa"/>
                  <w:noWrap w:val="0"/>
                  <w:vAlign w:val="center"/>
                </w:tcPr>
                <w:p>
                  <w:pPr>
                    <w:pStyle w:val="8"/>
                    <w:ind w:firstLine="0" w:firstLineChars="0"/>
                    <w:jc w:val="center"/>
                    <w:rPr>
                      <w:rFonts w:hint="eastAsia"/>
                      <w:color w:val="auto"/>
                      <w:sz w:val="18"/>
                      <w:szCs w:val="18"/>
                    </w:rPr>
                  </w:pPr>
                  <w:r>
                    <w:rPr>
                      <w:rFonts w:ascii="Times New Roman" w:hAnsi="Times New Roman"/>
                      <w:color w:val="auto"/>
                      <w:sz w:val="18"/>
                      <w:szCs w:val="18"/>
                    </w:rPr>
                    <w:t>COD</w:t>
                  </w:r>
                </w:p>
              </w:tc>
              <w:tc>
                <w:tcPr>
                  <w:tcW w:w="2168" w:type="dxa"/>
                  <w:noWrap w:val="0"/>
                  <w:vAlign w:val="center"/>
                </w:tcPr>
                <w:p>
                  <w:pPr>
                    <w:jc w:val="center"/>
                    <w:rPr>
                      <w:rFonts w:hint="eastAsia" w:eastAsia="宋体"/>
                      <w:color w:val="auto"/>
                      <w:sz w:val="18"/>
                      <w:szCs w:val="18"/>
                      <w:lang w:val="en-US" w:eastAsia="zh-CN"/>
                    </w:rPr>
                  </w:pPr>
                  <w:r>
                    <w:rPr>
                      <w:rFonts w:hint="eastAsia"/>
                      <w:color w:val="auto"/>
                      <w:sz w:val="18"/>
                      <w:szCs w:val="18"/>
                    </w:rPr>
                    <w:t>1次/</w:t>
                  </w:r>
                  <w:r>
                    <w:rPr>
                      <w:rFonts w:hint="eastAsia"/>
                      <w:color w:val="auto"/>
                      <w:sz w:val="18"/>
                      <w:szCs w:val="18"/>
                      <w:lang w:val="en-US" w:eastAsia="zh-CN"/>
                    </w:rPr>
                    <w:t>日</w:t>
                  </w:r>
                </w:p>
              </w:tc>
              <w:tc>
                <w:tcPr>
                  <w:tcW w:w="2168" w:type="dxa"/>
                  <w:noWrap w:val="0"/>
                  <w:vAlign w:val="center"/>
                </w:tcPr>
                <w:p>
                  <w:pPr>
                    <w:adjustRightInd w:val="0"/>
                    <w:snapToGrid w:val="0"/>
                    <w:jc w:val="center"/>
                    <w:rPr>
                      <w:rFonts w:hint="default" w:eastAsia="宋体"/>
                      <w:color w:val="auto"/>
                      <w:sz w:val="18"/>
                      <w:szCs w:val="18"/>
                      <w:lang w:val="en-US" w:eastAsia="zh-CN"/>
                    </w:rPr>
                  </w:pPr>
                  <w:r>
                    <w:rPr>
                      <w:rFonts w:hint="eastAsia" w:ascii="Times New Roman" w:hAnsi="Times New Roman" w:eastAsia="宋体" w:cs="Times New Roman"/>
                      <w:color w:val="auto"/>
                      <w:sz w:val="18"/>
                      <w:szCs w:val="18"/>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451" w:type="dxa"/>
                  <w:vMerge w:val="continue"/>
                  <w:noWrap w:val="0"/>
                  <w:vAlign w:val="center"/>
                </w:tcPr>
                <w:p>
                  <w:pPr>
                    <w:jc w:val="center"/>
                    <w:rPr>
                      <w:rFonts w:hint="eastAsia"/>
                      <w:color w:val="auto"/>
                      <w:sz w:val="18"/>
                      <w:szCs w:val="18"/>
                    </w:rPr>
                  </w:pPr>
                </w:p>
              </w:tc>
              <w:tc>
                <w:tcPr>
                  <w:tcW w:w="2168" w:type="dxa"/>
                  <w:noWrap w:val="0"/>
                  <w:vAlign w:val="center"/>
                </w:tcPr>
                <w:p>
                  <w:pPr>
                    <w:jc w:val="center"/>
                    <w:rPr>
                      <w:rFonts w:hint="eastAsia"/>
                      <w:color w:val="auto"/>
                      <w:sz w:val="18"/>
                      <w:szCs w:val="18"/>
                    </w:rPr>
                  </w:pPr>
                  <w:r>
                    <w:rPr>
                      <w:color w:val="auto"/>
                      <w:sz w:val="18"/>
                      <w:szCs w:val="18"/>
                    </w:rPr>
                    <w:t>SS</w:t>
                  </w:r>
                </w:p>
              </w:tc>
              <w:tc>
                <w:tcPr>
                  <w:tcW w:w="2168" w:type="dxa"/>
                  <w:noWrap w:val="0"/>
                  <w:vAlign w:val="center"/>
                </w:tcPr>
                <w:p>
                  <w:pPr>
                    <w:jc w:val="center"/>
                    <w:rPr>
                      <w:rFonts w:hint="eastAsia"/>
                      <w:color w:val="auto"/>
                      <w:sz w:val="18"/>
                      <w:szCs w:val="18"/>
                    </w:rPr>
                  </w:pPr>
                  <w:r>
                    <w:rPr>
                      <w:rFonts w:hint="eastAsia"/>
                      <w:color w:val="auto"/>
                      <w:sz w:val="18"/>
                      <w:szCs w:val="18"/>
                    </w:rPr>
                    <w:t>1次/</w:t>
                  </w:r>
                  <w:r>
                    <w:rPr>
                      <w:rFonts w:hint="eastAsia"/>
                      <w:color w:val="auto"/>
                      <w:sz w:val="18"/>
                      <w:szCs w:val="18"/>
                      <w:lang w:val="en-US" w:eastAsia="zh-CN"/>
                    </w:rPr>
                    <w:t>日</w:t>
                  </w:r>
                </w:p>
              </w:tc>
              <w:tc>
                <w:tcPr>
                  <w:tcW w:w="2168" w:type="dxa"/>
                  <w:noWrap w:val="0"/>
                  <w:vAlign w:val="center"/>
                </w:tcPr>
                <w:p>
                  <w:pPr>
                    <w:adjustRightInd w:val="0"/>
                    <w:snapToGrid w:val="0"/>
                    <w:jc w:val="center"/>
                    <w:rPr>
                      <w:rFonts w:hint="default" w:eastAsia="宋体"/>
                      <w:color w:val="auto"/>
                      <w:sz w:val="18"/>
                      <w:szCs w:val="18"/>
                      <w:lang w:val="en-US" w:eastAsia="zh-CN"/>
                    </w:rPr>
                  </w:pPr>
                  <w:r>
                    <w:rPr>
                      <w:rFonts w:hint="eastAsia" w:ascii="Times New Roman" w:hAnsi="Times New Roman" w:eastAsia="宋体" w:cs="Times New Roman"/>
                      <w:color w:val="auto"/>
                      <w:sz w:val="18"/>
                      <w:szCs w:val="18"/>
                      <w:lang w:val="en-US" w:eastAsia="zh-CN"/>
                    </w:rPr>
                    <w:t>30</w:t>
                  </w:r>
                </w:p>
              </w:tc>
            </w:tr>
          </w:tbl>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eastAsia="宋体"/>
                <w:b/>
                <w:bCs w:val="0"/>
                <w:color w:val="auto"/>
                <w:sz w:val="18"/>
                <w:szCs w:val="18"/>
                <w:lang w:val="en-US" w:eastAsia="zh-CN"/>
              </w:rPr>
            </w:pPr>
            <w:r>
              <w:rPr>
                <w:rFonts w:hint="eastAsia"/>
                <w:b/>
                <w:bCs w:val="0"/>
                <w:color w:val="auto"/>
                <w:sz w:val="18"/>
                <w:szCs w:val="18"/>
                <w:lang w:val="en-US" w:eastAsia="zh-CN"/>
              </w:rPr>
              <w:t>注：[1]雨水排放口有流动水排放时按月监测。若监测一年无异常情况，可放宽至每季度开展一次监测。</w:t>
            </w:r>
          </w:p>
          <w:p>
            <w:pPr>
              <w:adjustRightInd w:val="0"/>
              <w:snapToGrid w:val="0"/>
              <w:spacing w:line="500" w:lineRule="exact"/>
              <w:rPr>
                <w:rFonts w:hint="eastAsia"/>
                <w:b/>
                <w:bCs/>
                <w:color w:val="auto"/>
                <w:szCs w:val="21"/>
              </w:rPr>
            </w:pPr>
            <w:r>
              <w:rPr>
                <w:rFonts w:hint="eastAsia"/>
                <w:b/>
                <w:bCs/>
                <w:color w:val="auto"/>
                <w:szCs w:val="21"/>
              </w:rPr>
              <w:t>废水</w:t>
            </w:r>
            <w:r>
              <w:rPr>
                <w:rFonts w:hint="eastAsia"/>
                <w:b/>
                <w:bCs/>
                <w:color w:val="auto"/>
                <w:szCs w:val="21"/>
                <w:lang w:val="en-US" w:eastAsia="zh-CN"/>
              </w:rPr>
              <w:t>依托如皋市富港水处理有限公司处理</w:t>
            </w:r>
            <w:r>
              <w:rPr>
                <w:rFonts w:hint="eastAsia"/>
                <w:b/>
                <w:bCs/>
                <w:color w:val="auto"/>
                <w:szCs w:val="21"/>
              </w:rPr>
              <w:t>可行性分析：</w:t>
            </w:r>
          </w:p>
          <w:p>
            <w:pPr>
              <w:pStyle w:val="9"/>
              <w:spacing w:line="360" w:lineRule="auto"/>
              <w:ind w:firstLine="420" w:firstLineChars="200"/>
              <w:rPr>
                <w:rFonts w:hint="eastAsia"/>
                <w:bCs/>
                <w:color w:val="auto"/>
                <w:szCs w:val="21"/>
              </w:rPr>
            </w:pPr>
            <w:r>
              <w:rPr>
                <w:rFonts w:hint="default" w:ascii="Times New Roman" w:hAnsi="Times New Roman" w:cs="Times New Roman"/>
                <w:color w:val="auto"/>
                <w:szCs w:val="21"/>
              </w:rPr>
              <w:t>本项目产生的</w:t>
            </w:r>
            <w:r>
              <w:rPr>
                <w:rFonts w:hint="eastAsia" w:ascii="Times New Roman" w:hAnsi="Times New Roman" w:cs="Times New Roman"/>
                <w:color w:val="auto"/>
                <w:szCs w:val="21"/>
                <w:lang w:val="en-US" w:eastAsia="zh-CN"/>
              </w:rPr>
              <w:t>生活污水、洁净的冷却废水处理后</w:t>
            </w:r>
            <w:r>
              <w:rPr>
                <w:rFonts w:hint="eastAsia" w:ascii="Times New Roman" w:hAnsi="Times New Roman" w:eastAsia="宋体" w:cs="Times New Roman"/>
                <w:color w:val="auto"/>
                <w:szCs w:val="21"/>
                <w:lang w:val="en-US" w:eastAsia="zh-CN"/>
              </w:rPr>
              <w:t>依托宏茂铸钢</w:t>
            </w:r>
            <w:r>
              <w:rPr>
                <w:rFonts w:hint="default" w:ascii="Times New Roman" w:hAnsi="Times New Roman" w:eastAsia="宋体" w:cs="Times New Roman"/>
                <w:color w:val="auto"/>
                <w:szCs w:val="21"/>
                <w:lang w:val="en-US" w:eastAsia="zh-CN"/>
              </w:rPr>
              <w:t>接管至</w:t>
            </w:r>
            <w:r>
              <w:rPr>
                <w:rFonts w:hint="eastAsia" w:ascii="Times New Roman" w:hAnsi="Times New Roman" w:eastAsia="宋体" w:cs="Times New Roman"/>
                <w:color w:val="auto"/>
                <w:szCs w:val="21"/>
                <w:lang w:val="en-US" w:eastAsia="zh-CN"/>
              </w:rPr>
              <w:t>如皋市富港水处理有限公司</w:t>
            </w:r>
            <w:r>
              <w:rPr>
                <w:rFonts w:hint="default" w:ascii="Times New Roman" w:hAnsi="Times New Roman" w:eastAsia="宋体" w:cs="Times New Roman"/>
                <w:color w:val="auto"/>
                <w:szCs w:val="21"/>
                <w:lang w:val="en-US" w:eastAsia="zh-CN"/>
              </w:rPr>
              <w:t>处理。</w:t>
            </w:r>
            <w:r>
              <w:rPr>
                <w:rFonts w:hint="eastAsia" w:ascii="Times New Roman" w:hAnsi="Times New Roman" w:eastAsia="宋体" w:cs="Times New Roman"/>
                <w:color w:val="auto"/>
                <w:szCs w:val="21"/>
                <w:lang w:val="en-US" w:eastAsia="zh-CN"/>
              </w:rPr>
              <w:t>对照《江苏省工业废水与生活污水分质处理工作推进方案》（苏环办〔2023〕144 号）中的“准入条件和评估原则”，本项目</w:t>
            </w:r>
            <w:r>
              <w:rPr>
                <w:rFonts w:hint="eastAsia" w:ascii="Times New Roman" w:hAnsi="Times New Roman" w:cs="Times New Roman"/>
                <w:color w:val="auto"/>
                <w:szCs w:val="21"/>
                <w:lang w:val="en-US" w:eastAsia="zh-CN"/>
              </w:rPr>
              <w:t>属于</w:t>
            </w:r>
            <w:r>
              <w:rPr>
                <w:rFonts w:hint="eastAsia" w:ascii="宋体" w:hAnsi="宋体" w:cs="宋体"/>
                <w:color w:val="auto"/>
                <w:highlight w:val="none"/>
                <w:lang w:eastAsia="zh-CN"/>
              </w:rPr>
              <w:t>改扩建</w:t>
            </w:r>
            <w:r>
              <w:rPr>
                <w:rFonts w:hint="eastAsia" w:ascii="Times New Roman" w:hAnsi="Times New Roman" w:cs="Times New Roman"/>
                <w:color w:val="auto"/>
                <w:szCs w:val="21"/>
                <w:lang w:val="en-US" w:eastAsia="zh-CN"/>
              </w:rPr>
              <w:t>企业中的“需在建设项目环境影响评价中参照评估技术指南评估纳管城镇污水处理厂进行处理的可行性。</w:t>
            </w:r>
            <w:r>
              <w:rPr>
                <w:rFonts w:hint="eastAsia" w:ascii="Times New Roman" w:hAnsi="Times New Roman" w:eastAsia="宋体" w:cs="Times New Roman"/>
                <w:color w:val="auto"/>
                <w:szCs w:val="21"/>
                <w:lang w:val="en-US" w:eastAsia="zh-CN"/>
              </w:rPr>
              <w:t>本项目不属于冶金、电镀、化工、印染、原料药制造等企业。也不属于发酵酒精和白酒、啤酒、味精、制糖等含有优质碳源、可生化性较好的行业。本项目已在废水章节里的废水可行性分析里评价了纳管的可行性。企业承诺在投产前向生态环境部门申请领取排污许可证和向城镇排水主管部门申请领取排水许可证。常规污染物浓度均需达到相应的纳管标准中《污水综合排放标准》（GB8978-1996）表4中三级标准和《污水排入城镇下水道水质标准》（GB/T31962-2015）表1中B等级标准；本项目建成后排放废水和污染物总量严格按照环评报告及批复、排污及排水许可证等核定的纳管总量控制限值执行，本项目不属于工业废水总量超过1万吨/日的省级以上工业园区，或者工业废水</w:t>
            </w:r>
            <w:bookmarkStart w:id="8" w:name="hmcheck_7ac572c1afae48808edd1958bc692181"/>
            <w:r>
              <w:rPr>
                <w:rFonts w:hint="eastAsia" w:ascii="Times New Roman" w:hAnsi="Times New Roman" w:eastAsia="宋体" w:cs="Times New Roman"/>
                <w:color w:val="auto"/>
                <w:szCs w:val="21"/>
                <w:lang w:val="en-US" w:eastAsia="zh-CN"/>
              </w:rPr>
              <w:t>纳</w:t>
            </w:r>
            <w:bookmarkEnd w:id="8"/>
            <w:r>
              <w:rPr>
                <w:rFonts w:hint="eastAsia" w:ascii="Times New Roman" w:hAnsi="Times New Roman" w:eastAsia="宋体" w:cs="Times New Roman"/>
                <w:color w:val="auto"/>
                <w:szCs w:val="21"/>
                <w:lang w:val="en-US" w:eastAsia="zh-CN"/>
              </w:rPr>
              <w:t>管量占比超过40%的城镇污水处理厂所在区域项目。本项目废水水质简单，不会影响城镇污水处理厂的稳定运行和达标排放，接管浓度为国标不需要跟生态环境部门备案。</w:t>
            </w:r>
          </w:p>
          <w:p>
            <w:pPr>
              <w:adjustRightInd w:val="0"/>
              <w:snapToGrid w:val="0"/>
              <w:spacing w:line="500" w:lineRule="exact"/>
              <w:ind w:firstLine="420" w:firstLineChars="200"/>
              <w:rPr>
                <w:rFonts w:hint="default" w:eastAsia="宋体"/>
                <w:bCs/>
                <w:color w:val="auto"/>
                <w:szCs w:val="21"/>
                <w:lang w:val="en-US" w:eastAsia="zh-CN"/>
              </w:rPr>
            </w:pPr>
            <w:r>
              <w:rPr>
                <w:rFonts w:hint="eastAsia"/>
                <w:bCs/>
                <w:color w:val="auto"/>
                <w:szCs w:val="21"/>
              </w:rPr>
              <w:t>长江镇（如皋港区）现有一个污水处理厂，为如皋市富港水处理有限公司（原运营单位上海电气南通污水处理有限公司），位于如皋港区兴港东路1号。一期设计能力为2万吨/日，于2009年2月通过了环保“三同时”竣工验收，由于当时进水量不足，只对日处理污水10000m</w:t>
            </w:r>
            <w:r>
              <w:rPr>
                <w:rFonts w:hint="eastAsia"/>
                <w:bCs/>
                <w:color w:val="auto"/>
                <w:szCs w:val="21"/>
                <w:vertAlign w:val="superscript"/>
              </w:rPr>
              <w:t>3</w:t>
            </w:r>
            <w:r>
              <w:rPr>
                <w:rFonts w:hint="eastAsia"/>
                <w:bCs/>
                <w:color w:val="auto"/>
                <w:szCs w:val="21"/>
              </w:rPr>
              <w:t>工程进行了验收。2014年污水厂进行了工艺技改，2015年7月通过验收（2万t/d）。污水处理厂主要接纳来自如皋港精细化工园区和长江镇范围内其他生产和生活污水，一期处理规模已无法满足需求，因此投资建设了二期（2万t/d）工程，于2019年取得了如皋市行政审批局批复，同年进行了一期工程提标至一级A的改造项目并取得批复。</w:t>
            </w:r>
            <w:r>
              <w:rPr>
                <w:rFonts w:hint="eastAsia"/>
                <w:bCs/>
                <w:color w:val="auto"/>
                <w:szCs w:val="21"/>
                <w:lang w:eastAsia="zh-CN"/>
              </w:rPr>
              <w:t>截至</w:t>
            </w:r>
            <w:r>
              <w:rPr>
                <w:rFonts w:hint="eastAsia"/>
                <w:bCs/>
                <w:color w:val="auto"/>
                <w:szCs w:val="21"/>
              </w:rPr>
              <w:t>2020年4月，污水处理厂一期提标、二期扩建工程均已验收，验收投入运行后，污水处理厂一、二期尾水均执行《城镇污水处理厂污染物排放标准》（GB18918-2002）一级A标准要求。</w:t>
            </w:r>
          </w:p>
          <w:p>
            <w:pPr>
              <w:adjustRightInd w:val="0"/>
              <w:snapToGrid w:val="0"/>
              <w:spacing w:line="500" w:lineRule="exact"/>
              <w:ind w:firstLine="420" w:firstLineChars="200"/>
              <w:rPr>
                <w:rFonts w:hint="eastAsia"/>
                <w:bCs/>
                <w:color w:val="auto"/>
                <w:szCs w:val="21"/>
              </w:rPr>
            </w:pPr>
            <w:r>
              <w:rPr>
                <w:rFonts w:hint="eastAsia"/>
                <w:bCs/>
                <w:color w:val="auto"/>
                <w:szCs w:val="21"/>
                <w:lang w:val="en-US" w:eastAsia="zh-CN"/>
              </w:rPr>
              <w:t>1、</w:t>
            </w:r>
            <w:r>
              <w:rPr>
                <w:rFonts w:hint="eastAsia"/>
                <w:bCs/>
                <w:color w:val="auto"/>
                <w:szCs w:val="21"/>
              </w:rPr>
              <w:t>污水水量可行性</w:t>
            </w:r>
          </w:p>
          <w:p>
            <w:pPr>
              <w:adjustRightInd w:val="0"/>
              <w:snapToGrid w:val="0"/>
              <w:spacing w:line="500" w:lineRule="exact"/>
              <w:ind w:firstLine="420" w:firstLineChars="200"/>
              <w:rPr>
                <w:rFonts w:hint="eastAsia"/>
                <w:bCs/>
                <w:color w:val="auto"/>
                <w:szCs w:val="21"/>
                <w:highlight w:val="none"/>
              </w:rPr>
            </w:pPr>
            <w:r>
              <w:rPr>
                <w:rFonts w:hint="eastAsia"/>
                <w:bCs/>
                <w:color w:val="auto"/>
                <w:szCs w:val="21"/>
                <w:lang w:eastAsia="zh-CN"/>
              </w:rPr>
              <w:t>目前</w:t>
            </w:r>
            <w:r>
              <w:rPr>
                <w:rFonts w:hint="eastAsia"/>
                <w:bCs/>
                <w:color w:val="auto"/>
                <w:szCs w:val="21"/>
              </w:rPr>
              <w:t>如皋市富港水处理有限公司</w:t>
            </w:r>
            <w:r>
              <w:rPr>
                <w:rFonts w:hint="eastAsia"/>
                <w:bCs/>
                <w:color w:val="auto"/>
                <w:szCs w:val="21"/>
                <w:lang w:eastAsia="zh-CN"/>
              </w:rPr>
              <w:t>设计处理规模为</w:t>
            </w:r>
            <w:r>
              <w:rPr>
                <w:rFonts w:hint="eastAsia"/>
                <w:bCs/>
                <w:color w:val="auto"/>
                <w:szCs w:val="21"/>
                <w:lang w:val="en-US" w:eastAsia="zh-CN"/>
              </w:rPr>
              <w:t xml:space="preserve">19600 </w:t>
            </w:r>
            <w:r>
              <w:rPr>
                <w:rFonts w:hint="eastAsia"/>
                <w:bCs/>
                <w:color w:val="auto"/>
                <w:szCs w:val="21"/>
                <w:lang w:eastAsia="zh-CN"/>
              </w:rPr>
              <w:t>t/d，本项目外排废水量为</w:t>
            </w:r>
            <w:r>
              <w:rPr>
                <w:rFonts w:hint="eastAsia"/>
                <w:bCs/>
                <w:color w:val="auto"/>
                <w:szCs w:val="21"/>
                <w:lang w:val="en-US" w:eastAsia="zh-CN"/>
              </w:rPr>
              <w:t>3216</w:t>
            </w:r>
            <w:r>
              <w:rPr>
                <w:rFonts w:hint="eastAsia"/>
                <w:bCs/>
                <w:color w:val="auto"/>
                <w:szCs w:val="21"/>
                <w:highlight w:val="none"/>
                <w:lang w:eastAsia="zh-CN"/>
              </w:rPr>
              <w:t>t/a（约</w:t>
            </w:r>
            <w:r>
              <w:rPr>
                <w:rFonts w:hint="eastAsia"/>
                <w:bCs/>
                <w:color w:val="auto"/>
                <w:szCs w:val="21"/>
                <w:highlight w:val="none"/>
                <w:lang w:val="en-US" w:eastAsia="zh-CN"/>
              </w:rPr>
              <w:t>10.72</w:t>
            </w:r>
            <w:r>
              <w:rPr>
                <w:rFonts w:hint="eastAsia"/>
                <w:bCs/>
                <w:color w:val="auto"/>
                <w:szCs w:val="21"/>
                <w:highlight w:val="none"/>
                <w:lang w:eastAsia="zh-CN"/>
              </w:rPr>
              <w:t>t/d），占总量的</w:t>
            </w:r>
            <w:r>
              <w:rPr>
                <w:rFonts w:hint="eastAsia"/>
                <w:bCs/>
                <w:color w:val="auto"/>
                <w:szCs w:val="21"/>
                <w:highlight w:val="none"/>
                <w:lang w:val="en-US" w:eastAsia="zh-CN"/>
              </w:rPr>
              <w:t xml:space="preserve">0.05 </w:t>
            </w:r>
            <w:r>
              <w:rPr>
                <w:rFonts w:hint="eastAsia"/>
                <w:bCs/>
                <w:color w:val="auto"/>
                <w:szCs w:val="21"/>
                <w:highlight w:val="none"/>
                <w:lang w:eastAsia="zh-CN"/>
              </w:rPr>
              <w:t>%</w:t>
            </w:r>
            <w:r>
              <w:rPr>
                <w:rFonts w:hint="eastAsia"/>
                <w:bCs/>
                <w:color w:val="auto"/>
                <w:szCs w:val="21"/>
              </w:rPr>
              <w:t>，从水量来说，废水依托如皋市富港水处理有限公司处理是可行的。</w:t>
            </w:r>
          </w:p>
          <w:p>
            <w:pPr>
              <w:adjustRightInd w:val="0"/>
              <w:snapToGrid w:val="0"/>
              <w:spacing w:line="500" w:lineRule="exact"/>
              <w:ind w:firstLine="420" w:firstLineChars="200"/>
              <w:rPr>
                <w:rFonts w:hint="eastAsia"/>
                <w:bCs/>
                <w:color w:val="auto"/>
                <w:szCs w:val="21"/>
              </w:rPr>
            </w:pPr>
            <w:r>
              <w:rPr>
                <w:rFonts w:hint="eastAsia"/>
                <w:bCs/>
                <w:color w:val="auto"/>
                <w:szCs w:val="21"/>
                <w:lang w:val="en-US" w:eastAsia="zh-CN"/>
              </w:rPr>
              <w:t>2、</w:t>
            </w:r>
            <w:r>
              <w:rPr>
                <w:rFonts w:hint="eastAsia"/>
                <w:bCs/>
                <w:color w:val="auto"/>
                <w:szCs w:val="21"/>
              </w:rPr>
              <w:t>污水</w:t>
            </w:r>
            <w:r>
              <w:rPr>
                <w:rFonts w:hint="eastAsia"/>
                <w:bCs/>
                <w:color w:val="auto"/>
                <w:szCs w:val="21"/>
                <w:lang w:eastAsia="zh-CN"/>
              </w:rPr>
              <w:t>水质</w:t>
            </w:r>
            <w:r>
              <w:rPr>
                <w:rFonts w:hint="eastAsia"/>
                <w:bCs/>
                <w:color w:val="auto"/>
                <w:szCs w:val="21"/>
              </w:rPr>
              <w:t>可行性</w:t>
            </w:r>
          </w:p>
          <w:p>
            <w:pPr>
              <w:adjustRightInd w:val="0"/>
              <w:snapToGrid w:val="0"/>
              <w:spacing w:line="500" w:lineRule="exact"/>
              <w:ind w:firstLine="420" w:firstLineChars="200"/>
              <w:rPr>
                <w:rFonts w:hint="eastAsia"/>
                <w:bCs/>
                <w:color w:val="auto"/>
                <w:szCs w:val="21"/>
              </w:rPr>
            </w:pPr>
            <w:r>
              <w:rPr>
                <w:rFonts w:hint="eastAsia"/>
                <w:bCs/>
                <w:color w:val="auto"/>
                <w:szCs w:val="21"/>
              </w:rPr>
              <w:t>本项目位于受纳水体环境质量达标区域，本项目营运期外排废水主要为员工生活污水</w:t>
            </w:r>
            <w:r>
              <w:rPr>
                <w:rFonts w:hint="eastAsia"/>
                <w:bCs/>
                <w:color w:val="auto"/>
                <w:szCs w:val="21"/>
                <w:lang w:val="en-US" w:eastAsia="zh-CN"/>
              </w:rPr>
              <w:t>、食堂废水、冷却水</w:t>
            </w:r>
            <w:r>
              <w:rPr>
                <w:rFonts w:hint="eastAsia"/>
                <w:bCs/>
                <w:color w:val="auto"/>
                <w:szCs w:val="21"/>
              </w:rPr>
              <w:t>，</w:t>
            </w:r>
            <w:r>
              <w:rPr>
                <w:rFonts w:hint="eastAsia" w:ascii="Times New Roman" w:hAnsi="Times New Roman" w:eastAsia="宋体" w:cs="Times New Roman"/>
                <w:color w:val="auto"/>
                <w:kern w:val="0"/>
                <w:szCs w:val="21"/>
              </w:rPr>
              <w:t>生活污水</w:t>
            </w:r>
            <w:r>
              <w:rPr>
                <w:rFonts w:hint="eastAsia" w:ascii="Times New Roman" w:hAnsi="Times New Roman" w:eastAsia="宋体" w:cs="Times New Roman"/>
                <w:color w:val="auto"/>
                <w:kern w:val="0"/>
                <w:szCs w:val="21"/>
                <w:lang w:eastAsia="zh-CN"/>
              </w:rPr>
              <w:t>、食堂废水</w:t>
            </w:r>
            <w:r>
              <w:rPr>
                <w:rFonts w:hint="eastAsia" w:ascii="Times New Roman" w:hAnsi="Times New Roman" w:eastAsia="宋体" w:cs="Times New Roman"/>
                <w:color w:val="auto"/>
                <w:kern w:val="0"/>
                <w:szCs w:val="21"/>
              </w:rPr>
              <w:t>经化粪池、隔油池处理后</w:t>
            </w:r>
            <w:r>
              <w:rPr>
                <w:rFonts w:hint="eastAsia"/>
                <w:bCs/>
                <w:color w:val="auto"/>
                <w:szCs w:val="21"/>
                <w:lang w:val="en-US" w:eastAsia="zh-CN"/>
              </w:rPr>
              <w:t>和冷却水经冷却池沉淀后</w:t>
            </w:r>
            <w:r>
              <w:rPr>
                <w:rFonts w:hint="eastAsia"/>
                <w:bCs/>
                <w:color w:val="auto"/>
                <w:szCs w:val="21"/>
              </w:rPr>
              <w:t>水质达《污水综合排放标准》（GB8978-1996）表4三级标准、《污水排入城镇下水道水质标准》（GB/T31962-2015）表1中B等级标准后，</w:t>
            </w:r>
            <w:r>
              <w:rPr>
                <w:rFonts w:hint="eastAsia" w:ascii="Times New Roman" w:hAnsi="Times New Roman" w:cs="Times New Roman"/>
                <w:color w:val="auto"/>
                <w:szCs w:val="21"/>
                <w:highlight w:val="none"/>
                <w:lang w:val="en-US" w:eastAsia="zh-CN"/>
              </w:rPr>
              <w:t>接管</w:t>
            </w:r>
            <w:r>
              <w:rPr>
                <w:rFonts w:hint="default" w:ascii="Times New Roman" w:hAnsi="Times New Roman" w:cs="Times New Roman"/>
                <w:color w:val="auto"/>
                <w:szCs w:val="21"/>
                <w:highlight w:val="none"/>
              </w:rPr>
              <w:t>至</w:t>
            </w:r>
            <w:r>
              <w:rPr>
                <w:rFonts w:hint="eastAsia" w:ascii="Times New Roman" w:hAnsi="Times New Roman" w:cs="Times New Roman"/>
                <w:color w:val="auto"/>
                <w:highlight w:val="none"/>
                <w:lang w:eastAsia="zh-CN"/>
              </w:rPr>
              <w:t>如皋市富港水处理有限公司</w:t>
            </w:r>
            <w:r>
              <w:rPr>
                <w:rFonts w:hint="default" w:ascii="Times New Roman" w:hAnsi="Times New Roman" w:cs="Times New Roman"/>
                <w:color w:val="auto"/>
                <w:szCs w:val="21"/>
                <w:highlight w:val="none"/>
              </w:rPr>
              <w:t>集中处理</w:t>
            </w:r>
            <w:r>
              <w:rPr>
                <w:rFonts w:hint="eastAsia"/>
                <w:bCs/>
                <w:color w:val="auto"/>
                <w:szCs w:val="21"/>
              </w:rPr>
              <w:t>，本项目废水经预处理后满足</w:t>
            </w:r>
            <w:r>
              <w:rPr>
                <w:rFonts w:hint="eastAsia" w:ascii="Times New Roman" w:hAnsi="Times New Roman" w:cs="Times New Roman"/>
                <w:color w:val="auto"/>
                <w:highlight w:val="none"/>
                <w:lang w:eastAsia="zh-CN"/>
              </w:rPr>
              <w:t>如皋市富港水处理有限公司</w:t>
            </w:r>
            <w:r>
              <w:rPr>
                <w:rFonts w:hint="eastAsia"/>
                <w:bCs/>
                <w:color w:val="auto"/>
                <w:szCs w:val="21"/>
              </w:rPr>
              <w:t>接管标准的要求，从</w:t>
            </w:r>
            <w:r>
              <w:rPr>
                <w:rFonts w:hint="eastAsia"/>
                <w:bCs/>
                <w:color w:val="auto"/>
                <w:szCs w:val="21"/>
                <w:lang w:eastAsia="zh-CN"/>
              </w:rPr>
              <w:t>水质</w:t>
            </w:r>
            <w:r>
              <w:rPr>
                <w:rFonts w:hint="eastAsia"/>
                <w:bCs/>
                <w:color w:val="auto"/>
                <w:szCs w:val="21"/>
              </w:rPr>
              <w:t>来说，废水依托如皋市富港水处理有限公司处理是可行的。</w:t>
            </w:r>
          </w:p>
          <w:p>
            <w:pPr>
              <w:adjustRightInd w:val="0"/>
              <w:snapToGrid w:val="0"/>
              <w:spacing w:line="500" w:lineRule="exact"/>
              <w:ind w:firstLine="420" w:firstLineChars="200"/>
              <w:rPr>
                <w:rFonts w:hint="eastAsia"/>
                <w:bCs/>
                <w:color w:val="auto"/>
                <w:szCs w:val="21"/>
              </w:rPr>
            </w:pPr>
            <w:r>
              <w:rPr>
                <w:rFonts w:hint="eastAsia"/>
                <w:bCs/>
                <w:color w:val="auto"/>
                <w:szCs w:val="21"/>
                <w:lang w:val="en-US" w:eastAsia="zh-CN"/>
              </w:rPr>
              <w:t>3、</w:t>
            </w:r>
            <w:r>
              <w:rPr>
                <w:rFonts w:hint="eastAsia"/>
                <w:bCs/>
                <w:color w:val="auto"/>
                <w:szCs w:val="21"/>
              </w:rPr>
              <w:t>污水接管可行性</w:t>
            </w:r>
          </w:p>
          <w:p>
            <w:pPr>
              <w:adjustRightInd w:val="0"/>
              <w:snapToGrid w:val="0"/>
              <w:spacing w:line="500" w:lineRule="exact"/>
              <w:ind w:firstLine="420" w:firstLineChars="200"/>
              <w:rPr>
                <w:rFonts w:hint="default" w:eastAsia="宋体"/>
                <w:bCs/>
                <w:color w:val="auto"/>
                <w:szCs w:val="21"/>
                <w:lang w:val="en-US" w:eastAsia="zh-CN"/>
              </w:rPr>
            </w:pPr>
            <w:r>
              <w:rPr>
                <w:rFonts w:hint="eastAsia"/>
                <w:bCs/>
                <w:color w:val="auto"/>
                <w:szCs w:val="21"/>
              </w:rPr>
              <w:t>项目所在地污水管网</w:t>
            </w:r>
            <w:r>
              <w:rPr>
                <w:rFonts w:hint="eastAsia"/>
                <w:bCs/>
                <w:color w:val="auto"/>
                <w:szCs w:val="21"/>
                <w:lang w:eastAsia="zh-CN"/>
              </w:rPr>
              <w:t>已</w:t>
            </w:r>
            <w:r>
              <w:rPr>
                <w:rFonts w:hint="eastAsia"/>
                <w:bCs/>
                <w:color w:val="auto"/>
                <w:szCs w:val="21"/>
                <w:lang w:val="en-US" w:eastAsia="zh-CN"/>
              </w:rPr>
              <w:t>铺设到位，可</w:t>
            </w:r>
            <w:r>
              <w:rPr>
                <w:rFonts w:hint="eastAsia" w:ascii="Times New Roman" w:hAnsi="Times New Roman" w:cs="Times New Roman"/>
                <w:color w:val="auto"/>
                <w:szCs w:val="21"/>
                <w:highlight w:val="none"/>
                <w:lang w:val="en-US" w:eastAsia="zh-CN"/>
              </w:rPr>
              <w:t>接管</w:t>
            </w:r>
            <w:r>
              <w:rPr>
                <w:rFonts w:hint="default" w:ascii="Times New Roman" w:hAnsi="Times New Roman" w:cs="Times New Roman"/>
                <w:color w:val="auto"/>
                <w:szCs w:val="21"/>
                <w:highlight w:val="none"/>
              </w:rPr>
              <w:t>至</w:t>
            </w:r>
            <w:r>
              <w:rPr>
                <w:rFonts w:hint="eastAsia" w:ascii="Times New Roman" w:hAnsi="Times New Roman" w:cs="Times New Roman"/>
                <w:color w:val="auto"/>
                <w:highlight w:val="none"/>
                <w:lang w:eastAsia="zh-CN"/>
              </w:rPr>
              <w:t>如皋市富港水处理有限公司</w:t>
            </w:r>
            <w:r>
              <w:rPr>
                <w:rFonts w:hint="default" w:ascii="Times New Roman" w:hAnsi="Times New Roman" w:cs="Times New Roman"/>
                <w:color w:val="auto"/>
                <w:szCs w:val="21"/>
                <w:highlight w:val="none"/>
              </w:rPr>
              <w:t>集中处理</w:t>
            </w:r>
            <w:r>
              <w:rPr>
                <w:rFonts w:hint="eastAsia"/>
                <w:bCs/>
                <w:color w:val="auto"/>
                <w:szCs w:val="21"/>
              </w:rPr>
              <w:t>。</w:t>
            </w:r>
          </w:p>
          <w:p>
            <w:pPr>
              <w:adjustRightInd w:val="0"/>
              <w:snapToGrid w:val="0"/>
              <w:spacing w:line="500" w:lineRule="exact"/>
              <w:ind w:firstLine="420" w:firstLineChars="200"/>
              <w:rPr>
                <w:rFonts w:hint="eastAsia"/>
                <w:bCs/>
                <w:color w:val="auto"/>
                <w:szCs w:val="21"/>
              </w:rPr>
            </w:pPr>
            <w:r>
              <w:rPr>
                <w:rFonts w:hint="eastAsia"/>
                <w:bCs/>
                <w:color w:val="auto"/>
                <w:szCs w:val="21"/>
                <w:lang w:val="en-US" w:eastAsia="zh-CN"/>
              </w:rPr>
              <w:t>4、</w:t>
            </w:r>
            <w:r>
              <w:rPr>
                <w:rFonts w:hint="eastAsia"/>
                <w:bCs/>
                <w:color w:val="auto"/>
                <w:szCs w:val="21"/>
              </w:rPr>
              <w:t>处理后尾水达标排放</w:t>
            </w:r>
          </w:p>
          <w:p>
            <w:pPr>
              <w:keepNext w:val="0"/>
              <w:keepLines w:val="0"/>
              <w:pageBreakBefore w:val="0"/>
              <w:widowControl w:val="0"/>
              <w:kinsoku/>
              <w:wordWrap w:val="0"/>
              <w:overflowPunct/>
              <w:topLinePunct w:val="0"/>
              <w:autoSpaceDE/>
              <w:autoSpaceDN/>
              <w:bidi w:val="0"/>
              <w:adjustRightInd w:val="0"/>
              <w:snapToGrid w:val="0"/>
              <w:spacing w:line="500" w:lineRule="exact"/>
              <w:ind w:firstLine="420" w:firstLineChars="200"/>
              <w:textAlignment w:val="auto"/>
              <w:rPr>
                <w:rFonts w:hint="eastAsia"/>
                <w:bCs/>
                <w:color w:val="auto"/>
                <w:szCs w:val="21"/>
              </w:rPr>
            </w:pPr>
            <w:r>
              <w:rPr>
                <w:rFonts w:hint="eastAsia"/>
                <w:bCs/>
                <w:color w:val="auto"/>
                <w:szCs w:val="21"/>
              </w:rPr>
              <w:t>如皋市富港水处理有限公司已运行多年，经调查自运行以来，污水处理厂各指标均能达到《城镇污水处理厂污染物排放标准》（GB18918-2002）一级A标准（2023年3月28日起三年后执行江苏地标《城镇污水处理厂污染物排放标准》（DB32/4440-2022）中C标准），且排污口按相关规范要求进行设置，出水安装有氨氮和COD在线监测仪，符合生态环境局的管理要求，不会明显影响纳污水体的水质。</w:t>
            </w:r>
          </w:p>
          <w:p>
            <w:pPr>
              <w:adjustRightInd w:val="0"/>
              <w:snapToGrid w:val="0"/>
              <w:spacing w:line="500" w:lineRule="exact"/>
              <w:ind w:firstLine="422" w:firstLineChars="200"/>
              <w:rPr>
                <w:rFonts w:hint="eastAsia"/>
                <w:b/>
                <w:bCs/>
                <w:color w:val="auto"/>
                <w:szCs w:val="21"/>
              </w:rPr>
            </w:pPr>
            <w:r>
              <w:rPr>
                <w:rFonts w:hint="eastAsia"/>
                <w:b/>
                <w:bCs/>
                <w:color w:val="auto"/>
                <w:szCs w:val="21"/>
              </w:rPr>
              <w:t>水环境影响评价结论：</w:t>
            </w:r>
          </w:p>
          <w:p>
            <w:pPr>
              <w:adjustRightInd w:val="0"/>
              <w:snapToGrid w:val="0"/>
              <w:spacing w:line="500" w:lineRule="exact"/>
              <w:ind w:firstLine="420" w:firstLineChars="200"/>
            </w:pPr>
            <w:r>
              <w:rPr>
                <w:rFonts w:hint="eastAsia"/>
                <w:bCs/>
                <w:color w:val="auto"/>
                <w:szCs w:val="21"/>
              </w:rPr>
              <w:t>综上所述，项目废水为间接排放，由依托</w:t>
            </w:r>
            <w:r>
              <w:rPr>
                <w:rFonts w:hint="eastAsia" w:ascii="Times New Roman" w:hAnsi="Times New Roman" w:cs="Times New Roman"/>
                <w:color w:val="auto"/>
                <w:highlight w:val="none"/>
                <w:lang w:eastAsia="zh-CN"/>
              </w:rPr>
              <w:t>如皋市富港水处理有限公司</w:t>
            </w:r>
            <w:r>
              <w:rPr>
                <w:rFonts w:hint="eastAsia"/>
                <w:bCs/>
                <w:color w:val="auto"/>
                <w:szCs w:val="21"/>
              </w:rPr>
              <w:t>可行性分析可知，项目水量、水质等均符合</w:t>
            </w:r>
            <w:r>
              <w:rPr>
                <w:rFonts w:hint="eastAsia" w:ascii="Times New Roman" w:hAnsi="Times New Roman" w:cs="Times New Roman"/>
                <w:color w:val="auto"/>
                <w:highlight w:val="none"/>
                <w:lang w:eastAsia="zh-CN"/>
              </w:rPr>
              <w:t>如皋市富港水处理有限公司</w:t>
            </w:r>
            <w:r>
              <w:rPr>
                <w:rFonts w:hint="eastAsia"/>
                <w:bCs/>
                <w:color w:val="auto"/>
                <w:szCs w:val="21"/>
              </w:rPr>
              <w:t>接管要求。因此，项目废水排放不会对地表水环境产生不利影响，地表水影响可接受。</w:t>
            </w:r>
          </w:p>
        </w:tc>
      </w:tr>
    </w:tbl>
    <w:p>
      <w:pPr>
        <w:pStyle w:val="7"/>
        <w:rPr>
          <w:rFonts w:ascii="Times New Roman" w:hAnsi="Times New Roman" w:eastAsia="楷体_GB2312"/>
          <w:sz w:val="36"/>
          <w:szCs w:val="36"/>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8"/>
        <w:gridCol w:w="135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6" w:hRule="atLeast"/>
        </w:trPr>
        <w:tc>
          <w:tcPr>
            <w:tcW w:w="628" w:type="dxa"/>
          </w:tcPr>
          <w:p>
            <w:pPr>
              <w:adjustRightInd w:val="0"/>
              <w:snapToGrid w:val="0"/>
              <w:jc w:val="center"/>
            </w:pPr>
          </w:p>
          <w:p>
            <w:pPr>
              <w:adjustRightInd w:val="0"/>
              <w:snapToGrid w:val="0"/>
              <w:jc w:val="center"/>
            </w:pPr>
          </w:p>
          <w:p>
            <w:pPr>
              <w:adjustRightInd w:val="0"/>
              <w:snapToGrid w:val="0"/>
              <w:jc w:val="center"/>
            </w:pPr>
          </w:p>
          <w:p>
            <w:pPr>
              <w:adjustRightInd w:val="0"/>
              <w:snapToGrid w:val="0"/>
              <w:jc w:val="center"/>
            </w:pPr>
          </w:p>
          <w:p>
            <w:pPr>
              <w:adjustRightInd w:val="0"/>
              <w:snapToGrid w:val="0"/>
              <w:jc w:val="center"/>
            </w:pPr>
          </w:p>
          <w:p>
            <w:pPr>
              <w:adjustRightInd w:val="0"/>
              <w:snapToGrid w:val="0"/>
              <w:jc w:val="center"/>
            </w:pPr>
          </w:p>
          <w:p>
            <w:pPr>
              <w:adjustRightInd w:val="0"/>
              <w:snapToGrid w:val="0"/>
              <w:jc w:val="center"/>
            </w:pPr>
          </w:p>
          <w:p>
            <w:pPr>
              <w:adjustRightInd w:val="0"/>
              <w:snapToGrid w:val="0"/>
              <w:jc w:val="center"/>
            </w:pPr>
          </w:p>
          <w:p>
            <w:pPr>
              <w:adjustRightInd w:val="0"/>
              <w:snapToGrid w:val="0"/>
              <w:jc w:val="center"/>
            </w:pPr>
          </w:p>
          <w:p>
            <w:pPr>
              <w:adjustRightInd w:val="0"/>
              <w:snapToGrid w:val="0"/>
              <w:jc w:val="center"/>
            </w:pPr>
          </w:p>
          <w:p>
            <w:pPr>
              <w:adjustRightInd w:val="0"/>
              <w:snapToGrid w:val="0"/>
              <w:jc w:val="center"/>
            </w:pPr>
            <w:r>
              <w:t>运营</w:t>
            </w:r>
          </w:p>
          <w:p>
            <w:pPr>
              <w:adjustRightInd w:val="0"/>
              <w:snapToGrid w:val="0"/>
              <w:jc w:val="center"/>
            </w:pPr>
            <w:r>
              <w:t>期环</w:t>
            </w:r>
          </w:p>
          <w:p>
            <w:pPr>
              <w:adjustRightInd w:val="0"/>
              <w:snapToGrid w:val="0"/>
              <w:jc w:val="center"/>
            </w:pPr>
            <w:r>
              <w:t>境影</w:t>
            </w:r>
          </w:p>
          <w:p>
            <w:pPr>
              <w:adjustRightInd w:val="0"/>
              <w:snapToGrid w:val="0"/>
              <w:jc w:val="center"/>
            </w:pPr>
            <w:r>
              <w:t>响和</w:t>
            </w:r>
          </w:p>
          <w:p>
            <w:pPr>
              <w:adjustRightInd w:val="0"/>
              <w:snapToGrid w:val="0"/>
              <w:jc w:val="center"/>
            </w:pPr>
            <w:r>
              <w:t>保护</w:t>
            </w:r>
          </w:p>
          <w:p>
            <w:pPr>
              <w:jc w:val="center"/>
            </w:pPr>
            <w:r>
              <w:t>措施</w:t>
            </w:r>
          </w:p>
          <w:p>
            <w:pPr>
              <w:pStyle w:val="7"/>
              <w:rPr>
                <w:rFonts w:ascii="Times New Roman" w:hAnsi="Times New Roman"/>
                <w:bCs/>
                <w:sz w:val="21"/>
                <w:szCs w:val="21"/>
              </w:rPr>
            </w:pPr>
          </w:p>
          <w:p>
            <w:pPr>
              <w:pStyle w:val="7"/>
              <w:rPr>
                <w:rFonts w:ascii="Times New Roman" w:hAnsi="Times New Roman"/>
                <w:bCs/>
                <w:sz w:val="21"/>
                <w:szCs w:val="21"/>
              </w:rPr>
            </w:pPr>
          </w:p>
          <w:p>
            <w:pPr>
              <w:pStyle w:val="7"/>
              <w:rPr>
                <w:rFonts w:ascii="Times New Roman" w:hAnsi="Times New Roman"/>
                <w:bCs/>
                <w:sz w:val="21"/>
                <w:szCs w:val="21"/>
              </w:rPr>
            </w:pPr>
          </w:p>
          <w:p>
            <w:pPr>
              <w:pStyle w:val="7"/>
              <w:rPr>
                <w:rFonts w:ascii="Times New Roman" w:hAnsi="Times New Roman"/>
                <w:bCs/>
                <w:sz w:val="21"/>
                <w:szCs w:val="21"/>
              </w:rPr>
            </w:pPr>
          </w:p>
          <w:p>
            <w:pPr>
              <w:pStyle w:val="7"/>
              <w:rPr>
                <w:rFonts w:ascii="Times New Roman" w:hAnsi="Times New Roman"/>
                <w:bCs/>
                <w:sz w:val="21"/>
                <w:szCs w:val="21"/>
              </w:rPr>
            </w:pPr>
          </w:p>
        </w:tc>
        <w:tc>
          <w:tcPr>
            <w:tcW w:w="13546" w:type="dxa"/>
          </w:tcPr>
          <w:p>
            <w:pPr>
              <w:spacing w:line="500" w:lineRule="exact"/>
              <w:ind w:firstLine="422" w:firstLineChars="200"/>
              <w:rPr>
                <w:b/>
                <w:bCs/>
                <w:szCs w:val="21"/>
              </w:rPr>
            </w:pPr>
            <w:r>
              <w:rPr>
                <w:b/>
                <w:bCs/>
                <w:szCs w:val="21"/>
              </w:rPr>
              <w:t xml:space="preserve">三、噪声 </w:t>
            </w:r>
          </w:p>
          <w:p>
            <w:pPr>
              <w:spacing w:line="500" w:lineRule="exact"/>
              <w:ind w:firstLine="420" w:firstLineChars="200"/>
            </w:pPr>
            <w:r>
              <w:rPr>
                <w:rFonts w:hint="eastAsia"/>
                <w:color w:val="auto"/>
                <w:lang w:val="en-US" w:eastAsia="zh-CN"/>
              </w:rPr>
              <w:t>本次</w:t>
            </w:r>
            <w:r>
              <w:rPr>
                <w:color w:val="auto"/>
              </w:rPr>
              <w:t>按全厂设备分类统计噪声源，预测厂界噪声达标情况</w:t>
            </w:r>
            <w:r>
              <w:rPr>
                <w:rFonts w:hint="eastAsia"/>
                <w:color w:val="auto"/>
                <w:lang w:val="en-US" w:eastAsia="zh-CN"/>
              </w:rPr>
              <w:t>。</w:t>
            </w:r>
            <w:r>
              <w:t>噪声主要来</w:t>
            </w:r>
            <w:r>
              <w:rPr>
                <w:rFonts w:ascii="Times New Roman" w:hAnsi="Times New Roman" w:eastAsia="宋体" w:cs="Times New Roman"/>
              </w:rPr>
              <w:t>自</w:t>
            </w:r>
            <w:r>
              <w:rPr>
                <w:rFonts w:hint="eastAsia" w:ascii="Times New Roman" w:hAnsi="Times New Roman" w:eastAsia="宋体" w:cs="Times New Roman"/>
                <w:lang w:val="en-US" w:eastAsia="zh-CN"/>
              </w:rPr>
              <w:t>锻压机</w:t>
            </w:r>
            <w:r>
              <w:rPr>
                <w:rFonts w:ascii="Times New Roman" w:hAnsi="Times New Roman" w:eastAsia="宋体" w:cs="Times New Roman"/>
              </w:rPr>
              <w:t>等，</w:t>
            </w:r>
            <w:r>
              <w:t>噪声源强为80～85dB(A)，源强较大。噪声对周围环境的影响主要通过三种途径来完成：空气（通过建筑物的孔洞、缝隙传播，如敞开的门窗等）；透射（声波使建筑物的墙、楼板等产生振动后再经墙、楼板辐射）；撞击和机械振动（通过直接撞击建筑物的墙、楼板等产生振动后再辐射）。因此，该项目发出的各种噪声会通过楼板、墙面、门窗、管道等多种途径进行传播，影响周围环境。</w:t>
            </w:r>
          </w:p>
          <w:p>
            <w:pPr>
              <w:autoSpaceDE w:val="0"/>
              <w:autoSpaceDN w:val="0"/>
              <w:adjustRightInd w:val="0"/>
              <w:spacing w:line="500" w:lineRule="exact"/>
              <w:jc w:val="center"/>
              <w:rPr>
                <w:b/>
                <w:bCs/>
                <w:szCs w:val="21"/>
              </w:rPr>
            </w:pPr>
            <w:r>
              <w:rPr>
                <w:b/>
                <w:bCs/>
                <w:szCs w:val="21"/>
              </w:rPr>
              <w:t>表4-</w:t>
            </w:r>
            <w:r>
              <w:rPr>
                <w:rFonts w:hint="eastAsia"/>
                <w:b/>
                <w:bCs/>
                <w:szCs w:val="21"/>
                <w:lang w:val="en-US" w:eastAsia="zh-CN"/>
              </w:rPr>
              <w:t>17</w:t>
            </w:r>
            <w:r>
              <w:rPr>
                <w:b/>
                <w:bCs/>
                <w:szCs w:val="21"/>
              </w:rPr>
              <w:t xml:space="preserve">  工业企业噪声源强调查清单（室外）</w:t>
            </w:r>
          </w:p>
          <w:tbl>
            <w:tblPr>
              <w:tblStyle w:val="21"/>
              <w:tblW w:w="496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081"/>
              <w:gridCol w:w="1152"/>
              <w:gridCol w:w="964"/>
              <w:gridCol w:w="905"/>
              <w:gridCol w:w="1021"/>
              <w:gridCol w:w="2137"/>
              <w:gridCol w:w="1388"/>
              <w:gridCol w:w="1303"/>
              <w:gridCol w:w="1643"/>
              <w:gridCol w:w="9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244" w:type="pct"/>
                  <w:vMerge w:val="restart"/>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18"/>
                      <w:szCs w:val="18"/>
                      <w:highlight w:val="none"/>
                      <w:lang w:eastAsia="zh-CN"/>
                    </w:rPr>
                  </w:pPr>
                  <w:r>
                    <w:rPr>
                      <w:rFonts w:hint="default" w:ascii="Times New Roman" w:hAnsi="Times New Roman" w:eastAsia="宋体" w:cs="Times New Roman"/>
                      <w:b/>
                      <w:bCs/>
                      <w:color w:val="auto"/>
                      <w:sz w:val="18"/>
                      <w:szCs w:val="18"/>
                      <w:highlight w:val="none"/>
                      <w:lang w:eastAsia="zh-CN"/>
                    </w:rPr>
                    <w:t>序号</w:t>
                  </w:r>
                </w:p>
              </w:tc>
              <w:tc>
                <w:tcPr>
                  <w:tcW w:w="408" w:type="pct"/>
                  <w:vMerge w:val="restart"/>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18"/>
                      <w:szCs w:val="18"/>
                      <w:highlight w:val="none"/>
                      <w:lang w:eastAsia="zh-CN"/>
                    </w:rPr>
                  </w:pPr>
                  <w:r>
                    <w:rPr>
                      <w:rFonts w:hint="default" w:ascii="Times New Roman" w:hAnsi="Times New Roman" w:eastAsia="宋体" w:cs="Times New Roman"/>
                      <w:b/>
                      <w:bCs/>
                      <w:color w:val="auto"/>
                      <w:sz w:val="18"/>
                      <w:szCs w:val="18"/>
                      <w:highlight w:val="none"/>
                      <w:lang w:eastAsia="zh-CN"/>
                    </w:rPr>
                    <w:t>声源名称</w:t>
                  </w:r>
                </w:p>
              </w:tc>
              <w:tc>
                <w:tcPr>
                  <w:tcW w:w="435" w:type="pct"/>
                  <w:vMerge w:val="restart"/>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18"/>
                      <w:szCs w:val="18"/>
                      <w:highlight w:val="none"/>
                      <w:lang w:eastAsia="zh-CN"/>
                    </w:rPr>
                  </w:pPr>
                  <w:r>
                    <w:rPr>
                      <w:rFonts w:hint="eastAsia" w:ascii="Times New Roman" w:hAnsi="Times New Roman" w:eastAsia="宋体" w:cs="Times New Roman"/>
                      <w:b/>
                      <w:bCs/>
                      <w:color w:val="auto"/>
                      <w:sz w:val="18"/>
                      <w:szCs w:val="18"/>
                      <w:highlight w:val="none"/>
                      <w:lang w:eastAsia="zh-CN"/>
                    </w:rPr>
                    <w:t>型号</w:t>
                  </w:r>
                </w:p>
              </w:tc>
              <w:tc>
                <w:tcPr>
                  <w:tcW w:w="1091" w:type="pct"/>
                  <w:gridSpan w:val="3"/>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18"/>
                      <w:szCs w:val="18"/>
                      <w:highlight w:val="none"/>
                      <w:lang w:eastAsia="zh-CN"/>
                    </w:rPr>
                  </w:pPr>
                  <w:r>
                    <w:rPr>
                      <w:rFonts w:hint="default" w:ascii="Times New Roman" w:hAnsi="Times New Roman" w:eastAsia="宋体" w:cs="Times New Roman"/>
                      <w:b/>
                      <w:bCs/>
                      <w:color w:val="auto"/>
                      <w:sz w:val="18"/>
                      <w:szCs w:val="18"/>
                      <w:highlight w:val="none"/>
                      <w:lang w:eastAsia="zh-CN"/>
                    </w:rPr>
                    <w:t>空间相对位置m</w:t>
                  </w:r>
                </w:p>
              </w:tc>
              <w:tc>
                <w:tcPr>
                  <w:tcW w:w="1331" w:type="pct"/>
                  <w:gridSpan w:val="2"/>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18"/>
                      <w:szCs w:val="18"/>
                      <w:highlight w:val="none"/>
                      <w:lang w:eastAsia="zh-CN"/>
                    </w:rPr>
                  </w:pPr>
                  <w:r>
                    <w:rPr>
                      <w:rFonts w:hint="default" w:ascii="Times New Roman" w:hAnsi="Times New Roman" w:eastAsia="宋体" w:cs="Times New Roman"/>
                      <w:b/>
                      <w:bCs/>
                      <w:color w:val="auto"/>
                      <w:sz w:val="18"/>
                      <w:szCs w:val="18"/>
                      <w:highlight w:val="none"/>
                      <w:lang w:eastAsia="zh-CN"/>
                    </w:rPr>
                    <w:t>声源源强（任选一种）</w:t>
                  </w:r>
                </w:p>
              </w:tc>
              <w:tc>
                <w:tcPr>
                  <w:tcW w:w="492" w:type="pct"/>
                  <w:vMerge w:val="restart"/>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18"/>
                      <w:szCs w:val="18"/>
                      <w:highlight w:val="none"/>
                      <w:lang w:eastAsia="zh-CN"/>
                    </w:rPr>
                  </w:pPr>
                  <w:r>
                    <w:rPr>
                      <w:rFonts w:hint="default" w:ascii="Times New Roman" w:hAnsi="Times New Roman" w:eastAsia="宋体" w:cs="Times New Roman"/>
                      <w:b/>
                      <w:bCs/>
                      <w:color w:val="auto"/>
                      <w:sz w:val="18"/>
                      <w:szCs w:val="18"/>
                      <w:highlight w:val="none"/>
                      <w:lang w:eastAsia="zh-CN"/>
                    </w:rPr>
                    <w:t>声源控制措施</w:t>
                  </w:r>
                </w:p>
              </w:tc>
              <w:tc>
                <w:tcPr>
                  <w:tcW w:w="620" w:type="pct"/>
                  <w:vMerge w:val="restart"/>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18"/>
                      <w:szCs w:val="18"/>
                      <w:highlight w:val="none"/>
                      <w:lang w:eastAsia="zh-CN"/>
                    </w:rPr>
                  </w:pPr>
                  <w:r>
                    <w:rPr>
                      <w:rFonts w:hint="default" w:ascii="Times New Roman" w:hAnsi="Times New Roman" w:eastAsia="宋体" w:cs="Times New Roman"/>
                      <w:b/>
                      <w:bCs/>
                      <w:color w:val="auto"/>
                      <w:sz w:val="18"/>
                      <w:szCs w:val="18"/>
                      <w:highlight w:val="none"/>
                      <w:lang w:eastAsia="zh-CN"/>
                    </w:rPr>
                    <w:t>采取控制措施后声功率级/dB(A)</w:t>
                  </w:r>
                </w:p>
              </w:tc>
              <w:tc>
                <w:tcPr>
                  <w:tcW w:w="375" w:type="pct"/>
                  <w:vMerge w:val="restart"/>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18"/>
                      <w:szCs w:val="18"/>
                      <w:highlight w:val="none"/>
                      <w:lang w:eastAsia="zh-CN"/>
                    </w:rPr>
                  </w:pPr>
                  <w:r>
                    <w:rPr>
                      <w:rFonts w:hint="default" w:ascii="Times New Roman" w:hAnsi="Times New Roman" w:eastAsia="宋体" w:cs="Times New Roman"/>
                      <w:b/>
                      <w:bCs/>
                      <w:color w:val="auto"/>
                      <w:sz w:val="18"/>
                      <w:szCs w:val="18"/>
                      <w:highlight w:val="none"/>
                      <w:lang w:eastAsia="zh-CN"/>
                    </w:rPr>
                    <w:t>运行时段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244" w:type="pct"/>
                  <w:vMerge w:val="continue"/>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18"/>
                      <w:szCs w:val="18"/>
                    </w:rPr>
                  </w:pPr>
                </w:p>
              </w:tc>
              <w:tc>
                <w:tcPr>
                  <w:tcW w:w="408" w:type="pct"/>
                  <w:vMerge w:val="continue"/>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18"/>
                      <w:szCs w:val="18"/>
                    </w:rPr>
                  </w:pPr>
                </w:p>
              </w:tc>
              <w:tc>
                <w:tcPr>
                  <w:tcW w:w="435" w:type="pct"/>
                  <w:vMerge w:val="continue"/>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18"/>
                      <w:szCs w:val="18"/>
                    </w:rPr>
                  </w:pPr>
                </w:p>
              </w:tc>
              <w:tc>
                <w:tcPr>
                  <w:tcW w:w="364" w:type="pct"/>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X</w:t>
                  </w:r>
                </w:p>
              </w:tc>
              <w:tc>
                <w:tcPr>
                  <w:tcW w:w="341" w:type="pct"/>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Y</w:t>
                  </w:r>
                </w:p>
              </w:tc>
              <w:tc>
                <w:tcPr>
                  <w:tcW w:w="385" w:type="pct"/>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Z</w:t>
                  </w:r>
                </w:p>
              </w:tc>
              <w:tc>
                <w:tcPr>
                  <w:tcW w:w="807" w:type="pct"/>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（声压级/距声源距离）/（dB(A)/m）</w:t>
                  </w:r>
                </w:p>
              </w:tc>
              <w:tc>
                <w:tcPr>
                  <w:tcW w:w="524" w:type="pct"/>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声功率级/dB(A)</w:t>
                  </w:r>
                </w:p>
              </w:tc>
              <w:tc>
                <w:tcPr>
                  <w:tcW w:w="492" w:type="pct"/>
                  <w:vMerge w:val="continue"/>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18"/>
                      <w:szCs w:val="18"/>
                    </w:rPr>
                  </w:pPr>
                </w:p>
              </w:tc>
              <w:tc>
                <w:tcPr>
                  <w:tcW w:w="620" w:type="pct"/>
                  <w:vMerge w:val="continue"/>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18"/>
                      <w:szCs w:val="18"/>
                    </w:rPr>
                  </w:pPr>
                </w:p>
              </w:tc>
              <w:tc>
                <w:tcPr>
                  <w:tcW w:w="375" w:type="pct"/>
                  <w:vMerge w:val="continue"/>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244" w:type="pct"/>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408" w:type="pct"/>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风机</w:t>
                  </w:r>
                  <w:r>
                    <w:rPr>
                      <w:rFonts w:hint="eastAsia" w:ascii="Times New Roman" w:hAnsi="Times New Roman" w:eastAsia="宋体" w:cs="Times New Roman"/>
                      <w:sz w:val="18"/>
                      <w:szCs w:val="18"/>
                      <w:lang w:val="en-US" w:eastAsia="zh-CN"/>
                    </w:rPr>
                    <w:t>/</w:t>
                  </w:r>
                  <w:r>
                    <w:rPr>
                      <w:rFonts w:hint="eastAsia" w:ascii="Times New Roman" w:hAnsi="Times New Roman" w:cs="Times New Roman"/>
                      <w:sz w:val="18"/>
                      <w:szCs w:val="18"/>
                      <w:lang w:val="en-US" w:eastAsia="zh-CN"/>
                    </w:rPr>
                    <w:t>3</w:t>
                  </w:r>
                  <w:r>
                    <w:rPr>
                      <w:rFonts w:hint="eastAsia" w:ascii="Times New Roman" w:hAnsi="Times New Roman" w:eastAsia="宋体" w:cs="Times New Roman"/>
                      <w:sz w:val="18"/>
                      <w:szCs w:val="18"/>
                      <w:lang w:val="en-US" w:eastAsia="zh-CN"/>
                    </w:rPr>
                    <w:t>台</w:t>
                  </w:r>
                </w:p>
              </w:tc>
              <w:tc>
                <w:tcPr>
                  <w:tcW w:w="435" w:type="pct"/>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15000m</w:t>
                  </w:r>
                  <w:r>
                    <w:rPr>
                      <w:rFonts w:hint="eastAsia" w:ascii="Times New Roman" w:hAnsi="Times New Roman" w:eastAsia="宋体" w:cs="Times New Roman"/>
                      <w:sz w:val="18"/>
                      <w:szCs w:val="18"/>
                      <w:vertAlign w:val="superscript"/>
                      <w:lang w:val="en-US" w:eastAsia="zh-CN"/>
                    </w:rPr>
                    <w:t>3</w:t>
                  </w:r>
                  <w:r>
                    <w:rPr>
                      <w:rFonts w:hint="eastAsia" w:ascii="Times New Roman" w:hAnsi="Times New Roman" w:eastAsia="宋体" w:cs="Times New Roman"/>
                      <w:sz w:val="18"/>
                      <w:szCs w:val="18"/>
                      <w:lang w:val="en-US" w:eastAsia="zh-CN"/>
                    </w:rPr>
                    <w:t>/h、12000m</w:t>
                  </w:r>
                  <w:r>
                    <w:rPr>
                      <w:rFonts w:hint="eastAsia" w:ascii="Times New Roman" w:hAnsi="Times New Roman" w:eastAsia="宋体" w:cs="Times New Roman"/>
                      <w:sz w:val="18"/>
                      <w:szCs w:val="18"/>
                      <w:vertAlign w:val="superscript"/>
                      <w:lang w:val="en-US" w:eastAsia="zh-CN"/>
                    </w:rPr>
                    <w:t>3</w:t>
                  </w:r>
                  <w:r>
                    <w:rPr>
                      <w:rFonts w:hint="eastAsia" w:ascii="Times New Roman" w:hAnsi="Times New Roman" w:eastAsia="宋体" w:cs="Times New Roman"/>
                      <w:sz w:val="18"/>
                      <w:szCs w:val="18"/>
                      <w:lang w:val="en-US" w:eastAsia="zh-CN"/>
                    </w:rPr>
                    <w:t>/h</w:t>
                  </w:r>
                  <w:r>
                    <w:rPr>
                      <w:rFonts w:hint="eastAsia" w:ascii="Times New Roman" w:hAnsi="Times New Roman" w:cs="Times New Roman"/>
                      <w:sz w:val="18"/>
                      <w:szCs w:val="18"/>
                      <w:lang w:val="en-US" w:eastAsia="zh-CN"/>
                    </w:rPr>
                    <w:t>、20000</w:t>
                  </w:r>
                  <w:r>
                    <w:rPr>
                      <w:rFonts w:hint="eastAsia" w:ascii="Times New Roman" w:hAnsi="Times New Roman" w:eastAsia="宋体" w:cs="Times New Roman"/>
                      <w:sz w:val="18"/>
                      <w:szCs w:val="18"/>
                      <w:lang w:val="en-US" w:eastAsia="zh-CN"/>
                    </w:rPr>
                    <w:t>m</w:t>
                  </w:r>
                  <w:r>
                    <w:rPr>
                      <w:rFonts w:hint="eastAsia" w:ascii="Times New Roman" w:hAnsi="Times New Roman" w:eastAsia="宋体" w:cs="Times New Roman"/>
                      <w:sz w:val="18"/>
                      <w:szCs w:val="18"/>
                      <w:vertAlign w:val="superscript"/>
                      <w:lang w:val="en-US" w:eastAsia="zh-CN"/>
                    </w:rPr>
                    <w:t>3</w:t>
                  </w:r>
                  <w:r>
                    <w:rPr>
                      <w:rFonts w:hint="eastAsia" w:ascii="Times New Roman" w:hAnsi="Times New Roman" w:eastAsia="宋体" w:cs="Times New Roman"/>
                      <w:sz w:val="18"/>
                      <w:szCs w:val="18"/>
                      <w:lang w:val="en-US" w:eastAsia="zh-CN"/>
                    </w:rPr>
                    <w:t>/h</w:t>
                  </w:r>
                </w:p>
              </w:tc>
              <w:tc>
                <w:tcPr>
                  <w:tcW w:w="364" w:type="pct"/>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宋体" w:cs="Times New Roman"/>
                      <w:sz w:val="18"/>
                      <w:szCs w:val="18"/>
                      <w:lang w:eastAsia="zh-CN"/>
                    </w:rPr>
                  </w:pPr>
                  <w:r>
                    <w:rPr>
                      <w:rFonts w:hint="default" w:ascii="Times New Roman" w:hAnsi="Times New Roman" w:eastAsia="宋体" w:cs="Times New Roman"/>
                      <w:sz w:val="18"/>
                      <w:szCs w:val="18"/>
                    </w:rPr>
                    <w:t>-</w:t>
                  </w:r>
                  <w:r>
                    <w:rPr>
                      <w:rFonts w:hint="eastAsia" w:ascii="Times New Roman" w:hAnsi="Times New Roman" w:eastAsia="宋体" w:cs="Times New Roman"/>
                      <w:sz w:val="18"/>
                      <w:szCs w:val="18"/>
                      <w:lang w:val="en-US" w:eastAsia="zh-CN"/>
                    </w:rPr>
                    <w:t>2</w:t>
                  </w:r>
                </w:p>
              </w:tc>
              <w:tc>
                <w:tcPr>
                  <w:tcW w:w="341" w:type="pct"/>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170</w:t>
                  </w:r>
                </w:p>
              </w:tc>
              <w:tc>
                <w:tcPr>
                  <w:tcW w:w="385" w:type="pct"/>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807" w:type="pct"/>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524" w:type="pct"/>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18"/>
                      <w:szCs w:val="18"/>
                      <w:lang w:val="en-US"/>
                    </w:rPr>
                  </w:pPr>
                  <w:r>
                    <w:rPr>
                      <w:rFonts w:hint="eastAsia" w:ascii="Times New Roman" w:hAnsi="Times New Roman" w:eastAsia="宋体" w:cs="Times New Roman"/>
                      <w:color w:val="auto"/>
                      <w:sz w:val="18"/>
                      <w:szCs w:val="18"/>
                      <w:lang w:val="en-US" w:eastAsia="zh-CN"/>
                    </w:rPr>
                    <w:t>单台</w:t>
                  </w:r>
                  <w:r>
                    <w:rPr>
                      <w:rFonts w:hint="default" w:ascii="Times New Roman" w:hAnsi="Times New Roman" w:eastAsia="宋体" w:cs="Times New Roman"/>
                      <w:color w:val="auto"/>
                      <w:sz w:val="18"/>
                      <w:szCs w:val="18"/>
                    </w:rPr>
                    <w:t>85</w:t>
                  </w:r>
                  <w:r>
                    <w:rPr>
                      <w:rFonts w:hint="eastAsia" w:ascii="Times New Roman" w:hAnsi="Times New Roman" w:eastAsia="宋体" w:cs="Times New Roman"/>
                      <w:color w:val="auto"/>
                      <w:sz w:val="18"/>
                      <w:szCs w:val="18"/>
                      <w:lang w:eastAsia="zh-CN"/>
                    </w:rPr>
                    <w:t>，</w:t>
                  </w:r>
                  <w:r>
                    <w:rPr>
                      <w:rFonts w:hint="eastAsia" w:ascii="Times New Roman" w:hAnsi="Times New Roman" w:eastAsia="宋体" w:cs="Times New Roman"/>
                      <w:color w:val="auto"/>
                      <w:sz w:val="18"/>
                      <w:szCs w:val="18"/>
                      <w:lang w:val="en-US" w:eastAsia="zh-CN"/>
                    </w:rPr>
                    <w:t>叠加后</w:t>
                  </w:r>
                  <w:r>
                    <w:rPr>
                      <w:rFonts w:hint="eastAsia" w:ascii="Times New Roman" w:hAnsi="Times New Roman" w:cs="Times New Roman"/>
                      <w:color w:val="auto"/>
                      <w:sz w:val="18"/>
                      <w:szCs w:val="18"/>
                      <w:lang w:val="en-US" w:eastAsia="zh-CN"/>
                    </w:rPr>
                    <w:t>89.77</w:t>
                  </w:r>
                </w:p>
              </w:tc>
              <w:tc>
                <w:tcPr>
                  <w:tcW w:w="492" w:type="pct"/>
                  <w:vMerge w:val="restart"/>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减震基础、软连接、隔声罩</w:t>
                  </w:r>
                </w:p>
              </w:tc>
              <w:tc>
                <w:tcPr>
                  <w:tcW w:w="620" w:type="pct"/>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单台</w:t>
                  </w:r>
                  <w:r>
                    <w:rPr>
                      <w:rFonts w:hint="eastAsia" w:ascii="Times New Roman" w:hAnsi="Times New Roman" w:cs="Times New Roman"/>
                      <w:color w:val="auto"/>
                      <w:sz w:val="18"/>
                      <w:szCs w:val="18"/>
                      <w:lang w:val="en-US" w:eastAsia="zh-CN"/>
                    </w:rPr>
                    <w:t>60，叠加后64.77</w:t>
                  </w:r>
                </w:p>
              </w:tc>
              <w:tc>
                <w:tcPr>
                  <w:tcW w:w="375" w:type="pct"/>
                  <w:vMerge w:val="restart"/>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昼、夜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244" w:type="pct"/>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408" w:type="pct"/>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lang w:eastAsia="zh-CN"/>
                    </w:rPr>
                    <w:t>冷却塔</w:t>
                  </w:r>
                  <w:r>
                    <w:rPr>
                      <w:rFonts w:hint="eastAsia" w:ascii="Times New Roman" w:hAnsi="Times New Roman" w:eastAsia="宋体" w:cs="Times New Roman"/>
                      <w:sz w:val="18"/>
                      <w:szCs w:val="18"/>
                      <w:lang w:val="en-US" w:eastAsia="zh-CN"/>
                    </w:rPr>
                    <w:t>/3台</w:t>
                  </w:r>
                </w:p>
              </w:tc>
              <w:tc>
                <w:tcPr>
                  <w:tcW w:w="435" w:type="pct"/>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18"/>
                      <w:szCs w:val="18"/>
                      <w:lang w:eastAsia="zh-CN"/>
                    </w:rPr>
                  </w:pPr>
                  <w:r>
                    <w:rPr>
                      <w:rFonts w:hint="eastAsia" w:ascii="Times New Roman" w:hAnsi="Times New Roman" w:eastAsia="宋体" w:cs="Times New Roman"/>
                      <w:sz w:val="18"/>
                      <w:szCs w:val="18"/>
                      <w:lang w:val="en-US" w:eastAsia="zh-CN"/>
                    </w:rPr>
                    <w:t>80m</w:t>
                  </w:r>
                  <w:r>
                    <w:rPr>
                      <w:rFonts w:hint="eastAsia" w:ascii="Times New Roman" w:hAnsi="Times New Roman" w:eastAsia="宋体" w:cs="Times New Roman"/>
                      <w:sz w:val="18"/>
                      <w:szCs w:val="18"/>
                      <w:vertAlign w:val="superscript"/>
                      <w:lang w:val="en-US" w:eastAsia="zh-CN"/>
                    </w:rPr>
                    <w:t>3</w:t>
                  </w:r>
                  <w:r>
                    <w:rPr>
                      <w:rFonts w:hint="eastAsia" w:ascii="Times New Roman" w:hAnsi="Times New Roman" w:eastAsia="宋体" w:cs="Times New Roman"/>
                      <w:sz w:val="18"/>
                      <w:szCs w:val="18"/>
                      <w:lang w:val="en-US" w:eastAsia="zh-CN"/>
                    </w:rPr>
                    <w:t>/h</w:t>
                  </w:r>
                </w:p>
              </w:tc>
              <w:tc>
                <w:tcPr>
                  <w:tcW w:w="364" w:type="pct"/>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w:t>
                  </w:r>
                  <w:r>
                    <w:rPr>
                      <w:rFonts w:hint="eastAsia" w:ascii="Times New Roman" w:hAnsi="Times New Roman" w:eastAsia="宋体" w:cs="Times New Roman"/>
                      <w:sz w:val="18"/>
                      <w:szCs w:val="18"/>
                      <w:lang w:val="en-US" w:eastAsia="zh-CN"/>
                    </w:rPr>
                    <w:t>60</w:t>
                  </w:r>
                </w:p>
              </w:tc>
              <w:tc>
                <w:tcPr>
                  <w:tcW w:w="341" w:type="pct"/>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132</w:t>
                  </w:r>
                </w:p>
              </w:tc>
              <w:tc>
                <w:tcPr>
                  <w:tcW w:w="385" w:type="pct"/>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807" w:type="pct"/>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524" w:type="pct"/>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单台</w:t>
                  </w:r>
                  <w:r>
                    <w:rPr>
                      <w:rFonts w:hint="default" w:ascii="Times New Roman" w:hAnsi="Times New Roman" w:eastAsia="宋体" w:cs="Times New Roman"/>
                      <w:color w:val="auto"/>
                      <w:sz w:val="18"/>
                      <w:szCs w:val="18"/>
                    </w:rPr>
                    <w:t>85</w:t>
                  </w:r>
                  <w:r>
                    <w:rPr>
                      <w:rFonts w:hint="eastAsia" w:ascii="Times New Roman" w:hAnsi="Times New Roman" w:eastAsia="宋体" w:cs="Times New Roman"/>
                      <w:color w:val="auto"/>
                      <w:sz w:val="18"/>
                      <w:szCs w:val="18"/>
                      <w:lang w:eastAsia="zh-CN"/>
                    </w:rPr>
                    <w:t>，</w:t>
                  </w:r>
                  <w:r>
                    <w:rPr>
                      <w:rFonts w:hint="eastAsia" w:ascii="Times New Roman" w:hAnsi="Times New Roman" w:eastAsia="宋体" w:cs="Times New Roman"/>
                      <w:color w:val="auto"/>
                      <w:sz w:val="18"/>
                      <w:szCs w:val="18"/>
                      <w:lang w:val="en-US" w:eastAsia="zh-CN"/>
                    </w:rPr>
                    <w:t>叠加后</w:t>
                  </w:r>
                  <w:r>
                    <w:rPr>
                      <w:rFonts w:hint="eastAsia" w:ascii="Times New Roman" w:hAnsi="Times New Roman" w:cs="Times New Roman"/>
                      <w:color w:val="auto"/>
                      <w:sz w:val="18"/>
                      <w:szCs w:val="18"/>
                      <w:lang w:val="en-US" w:eastAsia="zh-CN"/>
                    </w:rPr>
                    <w:t>89.77</w:t>
                  </w:r>
                </w:p>
              </w:tc>
              <w:tc>
                <w:tcPr>
                  <w:tcW w:w="492" w:type="pct"/>
                  <w:vMerge w:val="continue"/>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18"/>
                      <w:szCs w:val="18"/>
                    </w:rPr>
                  </w:pPr>
                </w:p>
              </w:tc>
              <w:tc>
                <w:tcPr>
                  <w:tcW w:w="620" w:type="pct"/>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18"/>
                      <w:szCs w:val="18"/>
                      <w:lang w:val="en-US"/>
                    </w:rPr>
                  </w:pPr>
                  <w:r>
                    <w:rPr>
                      <w:rFonts w:hint="eastAsia" w:ascii="Times New Roman" w:hAnsi="Times New Roman" w:eastAsia="宋体" w:cs="Times New Roman"/>
                      <w:color w:val="auto"/>
                      <w:sz w:val="18"/>
                      <w:szCs w:val="18"/>
                      <w:lang w:val="en-US" w:eastAsia="zh-CN"/>
                    </w:rPr>
                    <w:t>单台6</w:t>
                  </w:r>
                  <w:r>
                    <w:rPr>
                      <w:rFonts w:hint="eastAsia" w:ascii="Times New Roman" w:hAnsi="Times New Roman" w:cs="Times New Roman"/>
                      <w:color w:val="auto"/>
                      <w:sz w:val="18"/>
                      <w:szCs w:val="18"/>
                      <w:lang w:val="en-US" w:eastAsia="zh-CN"/>
                    </w:rPr>
                    <w:t>0，叠加后64.77</w:t>
                  </w:r>
                </w:p>
              </w:tc>
              <w:tc>
                <w:tcPr>
                  <w:tcW w:w="375" w:type="pct"/>
                  <w:vMerge w:val="continue"/>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18"/>
                      <w:szCs w:val="18"/>
                    </w:rPr>
                  </w:pPr>
                </w:p>
              </w:tc>
            </w:tr>
          </w:tbl>
          <w:p>
            <w:pPr>
              <w:tabs>
                <w:tab w:val="left" w:pos="2672"/>
              </w:tabs>
              <w:jc w:val="left"/>
              <w:rPr>
                <w:kern w:val="0"/>
                <w:szCs w:val="21"/>
              </w:rPr>
            </w:pPr>
            <w:r>
              <w:rPr>
                <w:b/>
                <w:bCs/>
                <w:sz w:val="15"/>
                <w:szCs w:val="15"/>
              </w:rPr>
              <w:t>注：以厂区最南侧角为（0.0）点，正东向为X轴正方向，正北向为Y轴正方向；门窗吸声系数数据来源于《环境工程手册 环境噪声控制卷》（郑长聚主编，高等教育出版社，2000年）。</w:t>
            </w:r>
          </w:p>
          <w:p>
            <w:pPr>
              <w:spacing w:line="360" w:lineRule="auto"/>
              <w:jc w:val="center"/>
              <w:rPr>
                <w:b/>
                <w:bCs/>
              </w:rPr>
            </w:pPr>
            <w:r>
              <w:rPr>
                <w:b/>
                <w:bCs/>
              </w:rPr>
              <w:t>表4-</w:t>
            </w:r>
            <w:r>
              <w:rPr>
                <w:rFonts w:hint="eastAsia"/>
                <w:b/>
                <w:bCs/>
                <w:lang w:val="en-US" w:eastAsia="zh-CN"/>
              </w:rPr>
              <w:t xml:space="preserve">18  </w:t>
            </w:r>
            <w:r>
              <w:rPr>
                <w:b/>
                <w:bCs/>
              </w:rPr>
              <w:t>工业企业噪声源强调查清单</w:t>
            </w:r>
          </w:p>
          <w:tbl>
            <w:tblPr>
              <w:tblStyle w:val="21"/>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1"/>
              <w:gridCol w:w="1120"/>
              <w:gridCol w:w="1120"/>
              <w:gridCol w:w="566"/>
              <w:gridCol w:w="1195"/>
              <w:gridCol w:w="585"/>
              <w:gridCol w:w="598"/>
              <w:gridCol w:w="524"/>
              <w:gridCol w:w="415"/>
              <w:gridCol w:w="476"/>
              <w:gridCol w:w="475"/>
              <w:gridCol w:w="476"/>
              <w:gridCol w:w="463"/>
              <w:gridCol w:w="570"/>
              <w:gridCol w:w="570"/>
              <w:gridCol w:w="570"/>
              <w:gridCol w:w="571"/>
              <w:gridCol w:w="719"/>
              <w:gridCol w:w="707"/>
              <w:gridCol w:w="708"/>
              <w:gridCol w:w="4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54" w:type="pct"/>
                  <w:vMerge w:val="restart"/>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序号</w:t>
                  </w:r>
                </w:p>
              </w:tc>
              <w:tc>
                <w:tcPr>
                  <w:tcW w:w="420" w:type="pct"/>
                  <w:vMerge w:val="restart"/>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声源名称</w:t>
                  </w:r>
                </w:p>
              </w:tc>
              <w:tc>
                <w:tcPr>
                  <w:tcW w:w="420" w:type="pct"/>
                  <w:vMerge w:val="restart"/>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18"/>
                      <w:szCs w:val="18"/>
                      <w:highlight w:val="none"/>
                    </w:rPr>
                  </w:pPr>
                  <w:r>
                    <w:rPr>
                      <w:rFonts w:hint="eastAsia" w:ascii="Times New Roman" w:hAnsi="Times New Roman" w:eastAsia="宋体" w:cs="Times New Roman"/>
                      <w:b/>
                      <w:bCs/>
                      <w:color w:val="auto"/>
                      <w:sz w:val="18"/>
                      <w:szCs w:val="18"/>
                      <w:highlight w:val="none"/>
                      <w:lang w:eastAsia="zh-CN"/>
                    </w:rPr>
                    <w:t>型号</w:t>
                  </w:r>
                </w:p>
              </w:tc>
              <w:tc>
                <w:tcPr>
                  <w:tcW w:w="212" w:type="pct"/>
                  <w:vMerge w:val="restart"/>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18"/>
                      <w:szCs w:val="18"/>
                      <w:highlight w:val="none"/>
                      <w:lang w:val="en-US" w:eastAsia="zh-CN"/>
                    </w:rPr>
                  </w:pPr>
                  <w:r>
                    <w:rPr>
                      <w:rFonts w:hint="eastAsia" w:ascii="Times New Roman" w:hAnsi="Times New Roman" w:eastAsia="宋体" w:cs="Times New Roman"/>
                      <w:b/>
                      <w:bCs/>
                      <w:color w:val="auto"/>
                      <w:sz w:val="18"/>
                      <w:szCs w:val="18"/>
                      <w:highlight w:val="none"/>
                      <w:lang w:val="en-US" w:eastAsia="zh-CN"/>
                    </w:rPr>
                    <w:t>设备数量</w:t>
                  </w:r>
                </w:p>
              </w:tc>
              <w:tc>
                <w:tcPr>
                  <w:tcW w:w="448" w:type="pct"/>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声源源强</w:t>
                  </w:r>
                </w:p>
              </w:tc>
              <w:tc>
                <w:tcPr>
                  <w:tcW w:w="219" w:type="pct"/>
                  <w:vMerge w:val="restart"/>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声源控制措施</w:t>
                  </w:r>
                </w:p>
              </w:tc>
              <w:tc>
                <w:tcPr>
                  <w:tcW w:w="576" w:type="pct"/>
                  <w:gridSpan w:val="3"/>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空间相对位置/m</w:t>
                  </w:r>
                </w:p>
              </w:tc>
              <w:tc>
                <w:tcPr>
                  <w:tcW w:w="709" w:type="pct"/>
                  <w:gridSpan w:val="4"/>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距室内边界距离/m</w:t>
                  </w:r>
                </w:p>
              </w:tc>
              <w:tc>
                <w:tcPr>
                  <w:tcW w:w="856" w:type="pct"/>
                  <w:gridSpan w:val="4"/>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室内边界声级/dB(A)</w:t>
                  </w:r>
                </w:p>
              </w:tc>
              <w:tc>
                <w:tcPr>
                  <w:tcW w:w="269" w:type="pct"/>
                  <w:vMerge w:val="restart"/>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建筑物插入损失/dB(A)</w:t>
                  </w:r>
                </w:p>
              </w:tc>
              <w:tc>
                <w:tcPr>
                  <w:tcW w:w="531" w:type="pct"/>
                  <w:gridSpan w:val="2"/>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建筑物外噪声</w:t>
                  </w:r>
                </w:p>
              </w:tc>
              <w:tc>
                <w:tcPr>
                  <w:tcW w:w="180" w:type="pct"/>
                  <w:vMerge w:val="restart"/>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运行时段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54" w:type="pct"/>
                  <w:vMerge w:val="continue"/>
                  <w:shd w:val="clear" w:color="auto" w:fill="FFFFFF"/>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18"/>
                      <w:szCs w:val="18"/>
                      <w:highlight w:val="none"/>
                    </w:rPr>
                  </w:pPr>
                </w:p>
              </w:tc>
              <w:tc>
                <w:tcPr>
                  <w:tcW w:w="420" w:type="pct"/>
                  <w:vMerge w:val="continue"/>
                  <w:shd w:val="clear" w:color="auto" w:fill="FFFFFF"/>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18"/>
                      <w:szCs w:val="18"/>
                      <w:highlight w:val="none"/>
                    </w:rPr>
                  </w:pPr>
                </w:p>
              </w:tc>
              <w:tc>
                <w:tcPr>
                  <w:tcW w:w="420" w:type="pct"/>
                  <w:vMerge w:val="continue"/>
                  <w:shd w:val="clear" w:color="auto" w:fill="FFFFFF"/>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18"/>
                      <w:szCs w:val="18"/>
                      <w:highlight w:val="none"/>
                    </w:rPr>
                  </w:pPr>
                </w:p>
              </w:tc>
              <w:tc>
                <w:tcPr>
                  <w:tcW w:w="212" w:type="pct"/>
                  <w:vMerge w:val="continue"/>
                  <w:shd w:val="clear" w:color="auto" w:fill="FFFFFF"/>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18"/>
                      <w:szCs w:val="18"/>
                      <w:highlight w:val="none"/>
                    </w:rPr>
                  </w:pPr>
                </w:p>
              </w:tc>
              <w:tc>
                <w:tcPr>
                  <w:tcW w:w="448" w:type="pct"/>
                  <w:shd w:val="clear" w:color="auto" w:fill="FFFFFF"/>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lang w:val="en-US" w:eastAsia="zh-CN"/>
                    </w:rPr>
                  </w:pPr>
                  <w:r>
                    <w:rPr>
                      <w:rFonts w:hint="default" w:ascii="Times New Roman" w:hAnsi="Times New Roman" w:eastAsia="宋体" w:cs="Times New Roman"/>
                      <w:b/>
                      <w:bCs/>
                      <w:color w:val="auto"/>
                      <w:sz w:val="18"/>
                      <w:szCs w:val="18"/>
                      <w:highlight w:val="none"/>
                    </w:rPr>
                    <w:t>声功率级/dB(A)</w:t>
                  </w:r>
                </w:p>
              </w:tc>
              <w:tc>
                <w:tcPr>
                  <w:tcW w:w="219" w:type="pct"/>
                  <w:vMerge w:val="continue"/>
                  <w:shd w:val="clear" w:color="auto" w:fill="FFFFFF"/>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18"/>
                      <w:szCs w:val="18"/>
                      <w:highlight w:val="none"/>
                    </w:rPr>
                  </w:pPr>
                </w:p>
              </w:tc>
              <w:tc>
                <w:tcPr>
                  <w:tcW w:w="224" w:type="pct"/>
                  <w:shd w:val="clear" w:color="auto" w:fill="FFFFFF"/>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X</w:t>
                  </w:r>
                </w:p>
              </w:tc>
              <w:tc>
                <w:tcPr>
                  <w:tcW w:w="196" w:type="pct"/>
                  <w:shd w:val="clear" w:color="auto" w:fill="FFFFFF"/>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Y</w:t>
                  </w:r>
                </w:p>
              </w:tc>
              <w:tc>
                <w:tcPr>
                  <w:tcW w:w="155" w:type="pct"/>
                  <w:shd w:val="clear" w:color="auto" w:fill="FFFFFF"/>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Z</w:t>
                  </w:r>
                </w:p>
              </w:tc>
              <w:tc>
                <w:tcPr>
                  <w:tcW w:w="178" w:type="pct"/>
                  <w:shd w:val="clear" w:color="auto" w:fill="FFFFFF"/>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18"/>
                      <w:szCs w:val="18"/>
                      <w:highlight w:val="none"/>
                      <w:lang w:val="en-US" w:eastAsia="zh-CN"/>
                    </w:rPr>
                  </w:pPr>
                  <w:r>
                    <w:rPr>
                      <w:rFonts w:hint="eastAsia" w:ascii="Times New Roman" w:hAnsi="Times New Roman" w:eastAsia="宋体" w:cs="Times New Roman"/>
                      <w:b/>
                      <w:bCs/>
                      <w:color w:val="auto"/>
                      <w:sz w:val="18"/>
                      <w:szCs w:val="18"/>
                      <w:highlight w:val="none"/>
                      <w:lang w:val="en-US" w:eastAsia="zh-CN"/>
                    </w:rPr>
                    <w:t>东</w:t>
                  </w:r>
                </w:p>
              </w:tc>
              <w:tc>
                <w:tcPr>
                  <w:tcW w:w="178" w:type="pct"/>
                  <w:shd w:val="clear" w:color="auto" w:fill="FFFFFF"/>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18"/>
                      <w:szCs w:val="18"/>
                      <w:highlight w:val="none"/>
                      <w:lang w:eastAsia="zh-CN"/>
                    </w:rPr>
                  </w:pPr>
                  <w:r>
                    <w:rPr>
                      <w:rFonts w:hint="eastAsia" w:ascii="Times New Roman" w:hAnsi="Times New Roman" w:eastAsia="宋体" w:cs="Times New Roman"/>
                      <w:b/>
                      <w:bCs/>
                      <w:color w:val="auto"/>
                      <w:sz w:val="18"/>
                      <w:szCs w:val="18"/>
                      <w:highlight w:val="none"/>
                      <w:lang w:eastAsia="zh-CN"/>
                    </w:rPr>
                    <w:t>西</w:t>
                  </w:r>
                </w:p>
              </w:tc>
              <w:tc>
                <w:tcPr>
                  <w:tcW w:w="178" w:type="pct"/>
                  <w:shd w:val="clear" w:color="auto" w:fill="FFFFFF"/>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18"/>
                      <w:szCs w:val="18"/>
                      <w:highlight w:val="none"/>
                    </w:rPr>
                  </w:pPr>
                  <w:r>
                    <w:rPr>
                      <w:rFonts w:hint="eastAsia" w:ascii="Times New Roman" w:hAnsi="Times New Roman" w:eastAsia="宋体" w:cs="Times New Roman"/>
                      <w:b/>
                      <w:bCs/>
                      <w:color w:val="auto"/>
                      <w:sz w:val="18"/>
                      <w:szCs w:val="18"/>
                      <w:highlight w:val="none"/>
                      <w:lang w:eastAsia="zh-CN"/>
                    </w:rPr>
                    <w:t>南</w:t>
                  </w:r>
                </w:p>
              </w:tc>
              <w:tc>
                <w:tcPr>
                  <w:tcW w:w="173" w:type="pct"/>
                  <w:shd w:val="clear" w:color="auto" w:fill="FFFFFF"/>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18"/>
                      <w:szCs w:val="18"/>
                      <w:highlight w:val="none"/>
                      <w:lang w:eastAsia="zh-CN"/>
                    </w:rPr>
                  </w:pPr>
                  <w:r>
                    <w:rPr>
                      <w:rFonts w:hint="eastAsia" w:ascii="Times New Roman" w:hAnsi="Times New Roman" w:eastAsia="宋体" w:cs="Times New Roman"/>
                      <w:b/>
                      <w:bCs/>
                      <w:color w:val="auto"/>
                      <w:sz w:val="18"/>
                      <w:szCs w:val="18"/>
                      <w:highlight w:val="none"/>
                      <w:lang w:eastAsia="zh-CN"/>
                    </w:rPr>
                    <w:t>北</w:t>
                  </w:r>
                </w:p>
              </w:tc>
              <w:tc>
                <w:tcPr>
                  <w:tcW w:w="213" w:type="pct"/>
                  <w:shd w:val="clear" w:color="auto" w:fill="FFFFFF"/>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18"/>
                      <w:szCs w:val="18"/>
                      <w:highlight w:val="none"/>
                    </w:rPr>
                  </w:pPr>
                  <w:r>
                    <w:rPr>
                      <w:rFonts w:hint="eastAsia" w:ascii="Times New Roman" w:hAnsi="Times New Roman" w:eastAsia="宋体" w:cs="Times New Roman"/>
                      <w:b/>
                      <w:bCs/>
                      <w:color w:val="auto"/>
                      <w:sz w:val="18"/>
                      <w:szCs w:val="18"/>
                      <w:highlight w:val="none"/>
                      <w:lang w:val="en-US" w:eastAsia="zh-CN"/>
                    </w:rPr>
                    <w:t>东</w:t>
                  </w:r>
                </w:p>
              </w:tc>
              <w:tc>
                <w:tcPr>
                  <w:tcW w:w="213" w:type="pct"/>
                  <w:shd w:val="clear" w:color="auto" w:fill="FFFFFF"/>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18"/>
                      <w:szCs w:val="18"/>
                      <w:highlight w:val="none"/>
                    </w:rPr>
                  </w:pPr>
                  <w:r>
                    <w:rPr>
                      <w:rFonts w:hint="eastAsia" w:ascii="Times New Roman" w:hAnsi="Times New Roman" w:eastAsia="宋体" w:cs="Times New Roman"/>
                      <w:b/>
                      <w:bCs/>
                      <w:color w:val="auto"/>
                      <w:sz w:val="18"/>
                      <w:szCs w:val="18"/>
                      <w:highlight w:val="none"/>
                      <w:lang w:eastAsia="zh-CN"/>
                    </w:rPr>
                    <w:t>西</w:t>
                  </w:r>
                </w:p>
              </w:tc>
              <w:tc>
                <w:tcPr>
                  <w:tcW w:w="213" w:type="pct"/>
                  <w:shd w:val="clear" w:color="auto" w:fill="FFFFFF"/>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18"/>
                      <w:szCs w:val="18"/>
                      <w:highlight w:val="none"/>
                    </w:rPr>
                  </w:pPr>
                  <w:r>
                    <w:rPr>
                      <w:rFonts w:hint="eastAsia" w:ascii="Times New Roman" w:hAnsi="Times New Roman" w:eastAsia="宋体" w:cs="Times New Roman"/>
                      <w:b/>
                      <w:bCs/>
                      <w:color w:val="auto"/>
                      <w:sz w:val="18"/>
                      <w:szCs w:val="18"/>
                      <w:highlight w:val="none"/>
                      <w:lang w:eastAsia="zh-CN"/>
                    </w:rPr>
                    <w:t>南</w:t>
                  </w:r>
                </w:p>
              </w:tc>
              <w:tc>
                <w:tcPr>
                  <w:tcW w:w="214" w:type="pct"/>
                  <w:shd w:val="clear" w:color="auto" w:fill="FFFFFF"/>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18"/>
                      <w:szCs w:val="18"/>
                      <w:highlight w:val="none"/>
                    </w:rPr>
                  </w:pPr>
                  <w:r>
                    <w:rPr>
                      <w:rFonts w:hint="eastAsia" w:ascii="Times New Roman" w:hAnsi="Times New Roman" w:eastAsia="宋体" w:cs="Times New Roman"/>
                      <w:b/>
                      <w:bCs/>
                      <w:color w:val="auto"/>
                      <w:sz w:val="18"/>
                      <w:szCs w:val="18"/>
                      <w:highlight w:val="none"/>
                      <w:lang w:eastAsia="zh-CN"/>
                    </w:rPr>
                    <w:t>北</w:t>
                  </w:r>
                </w:p>
              </w:tc>
              <w:tc>
                <w:tcPr>
                  <w:tcW w:w="269" w:type="pct"/>
                  <w:vMerge w:val="continue"/>
                  <w:shd w:val="clear" w:color="auto" w:fill="FFFFFF"/>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18"/>
                      <w:szCs w:val="18"/>
                      <w:highlight w:val="none"/>
                    </w:rPr>
                  </w:pPr>
                </w:p>
              </w:tc>
              <w:tc>
                <w:tcPr>
                  <w:tcW w:w="265" w:type="pct"/>
                  <w:shd w:val="clear" w:color="auto" w:fill="FFFFFF"/>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声压级/dB(A)</w:t>
                  </w:r>
                </w:p>
              </w:tc>
              <w:tc>
                <w:tcPr>
                  <w:tcW w:w="265" w:type="pct"/>
                  <w:shd w:val="clear" w:color="auto" w:fill="FFFFFF"/>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建筑物外距离/m</w:t>
                  </w:r>
                </w:p>
              </w:tc>
              <w:tc>
                <w:tcPr>
                  <w:tcW w:w="180" w:type="pct"/>
                  <w:vMerge w:val="continue"/>
                  <w:shd w:val="clear" w:color="auto" w:fill="FFFFFF"/>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54" w:type="pct"/>
                  <w:shd w:val="clear" w:color="auto" w:fill="FFFFFF"/>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w:t>
                  </w:r>
                </w:p>
              </w:tc>
              <w:tc>
                <w:tcPr>
                  <w:tcW w:w="420" w:type="pct"/>
                  <w:shd w:val="clear" w:color="auto" w:fill="auto"/>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45-50MN快锻压机</w:t>
                  </w:r>
                </w:p>
              </w:tc>
              <w:tc>
                <w:tcPr>
                  <w:tcW w:w="420" w:type="pct"/>
                  <w:shd w:val="clear" w:color="auto" w:fill="auto"/>
                  <w:noWrap w:val="0"/>
                  <w:vAlign w:val="center"/>
                </w:tcPr>
                <w:p>
                  <w:pPr>
                    <w:jc w:val="center"/>
                    <w:rPr>
                      <w:rFonts w:hint="eastAsia" w:ascii="Times New Roman" w:hAnsi="Times New Roman" w:cs="Times New Roman"/>
                      <w:color w:val="auto"/>
                      <w:sz w:val="18"/>
                      <w:szCs w:val="18"/>
                      <w:lang w:val="en-US" w:eastAsia="zh-CN"/>
                    </w:rPr>
                  </w:pPr>
                  <w:r>
                    <w:rPr>
                      <w:rFonts w:hint="eastAsia"/>
                      <w:sz w:val="18"/>
                      <w:szCs w:val="18"/>
                    </w:rPr>
                    <w:t>预应力双柱斜置上压式</w:t>
                  </w:r>
                </w:p>
              </w:tc>
              <w:tc>
                <w:tcPr>
                  <w:tcW w:w="212" w:type="pct"/>
                  <w:shd w:val="clear" w:color="auto" w:fill="auto"/>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w:t>
                  </w:r>
                </w:p>
              </w:tc>
              <w:tc>
                <w:tcPr>
                  <w:tcW w:w="448"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80</w:t>
                  </w:r>
                </w:p>
              </w:tc>
              <w:tc>
                <w:tcPr>
                  <w:tcW w:w="219" w:type="pct"/>
                  <w:vMerge w:val="restart"/>
                  <w:shd w:val="clear" w:color="auto" w:fill="FFFFFF"/>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减震基础、软连接、隔声门窗</w:t>
                  </w:r>
                </w:p>
              </w:tc>
              <w:tc>
                <w:tcPr>
                  <w:tcW w:w="224"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-21</w:t>
                  </w:r>
                </w:p>
              </w:tc>
              <w:tc>
                <w:tcPr>
                  <w:tcW w:w="196"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32</w:t>
                  </w:r>
                </w:p>
              </w:tc>
              <w:tc>
                <w:tcPr>
                  <w:tcW w:w="155"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w:t>
                  </w:r>
                </w:p>
              </w:tc>
              <w:tc>
                <w:tcPr>
                  <w:tcW w:w="178" w:type="pct"/>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w:t>
                  </w:r>
                </w:p>
              </w:tc>
              <w:tc>
                <w:tcPr>
                  <w:tcW w:w="178" w:type="pct"/>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35</w:t>
                  </w:r>
                </w:p>
              </w:tc>
              <w:tc>
                <w:tcPr>
                  <w:tcW w:w="178" w:type="pct"/>
                  <w:shd w:val="clear" w:color="auto" w:fill="FFFFFF"/>
                  <w:noWrap w:val="0"/>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148</w:t>
                  </w:r>
                </w:p>
              </w:tc>
              <w:tc>
                <w:tcPr>
                  <w:tcW w:w="173" w:type="pct"/>
                  <w:shd w:val="clear" w:color="auto" w:fill="FFFFFF"/>
                  <w:noWrap w:val="0"/>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12</w:t>
                  </w:r>
                </w:p>
              </w:tc>
              <w:tc>
                <w:tcPr>
                  <w:tcW w:w="21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66.0</w:t>
                  </w:r>
                </w:p>
              </w:tc>
              <w:tc>
                <w:tcPr>
                  <w:tcW w:w="21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49.1</w:t>
                  </w:r>
                </w:p>
              </w:tc>
              <w:tc>
                <w:tcPr>
                  <w:tcW w:w="21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36.6</w:t>
                  </w:r>
                </w:p>
              </w:tc>
              <w:tc>
                <w:tcPr>
                  <w:tcW w:w="214"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58.4</w:t>
                  </w:r>
                </w:p>
              </w:tc>
              <w:tc>
                <w:tcPr>
                  <w:tcW w:w="269"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20</w:t>
                  </w:r>
                </w:p>
              </w:tc>
              <w:tc>
                <w:tcPr>
                  <w:tcW w:w="265" w:type="pct"/>
                  <w:vMerge w:val="restar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东：44.7</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eastAsia="zh-CN"/>
                    </w:rPr>
                    <w:t>西</w:t>
                  </w:r>
                  <w:r>
                    <w:rPr>
                      <w:rFonts w:hint="eastAsia" w:ascii="Times New Roman" w:hAnsi="Times New Roman" w:eastAsia="宋体" w:cs="Times New Roman"/>
                      <w:b w:val="0"/>
                      <w:bCs w:val="0"/>
                      <w:color w:val="auto"/>
                      <w:sz w:val="18"/>
                      <w:szCs w:val="18"/>
                      <w:highlight w:val="none"/>
                      <w:lang w:val="en-US" w:eastAsia="zh-CN"/>
                    </w:rPr>
                    <w:t>：44.9</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eastAsia="zh-CN"/>
                    </w:rPr>
                    <w:t>南</w:t>
                  </w:r>
                  <w:r>
                    <w:rPr>
                      <w:rFonts w:hint="eastAsia" w:ascii="Times New Roman" w:hAnsi="Times New Roman" w:eastAsia="宋体" w:cs="Times New Roman"/>
                      <w:b w:val="0"/>
                      <w:bCs w:val="0"/>
                      <w:color w:val="auto"/>
                      <w:sz w:val="18"/>
                      <w:szCs w:val="18"/>
                      <w:highlight w:val="none"/>
                      <w:lang w:val="en-US" w:eastAsia="zh-CN"/>
                    </w:rPr>
                    <w:t>：24.2</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eastAsia="zh-CN"/>
                    </w:rPr>
                    <w:t>北</w:t>
                  </w:r>
                  <w:r>
                    <w:rPr>
                      <w:rFonts w:hint="eastAsia" w:ascii="Times New Roman" w:hAnsi="Times New Roman" w:eastAsia="宋体" w:cs="Times New Roman"/>
                      <w:b w:val="0"/>
                      <w:bCs w:val="0"/>
                      <w:color w:val="auto"/>
                      <w:sz w:val="18"/>
                      <w:szCs w:val="18"/>
                      <w:highlight w:val="none"/>
                      <w:lang w:val="en-US" w:eastAsia="zh-CN"/>
                    </w:rPr>
                    <w:t>：21.1</w:t>
                  </w:r>
                </w:p>
              </w:tc>
              <w:tc>
                <w:tcPr>
                  <w:tcW w:w="265" w:type="pct"/>
                  <w:vMerge w:val="restar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东：</w:t>
                  </w:r>
                  <w:r>
                    <w:rPr>
                      <w:rFonts w:hint="default" w:ascii="Times New Roman" w:hAnsi="Times New Roman" w:eastAsia="宋体" w:cs="Times New Roman"/>
                      <w:b w:val="0"/>
                      <w:bCs w:val="0"/>
                      <w:color w:val="auto"/>
                      <w:sz w:val="18"/>
                      <w:szCs w:val="18"/>
                      <w:highlight w:val="none"/>
                      <w:lang w:val="en-US" w:eastAsia="zh-CN"/>
                    </w:rPr>
                    <w:t>1</w:t>
                  </w:r>
                  <w:r>
                    <w:rPr>
                      <w:rFonts w:hint="eastAsia" w:ascii="Times New Roman" w:hAnsi="Times New Roman" w:eastAsia="宋体" w:cs="Times New Roman"/>
                      <w:b w:val="0"/>
                      <w:bCs w:val="0"/>
                      <w:color w:val="auto"/>
                      <w:sz w:val="18"/>
                      <w:szCs w:val="18"/>
                      <w:highlight w:val="none"/>
                      <w:lang w:val="en-US" w:eastAsia="zh-CN"/>
                    </w:rPr>
                    <w:t>0</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eastAsia="zh-CN"/>
                    </w:rPr>
                    <w:t>西</w:t>
                  </w:r>
                  <w:r>
                    <w:rPr>
                      <w:rFonts w:hint="eastAsia" w:ascii="Times New Roman" w:hAnsi="Times New Roman" w:eastAsia="宋体" w:cs="Times New Roman"/>
                      <w:b w:val="0"/>
                      <w:bCs w:val="0"/>
                      <w:color w:val="auto"/>
                      <w:sz w:val="18"/>
                      <w:szCs w:val="18"/>
                      <w:highlight w:val="none"/>
                      <w:lang w:val="en-US" w:eastAsia="zh-CN"/>
                    </w:rPr>
                    <w:t>：</w:t>
                  </w:r>
                  <w:r>
                    <w:rPr>
                      <w:rFonts w:hint="default" w:ascii="Times New Roman" w:hAnsi="Times New Roman" w:eastAsia="宋体" w:cs="Times New Roman"/>
                      <w:b w:val="0"/>
                      <w:bCs w:val="0"/>
                      <w:color w:val="auto"/>
                      <w:sz w:val="18"/>
                      <w:szCs w:val="18"/>
                      <w:highlight w:val="none"/>
                      <w:lang w:val="en-US" w:eastAsia="zh-CN"/>
                    </w:rPr>
                    <w:t>1</w:t>
                  </w:r>
                  <w:r>
                    <w:rPr>
                      <w:rFonts w:hint="eastAsia" w:ascii="Times New Roman" w:hAnsi="Times New Roman" w:eastAsia="宋体" w:cs="Times New Roman"/>
                      <w:b w:val="0"/>
                      <w:bCs w:val="0"/>
                      <w:color w:val="auto"/>
                      <w:sz w:val="18"/>
                      <w:szCs w:val="18"/>
                      <w:highlight w:val="none"/>
                      <w:lang w:val="en-US" w:eastAsia="zh-CN"/>
                    </w:rPr>
                    <w:t>2</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eastAsia="zh-CN"/>
                    </w:rPr>
                    <w:t>南</w:t>
                  </w:r>
                  <w:r>
                    <w:rPr>
                      <w:rFonts w:hint="eastAsia" w:ascii="Times New Roman" w:hAnsi="Times New Roman" w:eastAsia="宋体" w:cs="Times New Roman"/>
                      <w:b w:val="0"/>
                      <w:bCs w:val="0"/>
                      <w:color w:val="auto"/>
                      <w:sz w:val="18"/>
                      <w:szCs w:val="18"/>
                      <w:highlight w:val="none"/>
                      <w:lang w:val="en-US" w:eastAsia="zh-CN"/>
                    </w:rPr>
                    <w:t>：10</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auto"/>
                      <w:sz w:val="18"/>
                      <w:szCs w:val="18"/>
                      <w:highlight w:val="none"/>
                      <w:lang w:val="en-US"/>
                    </w:rPr>
                  </w:pPr>
                  <w:r>
                    <w:rPr>
                      <w:rFonts w:hint="eastAsia" w:ascii="Times New Roman" w:hAnsi="Times New Roman" w:eastAsia="宋体" w:cs="Times New Roman"/>
                      <w:b w:val="0"/>
                      <w:bCs w:val="0"/>
                      <w:color w:val="auto"/>
                      <w:sz w:val="18"/>
                      <w:szCs w:val="18"/>
                      <w:highlight w:val="none"/>
                      <w:lang w:eastAsia="zh-CN"/>
                    </w:rPr>
                    <w:t>北</w:t>
                  </w:r>
                  <w:r>
                    <w:rPr>
                      <w:rFonts w:hint="eastAsia" w:ascii="Times New Roman" w:hAnsi="Times New Roman" w:eastAsia="宋体" w:cs="Times New Roman"/>
                      <w:b w:val="0"/>
                      <w:bCs w:val="0"/>
                      <w:color w:val="auto"/>
                      <w:sz w:val="18"/>
                      <w:szCs w:val="18"/>
                      <w:highlight w:val="none"/>
                      <w:lang w:val="en-US" w:eastAsia="zh-CN"/>
                    </w:rPr>
                    <w:t>：26</w:t>
                  </w:r>
                </w:p>
              </w:tc>
              <w:tc>
                <w:tcPr>
                  <w:tcW w:w="180" w:type="pct"/>
                  <w:vMerge w:val="restar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昼</w:t>
                  </w:r>
                  <w:r>
                    <w:rPr>
                      <w:rFonts w:hint="eastAsia" w:ascii="Times New Roman" w:hAnsi="Times New Roman" w:eastAsia="宋体" w:cs="Times New Roman"/>
                      <w:color w:val="auto"/>
                      <w:sz w:val="18"/>
                      <w:szCs w:val="18"/>
                      <w:highlight w:val="none"/>
                      <w:lang w:eastAsia="zh-CN"/>
                    </w:rPr>
                    <w:t>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54" w:type="pct"/>
                  <w:shd w:val="clear" w:color="auto" w:fill="FFFFFF"/>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color w:val="auto"/>
                      <w:sz w:val="18"/>
                      <w:szCs w:val="18"/>
                      <w:highlight w:val="none"/>
                    </w:rPr>
                    <w:t>2</w:t>
                  </w:r>
                </w:p>
              </w:tc>
              <w:tc>
                <w:tcPr>
                  <w:tcW w:w="420"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60T液压操作机</w:t>
                  </w:r>
                </w:p>
              </w:tc>
              <w:tc>
                <w:tcPr>
                  <w:tcW w:w="420" w:type="pct"/>
                  <w:shd w:val="clear" w:color="auto" w:fill="auto"/>
                  <w:noWrap w:val="0"/>
                  <w:vAlign w:val="center"/>
                </w:tcPr>
                <w:p>
                  <w:pPr>
                    <w:jc w:val="center"/>
                    <w:rPr>
                      <w:rFonts w:hint="eastAsia" w:ascii="Times New Roman" w:hAnsi="Times New Roman" w:cs="Times New Roman"/>
                      <w:color w:val="auto"/>
                      <w:sz w:val="18"/>
                      <w:szCs w:val="18"/>
                      <w:lang w:val="en-US" w:eastAsia="zh-CN"/>
                    </w:rPr>
                  </w:pPr>
                  <w:r>
                    <w:rPr>
                      <w:rFonts w:hint="eastAsia"/>
                      <w:sz w:val="18"/>
                      <w:szCs w:val="18"/>
                    </w:rPr>
                    <w:t>GSM-600-1500WP</w:t>
                  </w:r>
                </w:p>
              </w:tc>
              <w:tc>
                <w:tcPr>
                  <w:tcW w:w="212"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1</w:t>
                  </w:r>
                </w:p>
              </w:tc>
              <w:tc>
                <w:tcPr>
                  <w:tcW w:w="448"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80</w:t>
                  </w:r>
                </w:p>
              </w:tc>
              <w:tc>
                <w:tcPr>
                  <w:tcW w:w="219" w:type="pct"/>
                  <w:vMerge w:val="continue"/>
                  <w:shd w:val="clear" w:color="auto" w:fill="FFFFFF"/>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p>
              </w:tc>
              <w:tc>
                <w:tcPr>
                  <w:tcW w:w="224"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Calibri"/>
                      <w:color w:val="auto"/>
                      <w:kern w:val="0"/>
                      <w:sz w:val="18"/>
                      <w:szCs w:val="18"/>
                      <w:lang w:val="en-US" w:eastAsia="zh-CN" w:bidi="ar-SA"/>
                    </w:rPr>
                  </w:pPr>
                  <w:r>
                    <w:rPr>
                      <w:rFonts w:hint="eastAsia" w:cs="Times New Roman"/>
                      <w:color w:val="auto"/>
                      <w:sz w:val="18"/>
                      <w:szCs w:val="18"/>
                      <w:highlight w:val="none"/>
                      <w:lang w:val="en-US" w:eastAsia="zh-CN"/>
                    </w:rPr>
                    <w:t>-32</w:t>
                  </w:r>
                </w:p>
              </w:tc>
              <w:tc>
                <w:tcPr>
                  <w:tcW w:w="196"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48</w:t>
                  </w:r>
                </w:p>
              </w:tc>
              <w:tc>
                <w:tcPr>
                  <w:tcW w:w="155" w:type="pct"/>
                  <w:shd w:val="clear" w:color="auto" w:fill="FFFFFF"/>
                  <w:noWrap w:val="0"/>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Calibri"/>
                      <w:color w:val="auto"/>
                      <w:kern w:val="0"/>
                      <w:sz w:val="18"/>
                      <w:szCs w:val="18"/>
                      <w:lang w:val="en-US" w:eastAsia="zh-CN" w:bidi="ar-SA"/>
                    </w:rPr>
                  </w:pPr>
                  <w:r>
                    <w:rPr>
                      <w:rFonts w:ascii="Times New Roman"/>
                      <w:color w:val="auto"/>
                      <w:sz w:val="18"/>
                      <w:szCs w:val="18"/>
                    </w:rPr>
                    <w:t>1</w:t>
                  </w:r>
                </w:p>
              </w:tc>
              <w:tc>
                <w:tcPr>
                  <w:tcW w:w="178" w:type="pct"/>
                  <w:shd w:val="clear" w:color="auto" w:fill="FFFFFF"/>
                  <w:noWrap w:val="0"/>
                  <w:vAlign w:val="center"/>
                </w:tcPr>
                <w:p>
                  <w:pPr>
                    <w:keepNext w:val="0"/>
                    <w:keepLines w:val="0"/>
                    <w:widowControl/>
                    <w:suppressLineNumbers w:val="0"/>
                    <w:jc w:val="center"/>
                    <w:textAlignment w:val="center"/>
                    <w:rPr>
                      <w:rFonts w:hint="eastAsia" w:ascii="Times New Roman" w:hAnsi="Calibri"/>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5</w:t>
                  </w:r>
                </w:p>
              </w:tc>
              <w:tc>
                <w:tcPr>
                  <w:tcW w:w="178" w:type="pct"/>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35</w:t>
                  </w:r>
                </w:p>
              </w:tc>
              <w:tc>
                <w:tcPr>
                  <w:tcW w:w="178" w:type="pct"/>
                  <w:shd w:val="clear" w:color="auto" w:fill="FFFFFF"/>
                  <w:noWrap w:val="0"/>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125</w:t>
                  </w:r>
                </w:p>
              </w:tc>
              <w:tc>
                <w:tcPr>
                  <w:tcW w:w="173" w:type="pct"/>
                  <w:shd w:val="clear" w:color="auto" w:fill="FFFFFF"/>
                  <w:noWrap w:val="0"/>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35</w:t>
                  </w:r>
                </w:p>
              </w:tc>
              <w:tc>
                <w:tcPr>
                  <w:tcW w:w="21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66.0</w:t>
                  </w:r>
                </w:p>
              </w:tc>
              <w:tc>
                <w:tcPr>
                  <w:tcW w:w="21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49.1</w:t>
                  </w:r>
                </w:p>
              </w:tc>
              <w:tc>
                <w:tcPr>
                  <w:tcW w:w="21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38.1</w:t>
                  </w:r>
                </w:p>
              </w:tc>
              <w:tc>
                <w:tcPr>
                  <w:tcW w:w="214"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49.1</w:t>
                  </w:r>
                </w:p>
              </w:tc>
              <w:tc>
                <w:tcPr>
                  <w:tcW w:w="269"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20</w:t>
                  </w:r>
                </w:p>
              </w:tc>
              <w:tc>
                <w:tcPr>
                  <w:tcW w:w="265" w:type="pct"/>
                  <w:vMerge w:val="continue"/>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p>
              </w:tc>
              <w:tc>
                <w:tcPr>
                  <w:tcW w:w="265" w:type="pct"/>
                  <w:vMerge w:val="continue"/>
                  <w:shd w:val="clear" w:color="auto" w:fill="FFFFFF"/>
                  <w:noWrap w:val="0"/>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Calibri"/>
                      <w:color w:val="auto"/>
                      <w:kern w:val="0"/>
                      <w:sz w:val="18"/>
                      <w:szCs w:val="18"/>
                      <w:lang w:val="en-US" w:eastAsia="zh-CN" w:bidi="ar-SA"/>
                    </w:rPr>
                  </w:pPr>
                </w:p>
              </w:tc>
              <w:tc>
                <w:tcPr>
                  <w:tcW w:w="180" w:type="pct"/>
                  <w:vMerge w:val="continue"/>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54" w:type="pct"/>
                  <w:shd w:val="clear" w:color="auto" w:fill="FFFFFF"/>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color w:val="auto"/>
                      <w:sz w:val="18"/>
                      <w:szCs w:val="18"/>
                      <w:highlight w:val="none"/>
                    </w:rPr>
                    <w:t>3</w:t>
                  </w:r>
                </w:p>
              </w:tc>
              <w:tc>
                <w:tcPr>
                  <w:tcW w:w="420"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36MN压机</w:t>
                  </w:r>
                </w:p>
              </w:tc>
              <w:tc>
                <w:tcPr>
                  <w:tcW w:w="420" w:type="pct"/>
                  <w:shd w:val="clear" w:color="auto" w:fill="auto"/>
                  <w:noWrap w:val="0"/>
                  <w:vAlign w:val="center"/>
                </w:tcPr>
                <w:p>
                  <w:pPr>
                    <w:jc w:val="center"/>
                    <w:rPr>
                      <w:rFonts w:hint="eastAsia" w:ascii="Times New Roman" w:hAnsi="Times New Roman" w:cs="Times New Roman"/>
                      <w:color w:val="auto"/>
                      <w:sz w:val="18"/>
                      <w:szCs w:val="18"/>
                      <w:lang w:val="en-US" w:eastAsia="zh-CN"/>
                    </w:rPr>
                  </w:pPr>
                  <w:r>
                    <w:rPr>
                      <w:rFonts w:hint="eastAsia"/>
                      <w:sz w:val="18"/>
                      <w:szCs w:val="18"/>
                    </w:rPr>
                    <w:t>三梁四柱、上传动</w:t>
                  </w:r>
                </w:p>
              </w:tc>
              <w:tc>
                <w:tcPr>
                  <w:tcW w:w="212"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1</w:t>
                  </w:r>
                </w:p>
              </w:tc>
              <w:tc>
                <w:tcPr>
                  <w:tcW w:w="448"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85</w:t>
                  </w:r>
                </w:p>
              </w:tc>
              <w:tc>
                <w:tcPr>
                  <w:tcW w:w="219" w:type="pct"/>
                  <w:vMerge w:val="continue"/>
                  <w:shd w:val="clear" w:color="auto" w:fill="FFFFFF"/>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p>
              </w:tc>
              <w:tc>
                <w:tcPr>
                  <w:tcW w:w="224"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Calibri"/>
                      <w:color w:val="auto"/>
                      <w:kern w:val="0"/>
                      <w:sz w:val="18"/>
                      <w:szCs w:val="18"/>
                      <w:lang w:val="en-US" w:eastAsia="zh-CN" w:bidi="ar-SA"/>
                    </w:rPr>
                  </w:pPr>
                  <w:r>
                    <w:rPr>
                      <w:rFonts w:hint="eastAsia" w:cs="Times New Roman"/>
                      <w:color w:val="auto"/>
                      <w:sz w:val="18"/>
                      <w:szCs w:val="18"/>
                      <w:highlight w:val="none"/>
                      <w:lang w:val="en-US" w:eastAsia="zh-CN"/>
                    </w:rPr>
                    <w:t>-35</w:t>
                  </w:r>
                </w:p>
              </w:tc>
              <w:tc>
                <w:tcPr>
                  <w:tcW w:w="196"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40</w:t>
                  </w:r>
                </w:p>
              </w:tc>
              <w:tc>
                <w:tcPr>
                  <w:tcW w:w="155" w:type="pct"/>
                  <w:shd w:val="clear" w:color="auto" w:fill="FFFFFF"/>
                  <w:noWrap w:val="0"/>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Calibri"/>
                      <w:color w:val="auto"/>
                      <w:kern w:val="0"/>
                      <w:sz w:val="18"/>
                      <w:szCs w:val="18"/>
                      <w:lang w:val="en-US" w:eastAsia="zh-CN" w:bidi="ar-SA"/>
                    </w:rPr>
                  </w:pPr>
                  <w:r>
                    <w:rPr>
                      <w:rFonts w:ascii="Times New Roman"/>
                      <w:color w:val="auto"/>
                      <w:sz w:val="18"/>
                      <w:szCs w:val="18"/>
                    </w:rPr>
                    <w:t>1</w:t>
                  </w:r>
                </w:p>
              </w:tc>
              <w:tc>
                <w:tcPr>
                  <w:tcW w:w="178" w:type="pct"/>
                  <w:shd w:val="clear" w:color="auto" w:fill="FFFFFF"/>
                  <w:noWrap w:val="0"/>
                  <w:vAlign w:val="center"/>
                </w:tcPr>
                <w:p>
                  <w:pPr>
                    <w:keepNext w:val="0"/>
                    <w:keepLines w:val="0"/>
                    <w:widowControl/>
                    <w:suppressLineNumbers w:val="0"/>
                    <w:jc w:val="center"/>
                    <w:textAlignment w:val="center"/>
                    <w:rPr>
                      <w:rFonts w:hint="eastAsia" w:ascii="Times New Roman" w:hAnsi="Calibri"/>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6</w:t>
                  </w:r>
                </w:p>
              </w:tc>
              <w:tc>
                <w:tcPr>
                  <w:tcW w:w="178" w:type="pct"/>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34</w:t>
                  </w:r>
                </w:p>
              </w:tc>
              <w:tc>
                <w:tcPr>
                  <w:tcW w:w="178" w:type="pct"/>
                  <w:shd w:val="clear" w:color="auto" w:fill="FFFFFF"/>
                  <w:noWrap w:val="0"/>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95</w:t>
                  </w:r>
                </w:p>
              </w:tc>
              <w:tc>
                <w:tcPr>
                  <w:tcW w:w="173" w:type="pct"/>
                  <w:shd w:val="clear" w:color="auto" w:fill="FFFFFF"/>
                  <w:noWrap w:val="0"/>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65</w:t>
                  </w:r>
                </w:p>
              </w:tc>
              <w:tc>
                <w:tcPr>
                  <w:tcW w:w="21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69.4</w:t>
                  </w:r>
                </w:p>
              </w:tc>
              <w:tc>
                <w:tcPr>
                  <w:tcW w:w="21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54.4</w:t>
                  </w:r>
                </w:p>
              </w:tc>
              <w:tc>
                <w:tcPr>
                  <w:tcW w:w="21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45.4</w:t>
                  </w:r>
                </w:p>
              </w:tc>
              <w:tc>
                <w:tcPr>
                  <w:tcW w:w="214"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48.7</w:t>
                  </w:r>
                </w:p>
              </w:tc>
              <w:tc>
                <w:tcPr>
                  <w:tcW w:w="269"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20</w:t>
                  </w:r>
                </w:p>
              </w:tc>
              <w:tc>
                <w:tcPr>
                  <w:tcW w:w="265" w:type="pct"/>
                  <w:vMerge w:val="continue"/>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p>
              </w:tc>
              <w:tc>
                <w:tcPr>
                  <w:tcW w:w="265" w:type="pct"/>
                  <w:vMerge w:val="continue"/>
                  <w:shd w:val="clear" w:color="auto" w:fill="FFFFFF"/>
                  <w:noWrap w:val="0"/>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Calibri"/>
                      <w:color w:val="auto"/>
                      <w:kern w:val="0"/>
                      <w:sz w:val="18"/>
                      <w:szCs w:val="18"/>
                      <w:lang w:val="en-US" w:eastAsia="zh-CN" w:bidi="ar-SA"/>
                    </w:rPr>
                  </w:pPr>
                </w:p>
              </w:tc>
              <w:tc>
                <w:tcPr>
                  <w:tcW w:w="180" w:type="pct"/>
                  <w:vMerge w:val="continue"/>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54" w:type="pct"/>
                  <w:shd w:val="clear" w:color="auto" w:fill="FFFFFF"/>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color w:val="auto"/>
                      <w:sz w:val="18"/>
                      <w:szCs w:val="18"/>
                      <w:highlight w:val="none"/>
                    </w:rPr>
                    <w:t>4</w:t>
                  </w:r>
                </w:p>
              </w:tc>
              <w:tc>
                <w:tcPr>
                  <w:tcW w:w="420"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50T液压操作机</w:t>
                  </w:r>
                </w:p>
              </w:tc>
              <w:tc>
                <w:tcPr>
                  <w:tcW w:w="420" w:type="pct"/>
                  <w:shd w:val="clear" w:color="auto" w:fill="auto"/>
                  <w:noWrap w:val="0"/>
                  <w:vAlign w:val="center"/>
                </w:tcPr>
                <w:p>
                  <w:pPr>
                    <w:jc w:val="center"/>
                    <w:rPr>
                      <w:rFonts w:hint="eastAsia" w:ascii="Times New Roman" w:hAnsi="Times New Roman" w:cs="Times New Roman"/>
                      <w:color w:val="auto"/>
                      <w:sz w:val="18"/>
                      <w:szCs w:val="18"/>
                      <w:lang w:val="en-US" w:eastAsia="zh-CN"/>
                    </w:rPr>
                  </w:pPr>
                  <w:r>
                    <w:rPr>
                      <w:rFonts w:hint="eastAsia"/>
                      <w:sz w:val="18"/>
                      <w:szCs w:val="18"/>
                    </w:rPr>
                    <w:t>DCYY-0-50-125全液压</w:t>
                  </w:r>
                </w:p>
              </w:tc>
              <w:tc>
                <w:tcPr>
                  <w:tcW w:w="212"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1</w:t>
                  </w:r>
                </w:p>
              </w:tc>
              <w:tc>
                <w:tcPr>
                  <w:tcW w:w="448"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80</w:t>
                  </w:r>
                </w:p>
              </w:tc>
              <w:tc>
                <w:tcPr>
                  <w:tcW w:w="219" w:type="pct"/>
                  <w:vMerge w:val="continue"/>
                  <w:shd w:val="clear" w:color="auto" w:fill="FFFFFF"/>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p>
              </w:tc>
              <w:tc>
                <w:tcPr>
                  <w:tcW w:w="224"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Calibri"/>
                      <w:color w:val="auto"/>
                      <w:kern w:val="0"/>
                      <w:sz w:val="18"/>
                      <w:szCs w:val="18"/>
                      <w:lang w:val="en-US" w:eastAsia="zh-CN" w:bidi="ar-SA"/>
                    </w:rPr>
                  </w:pPr>
                  <w:r>
                    <w:rPr>
                      <w:rFonts w:hint="eastAsia" w:cs="Times New Roman"/>
                      <w:color w:val="auto"/>
                      <w:sz w:val="18"/>
                      <w:szCs w:val="18"/>
                      <w:highlight w:val="none"/>
                      <w:lang w:val="en-US" w:eastAsia="zh-CN"/>
                    </w:rPr>
                    <w:t>-60</w:t>
                  </w:r>
                </w:p>
              </w:tc>
              <w:tc>
                <w:tcPr>
                  <w:tcW w:w="196"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55</w:t>
                  </w:r>
                </w:p>
              </w:tc>
              <w:tc>
                <w:tcPr>
                  <w:tcW w:w="155" w:type="pct"/>
                  <w:shd w:val="clear" w:color="auto" w:fill="FFFFFF"/>
                  <w:noWrap w:val="0"/>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Calibri"/>
                      <w:color w:val="auto"/>
                      <w:kern w:val="0"/>
                      <w:sz w:val="18"/>
                      <w:szCs w:val="18"/>
                      <w:lang w:val="en-US" w:eastAsia="zh-CN" w:bidi="ar-SA"/>
                    </w:rPr>
                  </w:pPr>
                  <w:r>
                    <w:rPr>
                      <w:rFonts w:ascii="Times New Roman"/>
                      <w:color w:val="auto"/>
                      <w:sz w:val="18"/>
                      <w:szCs w:val="18"/>
                    </w:rPr>
                    <w:t>1</w:t>
                  </w:r>
                </w:p>
              </w:tc>
              <w:tc>
                <w:tcPr>
                  <w:tcW w:w="178" w:type="pct"/>
                  <w:shd w:val="clear" w:color="auto" w:fill="FFFFFF"/>
                  <w:noWrap w:val="0"/>
                  <w:vAlign w:val="center"/>
                </w:tcPr>
                <w:p>
                  <w:pPr>
                    <w:keepNext w:val="0"/>
                    <w:keepLines w:val="0"/>
                    <w:widowControl/>
                    <w:suppressLineNumbers w:val="0"/>
                    <w:jc w:val="center"/>
                    <w:textAlignment w:val="center"/>
                    <w:rPr>
                      <w:rFonts w:hint="eastAsia" w:ascii="Times New Roman" w:hAnsi="Calibri"/>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5</w:t>
                  </w:r>
                </w:p>
              </w:tc>
              <w:tc>
                <w:tcPr>
                  <w:tcW w:w="178" w:type="pct"/>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35</w:t>
                  </w:r>
                </w:p>
              </w:tc>
              <w:tc>
                <w:tcPr>
                  <w:tcW w:w="178" w:type="pct"/>
                  <w:shd w:val="clear" w:color="auto" w:fill="FFFFFF"/>
                  <w:noWrap w:val="0"/>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84</w:t>
                  </w:r>
                </w:p>
              </w:tc>
              <w:tc>
                <w:tcPr>
                  <w:tcW w:w="173" w:type="pct"/>
                  <w:shd w:val="clear" w:color="auto" w:fill="FFFFFF"/>
                  <w:noWrap w:val="0"/>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76</w:t>
                  </w:r>
                </w:p>
              </w:tc>
              <w:tc>
                <w:tcPr>
                  <w:tcW w:w="21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66.0</w:t>
                  </w:r>
                </w:p>
              </w:tc>
              <w:tc>
                <w:tcPr>
                  <w:tcW w:w="21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49.1</w:t>
                  </w:r>
                </w:p>
              </w:tc>
              <w:tc>
                <w:tcPr>
                  <w:tcW w:w="21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41.5</w:t>
                  </w:r>
                </w:p>
              </w:tc>
              <w:tc>
                <w:tcPr>
                  <w:tcW w:w="214"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42.4</w:t>
                  </w:r>
                </w:p>
              </w:tc>
              <w:tc>
                <w:tcPr>
                  <w:tcW w:w="269"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20</w:t>
                  </w:r>
                </w:p>
              </w:tc>
              <w:tc>
                <w:tcPr>
                  <w:tcW w:w="265" w:type="pct"/>
                  <w:vMerge w:val="continue"/>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p>
              </w:tc>
              <w:tc>
                <w:tcPr>
                  <w:tcW w:w="265" w:type="pct"/>
                  <w:vMerge w:val="continue"/>
                  <w:shd w:val="clear" w:color="auto" w:fill="FFFFFF"/>
                  <w:noWrap w:val="0"/>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Calibri"/>
                      <w:color w:val="auto"/>
                      <w:kern w:val="0"/>
                      <w:sz w:val="18"/>
                      <w:szCs w:val="18"/>
                      <w:lang w:val="en-US" w:eastAsia="zh-CN" w:bidi="ar-SA"/>
                    </w:rPr>
                  </w:pPr>
                </w:p>
              </w:tc>
              <w:tc>
                <w:tcPr>
                  <w:tcW w:w="180" w:type="pct"/>
                  <w:vMerge w:val="continue"/>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54" w:type="pct"/>
                  <w:shd w:val="clear" w:color="auto" w:fill="FFFFFF"/>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color w:val="auto"/>
                      <w:sz w:val="18"/>
                      <w:szCs w:val="18"/>
                      <w:highlight w:val="none"/>
                    </w:rPr>
                    <w:t>5</w:t>
                  </w:r>
                </w:p>
              </w:tc>
              <w:tc>
                <w:tcPr>
                  <w:tcW w:w="420"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锻造进出料机</w:t>
                  </w:r>
                </w:p>
              </w:tc>
              <w:tc>
                <w:tcPr>
                  <w:tcW w:w="420" w:type="pct"/>
                  <w:shd w:val="clear" w:color="auto" w:fill="auto"/>
                  <w:noWrap w:val="0"/>
                  <w:vAlign w:val="center"/>
                </w:tcPr>
                <w:p>
                  <w:pPr>
                    <w:jc w:val="center"/>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w:t>
                  </w:r>
                </w:p>
              </w:tc>
              <w:tc>
                <w:tcPr>
                  <w:tcW w:w="212"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3</w:t>
                  </w:r>
                </w:p>
              </w:tc>
              <w:tc>
                <w:tcPr>
                  <w:tcW w:w="448"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单台80，叠加后84.8</w:t>
                  </w:r>
                </w:p>
              </w:tc>
              <w:tc>
                <w:tcPr>
                  <w:tcW w:w="219" w:type="pct"/>
                  <w:vMerge w:val="continue"/>
                  <w:shd w:val="clear" w:color="auto" w:fill="FFFFFF"/>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p>
              </w:tc>
              <w:tc>
                <w:tcPr>
                  <w:tcW w:w="224"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Calibri"/>
                      <w:color w:val="auto"/>
                      <w:kern w:val="0"/>
                      <w:sz w:val="18"/>
                      <w:szCs w:val="18"/>
                      <w:lang w:val="en-US" w:eastAsia="zh-CN" w:bidi="ar-SA"/>
                    </w:rPr>
                  </w:pPr>
                  <w:r>
                    <w:rPr>
                      <w:rFonts w:hint="eastAsia" w:cs="Times New Roman"/>
                      <w:color w:val="auto"/>
                      <w:sz w:val="18"/>
                      <w:szCs w:val="18"/>
                      <w:highlight w:val="none"/>
                      <w:lang w:val="en-US" w:eastAsia="zh-CN"/>
                    </w:rPr>
                    <w:t>-127</w:t>
                  </w:r>
                </w:p>
              </w:tc>
              <w:tc>
                <w:tcPr>
                  <w:tcW w:w="196"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115</w:t>
                  </w:r>
                </w:p>
              </w:tc>
              <w:tc>
                <w:tcPr>
                  <w:tcW w:w="155" w:type="pct"/>
                  <w:shd w:val="clear" w:color="auto" w:fill="FFFFFF"/>
                  <w:noWrap w:val="0"/>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Calibri"/>
                      <w:color w:val="auto"/>
                      <w:kern w:val="0"/>
                      <w:sz w:val="18"/>
                      <w:szCs w:val="18"/>
                      <w:lang w:val="en-US" w:eastAsia="zh-CN" w:bidi="ar-SA"/>
                    </w:rPr>
                  </w:pPr>
                  <w:r>
                    <w:rPr>
                      <w:rFonts w:ascii="Times New Roman"/>
                      <w:color w:val="auto"/>
                      <w:sz w:val="18"/>
                      <w:szCs w:val="18"/>
                    </w:rPr>
                    <w:t>1</w:t>
                  </w:r>
                </w:p>
              </w:tc>
              <w:tc>
                <w:tcPr>
                  <w:tcW w:w="178" w:type="pct"/>
                  <w:shd w:val="clear" w:color="auto" w:fill="FFFFFF"/>
                  <w:noWrap w:val="0"/>
                  <w:vAlign w:val="center"/>
                </w:tcPr>
                <w:p>
                  <w:pPr>
                    <w:keepNext w:val="0"/>
                    <w:keepLines w:val="0"/>
                    <w:widowControl/>
                    <w:suppressLineNumbers w:val="0"/>
                    <w:jc w:val="center"/>
                    <w:textAlignment w:val="center"/>
                    <w:rPr>
                      <w:rFonts w:hint="eastAsia" w:ascii="Times New Roman" w:hAnsi="Calibri"/>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5</w:t>
                  </w:r>
                </w:p>
              </w:tc>
              <w:tc>
                <w:tcPr>
                  <w:tcW w:w="178" w:type="pct"/>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35</w:t>
                  </w:r>
                </w:p>
              </w:tc>
              <w:tc>
                <w:tcPr>
                  <w:tcW w:w="178" w:type="pct"/>
                  <w:shd w:val="clear" w:color="auto" w:fill="FFFFFF"/>
                  <w:noWrap w:val="0"/>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76</w:t>
                  </w:r>
                </w:p>
              </w:tc>
              <w:tc>
                <w:tcPr>
                  <w:tcW w:w="173" w:type="pct"/>
                  <w:shd w:val="clear" w:color="auto" w:fill="FFFFFF"/>
                  <w:noWrap w:val="0"/>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84</w:t>
                  </w:r>
                </w:p>
              </w:tc>
              <w:tc>
                <w:tcPr>
                  <w:tcW w:w="21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70.8</w:t>
                  </w:r>
                </w:p>
              </w:tc>
              <w:tc>
                <w:tcPr>
                  <w:tcW w:w="21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53.9</w:t>
                  </w:r>
                </w:p>
              </w:tc>
              <w:tc>
                <w:tcPr>
                  <w:tcW w:w="21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47.2</w:t>
                  </w:r>
                </w:p>
              </w:tc>
              <w:tc>
                <w:tcPr>
                  <w:tcW w:w="214"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46.3</w:t>
                  </w:r>
                </w:p>
              </w:tc>
              <w:tc>
                <w:tcPr>
                  <w:tcW w:w="269"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20</w:t>
                  </w:r>
                </w:p>
              </w:tc>
              <w:tc>
                <w:tcPr>
                  <w:tcW w:w="265" w:type="pct"/>
                  <w:vMerge w:val="continue"/>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p>
              </w:tc>
              <w:tc>
                <w:tcPr>
                  <w:tcW w:w="265" w:type="pct"/>
                  <w:vMerge w:val="continue"/>
                  <w:shd w:val="clear" w:color="auto" w:fill="FFFFFF"/>
                  <w:noWrap w:val="0"/>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Calibri"/>
                      <w:color w:val="auto"/>
                      <w:kern w:val="0"/>
                      <w:sz w:val="18"/>
                      <w:szCs w:val="18"/>
                      <w:lang w:val="en-US" w:eastAsia="zh-CN" w:bidi="ar-SA"/>
                    </w:rPr>
                  </w:pPr>
                </w:p>
              </w:tc>
              <w:tc>
                <w:tcPr>
                  <w:tcW w:w="180" w:type="pct"/>
                  <w:vMerge w:val="continue"/>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54" w:type="pct"/>
                  <w:shd w:val="clear" w:color="auto" w:fill="FFFFFF"/>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6</w:t>
                  </w:r>
                </w:p>
              </w:tc>
              <w:tc>
                <w:tcPr>
                  <w:tcW w:w="420"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台车式加热炉</w:t>
                  </w:r>
                </w:p>
              </w:tc>
              <w:tc>
                <w:tcPr>
                  <w:tcW w:w="420" w:type="pct"/>
                  <w:shd w:val="clear" w:color="auto" w:fill="auto"/>
                  <w:noWrap w:val="0"/>
                  <w:vAlign w:val="center"/>
                </w:tcPr>
                <w:p>
                  <w:pPr>
                    <w:jc w:val="center"/>
                    <w:rPr>
                      <w:rFonts w:hint="eastAsia" w:ascii="Times New Roman" w:hAnsi="Times New Roman" w:cs="Times New Roman"/>
                      <w:color w:val="auto"/>
                      <w:sz w:val="18"/>
                      <w:szCs w:val="18"/>
                      <w:lang w:val="en-US" w:eastAsia="zh-CN"/>
                    </w:rPr>
                  </w:pPr>
                  <w:r>
                    <w:rPr>
                      <w:rFonts w:hint="eastAsia" w:cs="Times New Roman"/>
                      <w:color w:val="auto"/>
                      <w:sz w:val="18"/>
                      <w:szCs w:val="18"/>
                      <w:lang w:val="en-US" w:eastAsia="zh-CN"/>
                    </w:rPr>
                    <w:t>/</w:t>
                  </w:r>
                </w:p>
              </w:tc>
              <w:tc>
                <w:tcPr>
                  <w:tcW w:w="212"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7</w:t>
                  </w:r>
                </w:p>
              </w:tc>
              <w:tc>
                <w:tcPr>
                  <w:tcW w:w="448"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单台</w:t>
                  </w:r>
                  <w:r>
                    <w:rPr>
                      <w:rFonts w:hint="eastAsia" w:ascii="Times New Roman" w:hAnsi="Times New Roman" w:eastAsia="宋体" w:cs="Times New Roman"/>
                      <w:color w:val="auto"/>
                      <w:sz w:val="18"/>
                      <w:szCs w:val="18"/>
                      <w:lang w:val="en-US" w:eastAsia="zh-CN"/>
                    </w:rPr>
                    <w:t>80</w:t>
                  </w:r>
                  <w:r>
                    <w:rPr>
                      <w:rFonts w:hint="eastAsia" w:cs="Times New Roman"/>
                      <w:color w:val="auto"/>
                      <w:sz w:val="18"/>
                      <w:szCs w:val="18"/>
                      <w:lang w:val="en-US" w:eastAsia="zh-CN"/>
                    </w:rPr>
                    <w:t>，叠加后88.5</w:t>
                  </w:r>
                </w:p>
              </w:tc>
              <w:tc>
                <w:tcPr>
                  <w:tcW w:w="219" w:type="pct"/>
                  <w:vMerge w:val="continue"/>
                  <w:shd w:val="clear" w:color="auto" w:fill="FFFFFF"/>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p>
              </w:tc>
              <w:tc>
                <w:tcPr>
                  <w:tcW w:w="224"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Calibri"/>
                      <w:color w:val="auto"/>
                      <w:kern w:val="0"/>
                      <w:sz w:val="18"/>
                      <w:szCs w:val="18"/>
                      <w:lang w:val="en-US" w:eastAsia="zh-CN" w:bidi="ar-SA"/>
                    </w:rPr>
                  </w:pPr>
                  <w:r>
                    <w:rPr>
                      <w:rFonts w:hint="eastAsia" w:cs="Times New Roman"/>
                      <w:color w:val="auto"/>
                      <w:sz w:val="18"/>
                      <w:szCs w:val="18"/>
                      <w:highlight w:val="none"/>
                      <w:lang w:val="en-US" w:eastAsia="zh-CN"/>
                    </w:rPr>
                    <w:t>-163</w:t>
                  </w:r>
                </w:p>
              </w:tc>
              <w:tc>
                <w:tcPr>
                  <w:tcW w:w="196"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154</w:t>
                  </w:r>
                </w:p>
              </w:tc>
              <w:tc>
                <w:tcPr>
                  <w:tcW w:w="155" w:type="pct"/>
                  <w:shd w:val="clear" w:color="auto" w:fill="FFFFFF"/>
                  <w:noWrap w:val="0"/>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Calibri"/>
                      <w:color w:val="auto"/>
                      <w:kern w:val="0"/>
                      <w:sz w:val="18"/>
                      <w:szCs w:val="18"/>
                      <w:lang w:val="en-US" w:eastAsia="zh-CN" w:bidi="ar-SA"/>
                    </w:rPr>
                  </w:pPr>
                  <w:r>
                    <w:rPr>
                      <w:rFonts w:ascii="Times New Roman"/>
                      <w:color w:val="auto"/>
                      <w:sz w:val="18"/>
                      <w:szCs w:val="18"/>
                    </w:rPr>
                    <w:t>1</w:t>
                  </w:r>
                </w:p>
              </w:tc>
              <w:tc>
                <w:tcPr>
                  <w:tcW w:w="178" w:type="pct"/>
                  <w:shd w:val="clear" w:color="auto" w:fill="FFFFFF"/>
                  <w:noWrap w:val="0"/>
                  <w:vAlign w:val="center"/>
                </w:tcPr>
                <w:p>
                  <w:pPr>
                    <w:keepNext w:val="0"/>
                    <w:keepLines w:val="0"/>
                    <w:widowControl/>
                    <w:suppressLineNumbers w:val="0"/>
                    <w:jc w:val="center"/>
                    <w:textAlignment w:val="center"/>
                    <w:rPr>
                      <w:rFonts w:hint="default" w:ascii="Times New Roman" w:hAnsi="Calibri" w:eastAsia="宋体"/>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8</w:t>
                  </w:r>
                </w:p>
              </w:tc>
              <w:tc>
                <w:tcPr>
                  <w:tcW w:w="178" w:type="pct"/>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32</w:t>
                  </w:r>
                </w:p>
              </w:tc>
              <w:tc>
                <w:tcPr>
                  <w:tcW w:w="178" w:type="pct"/>
                  <w:shd w:val="clear" w:color="auto" w:fill="FFFFFF"/>
                  <w:noWrap w:val="0"/>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128</w:t>
                  </w:r>
                </w:p>
              </w:tc>
              <w:tc>
                <w:tcPr>
                  <w:tcW w:w="173" w:type="pct"/>
                  <w:shd w:val="clear" w:color="auto" w:fill="FFFFFF"/>
                  <w:noWrap w:val="0"/>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32</w:t>
                  </w:r>
                </w:p>
              </w:tc>
              <w:tc>
                <w:tcPr>
                  <w:tcW w:w="21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70.4</w:t>
                  </w:r>
                </w:p>
              </w:tc>
              <w:tc>
                <w:tcPr>
                  <w:tcW w:w="21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58.4</w:t>
                  </w:r>
                </w:p>
              </w:tc>
              <w:tc>
                <w:tcPr>
                  <w:tcW w:w="21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46.4</w:t>
                  </w:r>
                </w:p>
              </w:tc>
              <w:tc>
                <w:tcPr>
                  <w:tcW w:w="214"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58.4</w:t>
                  </w:r>
                </w:p>
              </w:tc>
              <w:tc>
                <w:tcPr>
                  <w:tcW w:w="269"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20</w:t>
                  </w:r>
                </w:p>
              </w:tc>
              <w:tc>
                <w:tcPr>
                  <w:tcW w:w="265" w:type="pct"/>
                  <w:vMerge w:val="continue"/>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p>
              </w:tc>
              <w:tc>
                <w:tcPr>
                  <w:tcW w:w="265" w:type="pct"/>
                  <w:vMerge w:val="continue"/>
                  <w:shd w:val="clear" w:color="auto" w:fill="FFFFFF"/>
                  <w:noWrap w:val="0"/>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Calibri"/>
                      <w:color w:val="auto"/>
                      <w:kern w:val="0"/>
                      <w:sz w:val="18"/>
                      <w:szCs w:val="18"/>
                      <w:lang w:val="en-US" w:eastAsia="zh-CN" w:bidi="ar-SA"/>
                    </w:rPr>
                  </w:pPr>
                </w:p>
              </w:tc>
              <w:tc>
                <w:tcPr>
                  <w:tcW w:w="180" w:type="pct"/>
                  <w:vMerge w:val="continue"/>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54" w:type="pct"/>
                  <w:shd w:val="clear" w:color="auto" w:fill="FFFFFF"/>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7</w:t>
                  </w:r>
                </w:p>
              </w:tc>
              <w:tc>
                <w:tcPr>
                  <w:tcW w:w="420"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室式加热炉</w:t>
                  </w:r>
                </w:p>
              </w:tc>
              <w:tc>
                <w:tcPr>
                  <w:tcW w:w="420" w:type="pct"/>
                  <w:shd w:val="clear" w:color="auto" w:fill="auto"/>
                  <w:noWrap w:val="0"/>
                  <w:vAlign w:val="center"/>
                </w:tcPr>
                <w:p>
                  <w:pPr>
                    <w:jc w:val="center"/>
                    <w:rPr>
                      <w:rFonts w:hint="eastAsia" w:ascii="Times New Roman" w:hAnsi="Times New Roman" w:cs="Times New Roman"/>
                      <w:color w:val="auto"/>
                      <w:sz w:val="18"/>
                      <w:szCs w:val="18"/>
                      <w:lang w:val="en-US" w:eastAsia="zh-CN"/>
                    </w:rPr>
                  </w:pPr>
                  <w:r>
                    <w:rPr>
                      <w:rFonts w:hint="eastAsia" w:cs="Times New Roman"/>
                      <w:color w:val="auto"/>
                      <w:sz w:val="18"/>
                      <w:szCs w:val="18"/>
                      <w:lang w:val="en-US" w:eastAsia="zh-CN"/>
                    </w:rPr>
                    <w:t>/</w:t>
                  </w:r>
                </w:p>
              </w:tc>
              <w:tc>
                <w:tcPr>
                  <w:tcW w:w="212"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2</w:t>
                  </w:r>
                </w:p>
              </w:tc>
              <w:tc>
                <w:tcPr>
                  <w:tcW w:w="448"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lang w:val="en-US" w:eastAsia="zh-CN"/>
                    </w:rPr>
                    <w:t>单台</w:t>
                  </w:r>
                  <w:r>
                    <w:rPr>
                      <w:rFonts w:hint="eastAsia" w:ascii="Times New Roman" w:hAnsi="Times New Roman" w:eastAsia="宋体" w:cs="Times New Roman"/>
                      <w:color w:val="auto"/>
                      <w:sz w:val="18"/>
                      <w:szCs w:val="18"/>
                      <w:lang w:val="en-US" w:eastAsia="zh-CN"/>
                    </w:rPr>
                    <w:t>75</w:t>
                  </w:r>
                  <w:r>
                    <w:rPr>
                      <w:rFonts w:hint="eastAsia" w:cs="Times New Roman"/>
                      <w:color w:val="auto"/>
                      <w:sz w:val="18"/>
                      <w:szCs w:val="18"/>
                      <w:lang w:val="en-US" w:eastAsia="zh-CN"/>
                    </w:rPr>
                    <w:t>，叠加后78</w:t>
                  </w:r>
                </w:p>
              </w:tc>
              <w:tc>
                <w:tcPr>
                  <w:tcW w:w="219" w:type="pct"/>
                  <w:vMerge w:val="continue"/>
                  <w:shd w:val="clear" w:color="auto" w:fill="FFFFFF"/>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p>
              </w:tc>
              <w:tc>
                <w:tcPr>
                  <w:tcW w:w="224"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Calibri"/>
                      <w:color w:val="auto"/>
                      <w:kern w:val="0"/>
                      <w:sz w:val="18"/>
                      <w:szCs w:val="18"/>
                      <w:lang w:val="en-US" w:eastAsia="zh-CN" w:bidi="ar-SA"/>
                    </w:rPr>
                  </w:pPr>
                  <w:r>
                    <w:rPr>
                      <w:rFonts w:hint="eastAsia" w:cs="Times New Roman"/>
                      <w:color w:val="auto"/>
                      <w:sz w:val="18"/>
                      <w:szCs w:val="18"/>
                      <w:highlight w:val="none"/>
                      <w:lang w:val="en-US" w:eastAsia="zh-CN"/>
                    </w:rPr>
                    <w:t>-201</w:t>
                  </w:r>
                </w:p>
              </w:tc>
              <w:tc>
                <w:tcPr>
                  <w:tcW w:w="196"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194</w:t>
                  </w:r>
                </w:p>
              </w:tc>
              <w:tc>
                <w:tcPr>
                  <w:tcW w:w="155" w:type="pct"/>
                  <w:shd w:val="clear" w:color="auto" w:fill="FFFFFF"/>
                  <w:noWrap w:val="0"/>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Calibri"/>
                      <w:color w:val="auto"/>
                      <w:kern w:val="0"/>
                      <w:sz w:val="18"/>
                      <w:szCs w:val="18"/>
                      <w:lang w:val="en-US" w:eastAsia="zh-CN" w:bidi="ar-SA"/>
                    </w:rPr>
                  </w:pPr>
                  <w:r>
                    <w:rPr>
                      <w:rFonts w:ascii="Times New Roman"/>
                      <w:color w:val="auto"/>
                      <w:sz w:val="18"/>
                      <w:szCs w:val="18"/>
                    </w:rPr>
                    <w:t>1</w:t>
                  </w:r>
                </w:p>
              </w:tc>
              <w:tc>
                <w:tcPr>
                  <w:tcW w:w="178" w:type="pct"/>
                  <w:shd w:val="clear" w:color="auto" w:fill="FFFFFF"/>
                  <w:noWrap w:val="0"/>
                  <w:vAlign w:val="center"/>
                </w:tcPr>
                <w:p>
                  <w:pPr>
                    <w:keepNext w:val="0"/>
                    <w:keepLines w:val="0"/>
                    <w:widowControl/>
                    <w:suppressLineNumbers w:val="0"/>
                    <w:jc w:val="center"/>
                    <w:textAlignment w:val="center"/>
                    <w:rPr>
                      <w:rFonts w:hint="default" w:ascii="Times New Roman" w:hAnsi="Calibri" w:eastAsia="宋体"/>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2</w:t>
                  </w:r>
                </w:p>
              </w:tc>
              <w:tc>
                <w:tcPr>
                  <w:tcW w:w="178" w:type="pct"/>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38</w:t>
                  </w:r>
                </w:p>
              </w:tc>
              <w:tc>
                <w:tcPr>
                  <w:tcW w:w="178" w:type="pct"/>
                  <w:shd w:val="clear" w:color="auto" w:fill="FFFFFF"/>
                  <w:noWrap w:val="0"/>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138</w:t>
                  </w:r>
                </w:p>
              </w:tc>
              <w:tc>
                <w:tcPr>
                  <w:tcW w:w="173" w:type="pct"/>
                  <w:shd w:val="clear" w:color="auto" w:fill="FFFFFF"/>
                  <w:noWrap w:val="0"/>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22</w:t>
                  </w:r>
                </w:p>
              </w:tc>
              <w:tc>
                <w:tcPr>
                  <w:tcW w:w="21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72.0</w:t>
                  </w:r>
                </w:p>
              </w:tc>
              <w:tc>
                <w:tcPr>
                  <w:tcW w:w="21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46.4</w:t>
                  </w:r>
                </w:p>
              </w:tc>
              <w:tc>
                <w:tcPr>
                  <w:tcW w:w="21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35.2</w:t>
                  </w:r>
                </w:p>
              </w:tc>
              <w:tc>
                <w:tcPr>
                  <w:tcW w:w="214"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51.2</w:t>
                  </w:r>
                </w:p>
              </w:tc>
              <w:tc>
                <w:tcPr>
                  <w:tcW w:w="269"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20</w:t>
                  </w:r>
                </w:p>
              </w:tc>
              <w:tc>
                <w:tcPr>
                  <w:tcW w:w="265" w:type="pct"/>
                  <w:vMerge w:val="continue"/>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p>
              </w:tc>
              <w:tc>
                <w:tcPr>
                  <w:tcW w:w="265" w:type="pct"/>
                  <w:vMerge w:val="continue"/>
                  <w:shd w:val="clear" w:color="auto" w:fill="FFFFFF"/>
                  <w:noWrap w:val="0"/>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Calibri"/>
                      <w:color w:val="auto"/>
                      <w:kern w:val="0"/>
                      <w:sz w:val="18"/>
                      <w:szCs w:val="18"/>
                      <w:lang w:val="en-US" w:eastAsia="zh-CN" w:bidi="ar-SA"/>
                    </w:rPr>
                  </w:pPr>
                </w:p>
              </w:tc>
              <w:tc>
                <w:tcPr>
                  <w:tcW w:w="180" w:type="pct"/>
                  <w:vMerge w:val="continue"/>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54" w:type="pct"/>
                  <w:shd w:val="clear" w:color="auto" w:fill="FFFFFF"/>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8</w:t>
                  </w:r>
                </w:p>
              </w:tc>
              <w:tc>
                <w:tcPr>
                  <w:tcW w:w="420"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蓄热室式加热炉</w:t>
                  </w:r>
                </w:p>
              </w:tc>
              <w:tc>
                <w:tcPr>
                  <w:tcW w:w="420" w:type="pct"/>
                  <w:shd w:val="clear" w:color="auto" w:fill="auto"/>
                  <w:noWrap w:val="0"/>
                  <w:vAlign w:val="center"/>
                </w:tcPr>
                <w:p>
                  <w:pPr>
                    <w:jc w:val="center"/>
                    <w:rPr>
                      <w:rFonts w:hint="eastAsia" w:ascii="Times New Roman" w:hAnsi="Times New Roman" w:cs="Times New Roman"/>
                      <w:color w:val="auto"/>
                      <w:sz w:val="18"/>
                      <w:szCs w:val="18"/>
                      <w:lang w:val="en-US" w:eastAsia="zh-CN"/>
                    </w:rPr>
                  </w:pPr>
                  <w:r>
                    <w:rPr>
                      <w:rFonts w:hint="eastAsia" w:cs="Times New Roman"/>
                      <w:color w:val="auto"/>
                      <w:sz w:val="18"/>
                      <w:szCs w:val="18"/>
                      <w:lang w:val="en-US" w:eastAsia="zh-CN"/>
                    </w:rPr>
                    <w:t>/</w:t>
                  </w:r>
                </w:p>
              </w:tc>
              <w:tc>
                <w:tcPr>
                  <w:tcW w:w="212"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6</w:t>
                  </w:r>
                </w:p>
              </w:tc>
              <w:tc>
                <w:tcPr>
                  <w:tcW w:w="448"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lang w:val="en-US" w:eastAsia="zh-CN"/>
                    </w:rPr>
                    <w:t>单台</w:t>
                  </w:r>
                  <w:r>
                    <w:rPr>
                      <w:rFonts w:hint="eastAsia" w:ascii="Times New Roman" w:hAnsi="Times New Roman" w:eastAsia="宋体" w:cs="Times New Roman"/>
                      <w:color w:val="auto"/>
                      <w:sz w:val="18"/>
                      <w:szCs w:val="18"/>
                      <w:lang w:val="en-US" w:eastAsia="zh-CN"/>
                    </w:rPr>
                    <w:t>75</w:t>
                  </w:r>
                  <w:r>
                    <w:rPr>
                      <w:rFonts w:hint="eastAsia" w:cs="Times New Roman"/>
                      <w:color w:val="auto"/>
                      <w:sz w:val="18"/>
                      <w:szCs w:val="18"/>
                      <w:lang w:val="en-US" w:eastAsia="zh-CN"/>
                    </w:rPr>
                    <w:t>，叠加后82.8</w:t>
                  </w:r>
                </w:p>
              </w:tc>
              <w:tc>
                <w:tcPr>
                  <w:tcW w:w="219" w:type="pct"/>
                  <w:vMerge w:val="continue"/>
                  <w:shd w:val="clear" w:color="auto" w:fill="FFFFFF"/>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p>
              </w:tc>
              <w:tc>
                <w:tcPr>
                  <w:tcW w:w="224"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Calibri"/>
                      <w:color w:val="auto"/>
                      <w:kern w:val="0"/>
                      <w:sz w:val="18"/>
                      <w:szCs w:val="18"/>
                      <w:lang w:val="en-US" w:eastAsia="zh-CN" w:bidi="ar-SA"/>
                    </w:rPr>
                  </w:pPr>
                  <w:r>
                    <w:rPr>
                      <w:rFonts w:hint="eastAsia" w:cs="Times New Roman"/>
                      <w:color w:val="auto"/>
                      <w:sz w:val="18"/>
                      <w:szCs w:val="18"/>
                      <w:highlight w:val="none"/>
                      <w:lang w:val="en-US" w:eastAsia="zh-CN"/>
                    </w:rPr>
                    <w:t>-264</w:t>
                  </w:r>
                </w:p>
              </w:tc>
              <w:tc>
                <w:tcPr>
                  <w:tcW w:w="196"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234</w:t>
                  </w:r>
                </w:p>
              </w:tc>
              <w:tc>
                <w:tcPr>
                  <w:tcW w:w="155" w:type="pct"/>
                  <w:shd w:val="clear" w:color="auto" w:fill="FFFFFF"/>
                  <w:noWrap w:val="0"/>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Calibri"/>
                      <w:color w:val="auto"/>
                      <w:kern w:val="0"/>
                      <w:sz w:val="18"/>
                      <w:szCs w:val="18"/>
                      <w:lang w:val="en-US" w:eastAsia="zh-CN" w:bidi="ar-SA"/>
                    </w:rPr>
                  </w:pPr>
                  <w:r>
                    <w:rPr>
                      <w:rFonts w:ascii="Times New Roman"/>
                      <w:color w:val="auto"/>
                      <w:sz w:val="18"/>
                      <w:szCs w:val="18"/>
                    </w:rPr>
                    <w:t>1</w:t>
                  </w:r>
                </w:p>
              </w:tc>
              <w:tc>
                <w:tcPr>
                  <w:tcW w:w="178" w:type="pct"/>
                  <w:shd w:val="clear" w:color="auto" w:fill="FFFFFF"/>
                  <w:noWrap w:val="0"/>
                  <w:vAlign w:val="center"/>
                </w:tcPr>
                <w:p>
                  <w:pPr>
                    <w:keepNext w:val="0"/>
                    <w:keepLines w:val="0"/>
                    <w:widowControl/>
                    <w:suppressLineNumbers w:val="0"/>
                    <w:jc w:val="center"/>
                    <w:textAlignment w:val="center"/>
                    <w:rPr>
                      <w:rFonts w:hint="eastAsia" w:ascii="Times New Roman" w:hAnsi="Calibri"/>
                      <w:color w:val="auto"/>
                      <w:kern w:val="0"/>
                      <w:sz w:val="18"/>
                      <w:szCs w:val="18"/>
                      <w:lang w:val="en-US" w:eastAsia="zh-CN" w:bidi="ar-SA"/>
                    </w:rPr>
                  </w:pPr>
                  <w:r>
                    <w:rPr>
                      <w:rFonts w:hint="eastAsia" w:ascii="黑体" w:hAnsi="宋体" w:eastAsia="黑体" w:cs="黑体"/>
                      <w:i w:val="0"/>
                      <w:iCs w:val="0"/>
                      <w:color w:val="auto"/>
                      <w:kern w:val="0"/>
                      <w:sz w:val="18"/>
                      <w:szCs w:val="18"/>
                      <w:u w:val="none"/>
                      <w:lang w:val="en-US" w:eastAsia="zh-CN" w:bidi="ar"/>
                    </w:rPr>
                    <w:t>35</w:t>
                  </w:r>
                </w:p>
              </w:tc>
              <w:tc>
                <w:tcPr>
                  <w:tcW w:w="178" w:type="pct"/>
                  <w:shd w:val="clear" w:color="auto" w:fill="FFFFFF"/>
                  <w:noWrap w:val="0"/>
                  <w:vAlign w:val="center"/>
                </w:tcPr>
                <w:p>
                  <w:pPr>
                    <w:keepNext w:val="0"/>
                    <w:keepLines w:val="0"/>
                    <w:widowControl/>
                    <w:suppressLineNumbers w:val="0"/>
                    <w:jc w:val="center"/>
                    <w:textAlignment w:val="center"/>
                    <w:rPr>
                      <w:rFonts w:hint="default" w:ascii="Times New Roman" w:hAnsi="Calibri" w:eastAsia="黑体" w:cs="Times New Roman"/>
                      <w:color w:val="auto"/>
                      <w:spacing w:val="-10"/>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5</w:t>
                  </w:r>
                </w:p>
              </w:tc>
              <w:tc>
                <w:tcPr>
                  <w:tcW w:w="178" w:type="pct"/>
                  <w:shd w:val="clear" w:color="auto" w:fill="FFFFFF"/>
                  <w:noWrap w:val="0"/>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115</w:t>
                  </w:r>
                </w:p>
              </w:tc>
              <w:tc>
                <w:tcPr>
                  <w:tcW w:w="173" w:type="pct"/>
                  <w:shd w:val="clear" w:color="auto" w:fill="FFFFFF"/>
                  <w:noWrap w:val="0"/>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45</w:t>
                  </w:r>
                </w:p>
              </w:tc>
              <w:tc>
                <w:tcPr>
                  <w:tcW w:w="21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51.9</w:t>
                  </w:r>
                </w:p>
              </w:tc>
              <w:tc>
                <w:tcPr>
                  <w:tcW w:w="21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68.8</w:t>
                  </w:r>
                </w:p>
              </w:tc>
              <w:tc>
                <w:tcPr>
                  <w:tcW w:w="21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41.6</w:t>
                  </w:r>
                </w:p>
              </w:tc>
              <w:tc>
                <w:tcPr>
                  <w:tcW w:w="214"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49.7</w:t>
                  </w:r>
                </w:p>
              </w:tc>
              <w:tc>
                <w:tcPr>
                  <w:tcW w:w="269"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20</w:t>
                  </w:r>
                </w:p>
              </w:tc>
              <w:tc>
                <w:tcPr>
                  <w:tcW w:w="265" w:type="pct"/>
                  <w:vMerge w:val="continue"/>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p>
              </w:tc>
              <w:tc>
                <w:tcPr>
                  <w:tcW w:w="265" w:type="pct"/>
                  <w:vMerge w:val="continue"/>
                  <w:shd w:val="clear" w:color="auto" w:fill="FFFFFF"/>
                  <w:noWrap w:val="0"/>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Calibri"/>
                      <w:color w:val="auto"/>
                      <w:kern w:val="0"/>
                      <w:sz w:val="18"/>
                      <w:szCs w:val="18"/>
                      <w:lang w:val="en-US" w:eastAsia="zh-CN" w:bidi="ar-SA"/>
                    </w:rPr>
                  </w:pPr>
                </w:p>
              </w:tc>
              <w:tc>
                <w:tcPr>
                  <w:tcW w:w="180" w:type="pct"/>
                  <w:vMerge w:val="continue"/>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54" w:type="pct"/>
                  <w:shd w:val="clear" w:color="auto" w:fill="FFFFFF"/>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9</w:t>
                  </w:r>
                </w:p>
              </w:tc>
              <w:tc>
                <w:tcPr>
                  <w:tcW w:w="420"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双梁桥式起重机</w:t>
                  </w:r>
                </w:p>
              </w:tc>
              <w:tc>
                <w:tcPr>
                  <w:tcW w:w="420" w:type="pct"/>
                  <w:shd w:val="clear" w:color="auto" w:fill="auto"/>
                  <w:noWrap w:val="0"/>
                  <w:vAlign w:val="center"/>
                </w:tcPr>
                <w:p>
                  <w:pPr>
                    <w:jc w:val="center"/>
                    <w:rPr>
                      <w:rFonts w:hint="eastAsia" w:ascii="Times New Roman" w:hAnsi="Times New Roman" w:cs="Times New Roman"/>
                      <w:color w:val="auto"/>
                      <w:sz w:val="18"/>
                      <w:szCs w:val="18"/>
                      <w:lang w:val="en-US" w:eastAsia="zh-CN"/>
                    </w:rPr>
                  </w:pPr>
                  <w:r>
                    <w:rPr>
                      <w:rFonts w:hint="eastAsia" w:cs="Times New Roman"/>
                      <w:color w:val="auto"/>
                      <w:sz w:val="18"/>
                      <w:szCs w:val="18"/>
                      <w:lang w:val="en-US" w:eastAsia="zh-CN"/>
                    </w:rPr>
                    <w:t>/</w:t>
                  </w:r>
                </w:p>
              </w:tc>
              <w:tc>
                <w:tcPr>
                  <w:tcW w:w="212"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7</w:t>
                  </w:r>
                </w:p>
              </w:tc>
              <w:tc>
                <w:tcPr>
                  <w:tcW w:w="448"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lang w:val="en-US" w:eastAsia="zh-CN"/>
                    </w:rPr>
                    <w:t>单台</w:t>
                  </w:r>
                  <w:r>
                    <w:rPr>
                      <w:rFonts w:hint="eastAsia" w:ascii="Times New Roman" w:hAnsi="Times New Roman" w:eastAsia="宋体" w:cs="Times New Roman"/>
                      <w:color w:val="auto"/>
                      <w:sz w:val="18"/>
                      <w:szCs w:val="18"/>
                      <w:highlight w:val="none"/>
                      <w:lang w:val="en-US" w:eastAsia="zh-CN"/>
                    </w:rPr>
                    <w:t>85</w:t>
                  </w:r>
                  <w:r>
                    <w:rPr>
                      <w:rFonts w:hint="eastAsia" w:cs="Times New Roman"/>
                      <w:color w:val="auto"/>
                      <w:sz w:val="18"/>
                      <w:szCs w:val="18"/>
                      <w:highlight w:val="none"/>
                      <w:lang w:val="en-US" w:eastAsia="zh-CN"/>
                    </w:rPr>
                    <w:t>，</w:t>
                  </w:r>
                  <w:r>
                    <w:rPr>
                      <w:rFonts w:hint="eastAsia" w:cs="Times New Roman"/>
                      <w:color w:val="auto"/>
                      <w:sz w:val="18"/>
                      <w:szCs w:val="18"/>
                      <w:lang w:val="en-US" w:eastAsia="zh-CN"/>
                    </w:rPr>
                    <w:t>叠加后93.5</w:t>
                  </w:r>
                </w:p>
              </w:tc>
              <w:tc>
                <w:tcPr>
                  <w:tcW w:w="219" w:type="pct"/>
                  <w:vMerge w:val="continue"/>
                  <w:shd w:val="clear" w:color="auto" w:fill="FFFFFF"/>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p>
              </w:tc>
              <w:tc>
                <w:tcPr>
                  <w:tcW w:w="224"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Calibri"/>
                      <w:color w:val="auto"/>
                      <w:kern w:val="0"/>
                      <w:sz w:val="18"/>
                      <w:szCs w:val="18"/>
                      <w:lang w:val="en-US" w:eastAsia="zh-CN" w:bidi="ar-SA"/>
                    </w:rPr>
                  </w:pPr>
                  <w:r>
                    <w:rPr>
                      <w:rFonts w:hint="eastAsia" w:hAnsi="Calibri"/>
                      <w:color w:val="auto"/>
                      <w:kern w:val="0"/>
                      <w:sz w:val="18"/>
                      <w:szCs w:val="18"/>
                      <w:lang w:val="en-US" w:eastAsia="zh-CN" w:bidi="ar-SA"/>
                    </w:rPr>
                    <w:t>-6</w:t>
                  </w:r>
                </w:p>
              </w:tc>
              <w:tc>
                <w:tcPr>
                  <w:tcW w:w="196"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91</w:t>
                  </w:r>
                </w:p>
              </w:tc>
              <w:tc>
                <w:tcPr>
                  <w:tcW w:w="155" w:type="pct"/>
                  <w:shd w:val="clear" w:color="auto" w:fill="FFFFFF"/>
                  <w:noWrap w:val="0"/>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Calibri"/>
                      <w:color w:val="auto"/>
                      <w:kern w:val="0"/>
                      <w:sz w:val="18"/>
                      <w:szCs w:val="18"/>
                      <w:lang w:val="en-US" w:eastAsia="zh-CN" w:bidi="ar-SA"/>
                    </w:rPr>
                  </w:pPr>
                  <w:r>
                    <w:rPr>
                      <w:rFonts w:ascii="Times New Roman"/>
                      <w:color w:val="auto"/>
                      <w:sz w:val="18"/>
                      <w:szCs w:val="18"/>
                    </w:rPr>
                    <w:t>1</w:t>
                  </w:r>
                </w:p>
              </w:tc>
              <w:tc>
                <w:tcPr>
                  <w:tcW w:w="178" w:type="pct"/>
                  <w:shd w:val="clear" w:color="auto" w:fill="FFFFFF"/>
                  <w:noWrap w:val="0"/>
                  <w:vAlign w:val="center"/>
                </w:tcPr>
                <w:p>
                  <w:pPr>
                    <w:keepNext w:val="0"/>
                    <w:keepLines w:val="0"/>
                    <w:widowControl/>
                    <w:suppressLineNumbers w:val="0"/>
                    <w:jc w:val="center"/>
                    <w:textAlignment w:val="center"/>
                    <w:rPr>
                      <w:rFonts w:hint="eastAsia" w:ascii="Times New Roman" w:hAnsi="Calibri"/>
                      <w:color w:val="auto"/>
                      <w:kern w:val="0"/>
                      <w:sz w:val="18"/>
                      <w:szCs w:val="18"/>
                      <w:lang w:val="en-US" w:eastAsia="zh-CN" w:bidi="ar-SA"/>
                    </w:rPr>
                  </w:pPr>
                  <w:r>
                    <w:rPr>
                      <w:rFonts w:hint="eastAsia" w:ascii="黑体" w:hAnsi="宋体" w:eastAsia="黑体" w:cs="黑体"/>
                      <w:i w:val="0"/>
                      <w:iCs w:val="0"/>
                      <w:color w:val="auto"/>
                      <w:kern w:val="0"/>
                      <w:sz w:val="18"/>
                      <w:szCs w:val="18"/>
                      <w:u w:val="none"/>
                      <w:lang w:val="en-US" w:eastAsia="zh-CN" w:bidi="ar"/>
                    </w:rPr>
                    <w:t>35</w:t>
                  </w:r>
                </w:p>
              </w:tc>
              <w:tc>
                <w:tcPr>
                  <w:tcW w:w="178" w:type="pct"/>
                  <w:shd w:val="clear" w:color="auto" w:fill="FFFFFF"/>
                  <w:noWrap w:val="0"/>
                  <w:vAlign w:val="center"/>
                </w:tcPr>
                <w:p>
                  <w:pPr>
                    <w:keepNext w:val="0"/>
                    <w:keepLines w:val="0"/>
                    <w:widowControl/>
                    <w:suppressLineNumbers w:val="0"/>
                    <w:jc w:val="center"/>
                    <w:textAlignment w:val="center"/>
                    <w:rPr>
                      <w:rFonts w:hint="default" w:ascii="Times New Roman" w:hAnsi="Calibri" w:eastAsia="黑体" w:cs="Times New Roman"/>
                      <w:color w:val="auto"/>
                      <w:spacing w:val="-10"/>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5</w:t>
                  </w:r>
                </w:p>
              </w:tc>
              <w:tc>
                <w:tcPr>
                  <w:tcW w:w="178" w:type="pct"/>
                  <w:shd w:val="clear" w:color="auto" w:fill="FFFFFF"/>
                  <w:noWrap w:val="0"/>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107</w:t>
                  </w:r>
                </w:p>
              </w:tc>
              <w:tc>
                <w:tcPr>
                  <w:tcW w:w="173" w:type="pct"/>
                  <w:shd w:val="clear" w:color="auto" w:fill="FFFFFF"/>
                  <w:noWrap w:val="0"/>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53</w:t>
                  </w:r>
                </w:p>
              </w:tc>
              <w:tc>
                <w:tcPr>
                  <w:tcW w:w="21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62.6</w:t>
                  </w:r>
                </w:p>
              </w:tc>
              <w:tc>
                <w:tcPr>
                  <w:tcW w:w="21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79.5</w:t>
                  </w:r>
                </w:p>
              </w:tc>
              <w:tc>
                <w:tcPr>
                  <w:tcW w:w="21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52.9</w:t>
                  </w:r>
                </w:p>
              </w:tc>
              <w:tc>
                <w:tcPr>
                  <w:tcW w:w="214"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59.0</w:t>
                  </w:r>
                </w:p>
              </w:tc>
              <w:tc>
                <w:tcPr>
                  <w:tcW w:w="269"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20</w:t>
                  </w:r>
                </w:p>
              </w:tc>
              <w:tc>
                <w:tcPr>
                  <w:tcW w:w="265" w:type="pct"/>
                  <w:vMerge w:val="continue"/>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p>
              </w:tc>
              <w:tc>
                <w:tcPr>
                  <w:tcW w:w="265" w:type="pct"/>
                  <w:vMerge w:val="continue"/>
                  <w:shd w:val="clear" w:color="auto" w:fill="FFFFFF"/>
                  <w:noWrap w:val="0"/>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Calibri"/>
                      <w:color w:val="auto"/>
                      <w:kern w:val="0"/>
                      <w:sz w:val="18"/>
                      <w:szCs w:val="18"/>
                      <w:lang w:val="en-US" w:eastAsia="zh-CN" w:bidi="ar-SA"/>
                    </w:rPr>
                  </w:pPr>
                </w:p>
              </w:tc>
              <w:tc>
                <w:tcPr>
                  <w:tcW w:w="180" w:type="pct"/>
                  <w:vMerge w:val="continue"/>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54" w:type="pct"/>
                  <w:shd w:val="clear" w:color="auto" w:fill="FFFFFF"/>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10</w:t>
                  </w:r>
                </w:p>
              </w:tc>
              <w:tc>
                <w:tcPr>
                  <w:tcW w:w="420"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电动单梁桥式起重机</w:t>
                  </w:r>
                </w:p>
              </w:tc>
              <w:tc>
                <w:tcPr>
                  <w:tcW w:w="420" w:type="pct"/>
                  <w:shd w:val="clear" w:color="auto" w:fill="auto"/>
                  <w:noWrap w:val="0"/>
                  <w:vAlign w:val="center"/>
                </w:tcPr>
                <w:p>
                  <w:pPr>
                    <w:jc w:val="center"/>
                    <w:rPr>
                      <w:rFonts w:hint="eastAsia" w:ascii="Times New Roman" w:hAnsi="Times New Roman" w:cs="Times New Roman"/>
                      <w:color w:val="auto"/>
                      <w:sz w:val="18"/>
                      <w:szCs w:val="18"/>
                      <w:lang w:val="en-US" w:eastAsia="zh-CN"/>
                    </w:rPr>
                  </w:pPr>
                  <w:r>
                    <w:rPr>
                      <w:rFonts w:hint="eastAsia" w:cs="Times New Roman"/>
                      <w:color w:val="auto"/>
                      <w:sz w:val="18"/>
                      <w:szCs w:val="18"/>
                      <w:lang w:val="en-US" w:eastAsia="zh-CN"/>
                    </w:rPr>
                    <w:t>/</w:t>
                  </w:r>
                </w:p>
              </w:tc>
              <w:tc>
                <w:tcPr>
                  <w:tcW w:w="212" w:type="pct"/>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3</w:t>
                  </w:r>
                </w:p>
              </w:tc>
              <w:tc>
                <w:tcPr>
                  <w:tcW w:w="448"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lang w:val="en-US" w:eastAsia="zh-CN"/>
                    </w:rPr>
                    <w:t>单台</w:t>
                  </w:r>
                  <w:r>
                    <w:rPr>
                      <w:rFonts w:hint="eastAsia" w:ascii="Times New Roman" w:hAnsi="Times New Roman" w:eastAsia="宋体" w:cs="Times New Roman"/>
                      <w:color w:val="auto"/>
                      <w:sz w:val="18"/>
                      <w:szCs w:val="18"/>
                      <w:highlight w:val="none"/>
                      <w:lang w:val="en-US" w:eastAsia="zh-CN"/>
                    </w:rPr>
                    <w:t>85</w:t>
                  </w:r>
                  <w:r>
                    <w:rPr>
                      <w:rFonts w:hint="eastAsia" w:cs="Times New Roman"/>
                      <w:color w:val="auto"/>
                      <w:sz w:val="18"/>
                      <w:szCs w:val="18"/>
                      <w:highlight w:val="none"/>
                      <w:lang w:val="en-US" w:eastAsia="zh-CN"/>
                    </w:rPr>
                    <w:t>，</w:t>
                  </w:r>
                  <w:r>
                    <w:rPr>
                      <w:rFonts w:hint="eastAsia" w:cs="Times New Roman"/>
                      <w:color w:val="auto"/>
                      <w:sz w:val="18"/>
                      <w:szCs w:val="18"/>
                      <w:lang w:val="en-US" w:eastAsia="zh-CN"/>
                    </w:rPr>
                    <w:t>叠加后89.8</w:t>
                  </w:r>
                </w:p>
              </w:tc>
              <w:tc>
                <w:tcPr>
                  <w:tcW w:w="219" w:type="pct"/>
                  <w:vMerge w:val="continue"/>
                  <w:shd w:val="clear" w:color="auto" w:fill="FFFFFF"/>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p>
              </w:tc>
              <w:tc>
                <w:tcPr>
                  <w:tcW w:w="224"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Calibri"/>
                      <w:color w:val="auto"/>
                      <w:kern w:val="0"/>
                      <w:sz w:val="18"/>
                      <w:szCs w:val="18"/>
                      <w:lang w:val="en-US" w:eastAsia="zh-CN" w:bidi="ar-SA"/>
                    </w:rPr>
                  </w:pPr>
                  <w:r>
                    <w:rPr>
                      <w:rFonts w:hint="eastAsia" w:hAnsi="Calibri"/>
                      <w:color w:val="auto"/>
                      <w:kern w:val="0"/>
                      <w:sz w:val="18"/>
                      <w:szCs w:val="18"/>
                      <w:lang w:val="en-US" w:eastAsia="zh-CN" w:bidi="ar-SA"/>
                    </w:rPr>
                    <w:t>-15</w:t>
                  </w:r>
                </w:p>
              </w:tc>
              <w:tc>
                <w:tcPr>
                  <w:tcW w:w="196"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95</w:t>
                  </w:r>
                </w:p>
              </w:tc>
              <w:tc>
                <w:tcPr>
                  <w:tcW w:w="155" w:type="pct"/>
                  <w:shd w:val="clear" w:color="auto" w:fill="FFFFFF"/>
                  <w:noWrap w:val="0"/>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Calibri"/>
                      <w:color w:val="auto"/>
                      <w:kern w:val="0"/>
                      <w:sz w:val="18"/>
                      <w:szCs w:val="18"/>
                      <w:lang w:val="en-US" w:eastAsia="zh-CN" w:bidi="ar-SA"/>
                    </w:rPr>
                  </w:pPr>
                  <w:r>
                    <w:rPr>
                      <w:rFonts w:ascii="Times New Roman"/>
                      <w:color w:val="auto"/>
                      <w:sz w:val="18"/>
                      <w:szCs w:val="18"/>
                    </w:rPr>
                    <w:t>1</w:t>
                  </w:r>
                </w:p>
              </w:tc>
              <w:tc>
                <w:tcPr>
                  <w:tcW w:w="178" w:type="pct"/>
                  <w:shd w:val="clear" w:color="auto" w:fill="FFFFFF"/>
                  <w:noWrap w:val="0"/>
                  <w:vAlign w:val="center"/>
                </w:tcPr>
                <w:p>
                  <w:pPr>
                    <w:keepNext w:val="0"/>
                    <w:keepLines w:val="0"/>
                    <w:widowControl/>
                    <w:suppressLineNumbers w:val="0"/>
                    <w:jc w:val="center"/>
                    <w:textAlignment w:val="center"/>
                    <w:rPr>
                      <w:rFonts w:hint="eastAsia" w:ascii="Times New Roman" w:hAnsi="Calibri"/>
                      <w:color w:val="auto"/>
                      <w:kern w:val="0"/>
                      <w:sz w:val="18"/>
                      <w:szCs w:val="18"/>
                      <w:lang w:val="en-US" w:eastAsia="zh-CN" w:bidi="ar-SA"/>
                    </w:rPr>
                  </w:pPr>
                  <w:r>
                    <w:rPr>
                      <w:rFonts w:hint="eastAsia" w:ascii="黑体" w:hAnsi="宋体" w:eastAsia="黑体" w:cs="黑体"/>
                      <w:i w:val="0"/>
                      <w:iCs w:val="0"/>
                      <w:color w:val="auto"/>
                      <w:kern w:val="0"/>
                      <w:sz w:val="18"/>
                      <w:szCs w:val="18"/>
                      <w:u w:val="none"/>
                      <w:lang w:val="en-US" w:eastAsia="zh-CN" w:bidi="ar"/>
                    </w:rPr>
                    <w:t>32</w:t>
                  </w:r>
                </w:p>
              </w:tc>
              <w:tc>
                <w:tcPr>
                  <w:tcW w:w="178" w:type="pct"/>
                  <w:shd w:val="clear" w:color="auto" w:fill="FFFFFF"/>
                  <w:noWrap w:val="0"/>
                  <w:vAlign w:val="center"/>
                </w:tcPr>
                <w:p>
                  <w:pPr>
                    <w:keepNext w:val="0"/>
                    <w:keepLines w:val="0"/>
                    <w:widowControl/>
                    <w:suppressLineNumbers w:val="0"/>
                    <w:jc w:val="center"/>
                    <w:textAlignment w:val="center"/>
                    <w:rPr>
                      <w:rFonts w:hint="default" w:ascii="Times New Roman" w:hAnsi="Calibri" w:eastAsia="黑体" w:cs="Times New Roman"/>
                      <w:color w:val="auto"/>
                      <w:spacing w:val="-10"/>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8</w:t>
                  </w:r>
                </w:p>
              </w:tc>
              <w:tc>
                <w:tcPr>
                  <w:tcW w:w="178" w:type="pct"/>
                  <w:shd w:val="clear" w:color="auto" w:fill="FFFFFF"/>
                  <w:noWrap w:val="0"/>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82</w:t>
                  </w:r>
                </w:p>
              </w:tc>
              <w:tc>
                <w:tcPr>
                  <w:tcW w:w="173" w:type="pct"/>
                  <w:shd w:val="clear" w:color="auto" w:fill="FFFFFF"/>
                  <w:noWrap w:val="0"/>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78</w:t>
                  </w:r>
                </w:p>
              </w:tc>
              <w:tc>
                <w:tcPr>
                  <w:tcW w:w="21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59.7</w:t>
                  </w:r>
                </w:p>
              </w:tc>
              <w:tc>
                <w:tcPr>
                  <w:tcW w:w="21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71.7</w:t>
                  </w:r>
                </w:p>
              </w:tc>
              <w:tc>
                <w:tcPr>
                  <w:tcW w:w="21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51.5</w:t>
                  </w:r>
                </w:p>
              </w:tc>
              <w:tc>
                <w:tcPr>
                  <w:tcW w:w="214"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52.0</w:t>
                  </w:r>
                </w:p>
              </w:tc>
              <w:tc>
                <w:tcPr>
                  <w:tcW w:w="269"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20</w:t>
                  </w:r>
                </w:p>
              </w:tc>
              <w:tc>
                <w:tcPr>
                  <w:tcW w:w="265" w:type="pct"/>
                  <w:vMerge w:val="continue"/>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p>
              </w:tc>
              <w:tc>
                <w:tcPr>
                  <w:tcW w:w="265" w:type="pct"/>
                  <w:vMerge w:val="continue"/>
                  <w:shd w:val="clear" w:color="auto" w:fill="FFFFFF"/>
                  <w:noWrap w:val="0"/>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Calibri"/>
                      <w:color w:val="auto"/>
                      <w:kern w:val="0"/>
                      <w:sz w:val="18"/>
                      <w:szCs w:val="18"/>
                      <w:lang w:val="en-US" w:eastAsia="zh-CN" w:bidi="ar-SA"/>
                    </w:rPr>
                  </w:pPr>
                </w:p>
              </w:tc>
              <w:tc>
                <w:tcPr>
                  <w:tcW w:w="180" w:type="pct"/>
                  <w:vMerge w:val="continue"/>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54" w:type="pct"/>
                  <w:shd w:val="clear" w:color="auto" w:fill="FFFFFF"/>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11</w:t>
                  </w:r>
                </w:p>
              </w:tc>
              <w:tc>
                <w:tcPr>
                  <w:tcW w:w="420" w:type="pct"/>
                  <w:shd w:val="clear" w:color="auto" w:fill="auto"/>
                  <w:noWrap w:val="0"/>
                  <w:vAlign w:val="center"/>
                </w:tcPr>
                <w:p>
                  <w:pPr>
                    <w:jc w:val="center"/>
                    <w:rPr>
                      <w:rFonts w:hint="eastAsia" w:ascii="Times New Roman" w:hAnsi="Times New Roman" w:eastAsia="宋体" w:cs="Times New Roman"/>
                      <w:kern w:val="2"/>
                      <w:sz w:val="18"/>
                      <w:szCs w:val="18"/>
                      <w:lang w:val="en-US" w:eastAsia="zh-CN" w:bidi="ar-SA"/>
                    </w:rPr>
                  </w:pPr>
                  <w:r>
                    <w:rPr>
                      <w:rFonts w:hint="eastAsia" w:ascii="Times New Roman" w:hAnsi="Times New Roman" w:eastAsia="宋体" w:cs="Times New Roman"/>
                      <w:sz w:val="18"/>
                      <w:szCs w:val="18"/>
                      <w:lang w:val="en-US" w:eastAsia="zh-CN"/>
                    </w:rPr>
                    <w:t>锻造液压机</w:t>
                  </w:r>
                </w:p>
              </w:tc>
              <w:tc>
                <w:tcPr>
                  <w:tcW w:w="420" w:type="pct"/>
                  <w:shd w:val="clear" w:color="auto" w:fill="auto"/>
                  <w:noWrap w:val="0"/>
                  <w:vAlign w:val="center"/>
                </w:tcPr>
                <w:p>
                  <w:pPr>
                    <w:jc w:val="center"/>
                    <w:rPr>
                      <w:rFonts w:hint="eastAsia" w:ascii="Times New Roman" w:hAnsi="Times New Roman" w:eastAsia="宋体" w:cs="Times New Roman"/>
                      <w:sz w:val="18"/>
                      <w:szCs w:val="18"/>
                      <w:lang w:val="en-US" w:eastAsia="zh-CN"/>
                    </w:rPr>
                  </w:pPr>
                  <w:r>
                    <w:rPr>
                      <w:rFonts w:hint="eastAsia" w:cs="Times New Roman"/>
                      <w:color w:val="auto"/>
                      <w:sz w:val="18"/>
                      <w:szCs w:val="18"/>
                      <w:lang w:val="en-US" w:eastAsia="zh-CN"/>
                    </w:rPr>
                    <w:t>/</w:t>
                  </w:r>
                </w:p>
              </w:tc>
              <w:tc>
                <w:tcPr>
                  <w:tcW w:w="212" w:type="pct"/>
                  <w:shd w:val="clear" w:color="auto" w:fill="auto"/>
                  <w:noWrap w:val="0"/>
                  <w:vAlign w:val="center"/>
                </w:tcPr>
                <w:p>
                  <w:pPr>
                    <w:jc w:val="center"/>
                    <w:rPr>
                      <w:rFonts w:hint="eastAsia" w:ascii="Times New Roman" w:hAnsi="Times New Roman" w:eastAsia="宋体" w:cs="Times New Roman"/>
                      <w:kern w:val="2"/>
                      <w:sz w:val="18"/>
                      <w:szCs w:val="18"/>
                      <w:lang w:val="en-US" w:eastAsia="zh-CN" w:bidi="ar-SA"/>
                    </w:rPr>
                  </w:pPr>
                  <w:r>
                    <w:rPr>
                      <w:rFonts w:hint="eastAsia" w:cs="Times New Roman"/>
                      <w:sz w:val="18"/>
                      <w:szCs w:val="18"/>
                      <w:lang w:val="en-US" w:eastAsia="zh-CN"/>
                    </w:rPr>
                    <w:t>2</w:t>
                  </w:r>
                </w:p>
              </w:tc>
              <w:tc>
                <w:tcPr>
                  <w:tcW w:w="448"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lang w:val="en-US" w:eastAsia="zh-CN"/>
                    </w:rPr>
                    <w:t>单台</w:t>
                  </w:r>
                  <w:r>
                    <w:rPr>
                      <w:rFonts w:hint="eastAsia" w:ascii="Times New Roman" w:hAnsi="Times New Roman" w:eastAsia="宋体" w:cs="Times New Roman"/>
                      <w:color w:val="auto"/>
                      <w:sz w:val="18"/>
                      <w:szCs w:val="18"/>
                      <w:highlight w:val="none"/>
                      <w:lang w:val="en-US" w:eastAsia="zh-CN"/>
                    </w:rPr>
                    <w:t>85</w:t>
                  </w:r>
                  <w:r>
                    <w:rPr>
                      <w:rFonts w:hint="eastAsia" w:cs="Times New Roman"/>
                      <w:color w:val="auto"/>
                      <w:sz w:val="18"/>
                      <w:szCs w:val="18"/>
                      <w:highlight w:val="none"/>
                      <w:lang w:val="en-US" w:eastAsia="zh-CN"/>
                    </w:rPr>
                    <w:t>，</w:t>
                  </w:r>
                  <w:r>
                    <w:rPr>
                      <w:rFonts w:hint="eastAsia" w:cs="Times New Roman"/>
                      <w:color w:val="auto"/>
                      <w:sz w:val="18"/>
                      <w:szCs w:val="18"/>
                      <w:lang w:val="en-US" w:eastAsia="zh-CN"/>
                    </w:rPr>
                    <w:t>叠加后88</w:t>
                  </w:r>
                </w:p>
              </w:tc>
              <w:tc>
                <w:tcPr>
                  <w:tcW w:w="219" w:type="pct"/>
                  <w:vMerge w:val="continue"/>
                  <w:shd w:val="clear" w:color="auto" w:fill="FFFFFF"/>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p>
              </w:tc>
              <w:tc>
                <w:tcPr>
                  <w:tcW w:w="224"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Calibri"/>
                      <w:color w:val="auto"/>
                      <w:kern w:val="0"/>
                      <w:sz w:val="18"/>
                      <w:szCs w:val="18"/>
                      <w:lang w:val="en-US" w:eastAsia="zh-CN" w:bidi="ar-SA"/>
                    </w:rPr>
                  </w:pPr>
                  <w:r>
                    <w:rPr>
                      <w:rFonts w:hint="eastAsia" w:hAnsi="Calibri"/>
                      <w:color w:val="auto"/>
                      <w:kern w:val="0"/>
                      <w:sz w:val="18"/>
                      <w:szCs w:val="18"/>
                      <w:lang w:val="en-US" w:eastAsia="zh-CN" w:bidi="ar-SA"/>
                    </w:rPr>
                    <w:t>-31</w:t>
                  </w:r>
                </w:p>
              </w:tc>
              <w:tc>
                <w:tcPr>
                  <w:tcW w:w="196"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102</w:t>
                  </w:r>
                </w:p>
              </w:tc>
              <w:tc>
                <w:tcPr>
                  <w:tcW w:w="155" w:type="pct"/>
                  <w:shd w:val="clear" w:color="auto" w:fill="FFFFFF"/>
                  <w:noWrap w:val="0"/>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Calibri"/>
                      <w:color w:val="auto"/>
                      <w:kern w:val="0"/>
                      <w:sz w:val="18"/>
                      <w:szCs w:val="18"/>
                      <w:lang w:val="en-US" w:eastAsia="zh-CN" w:bidi="ar-SA"/>
                    </w:rPr>
                  </w:pPr>
                  <w:r>
                    <w:rPr>
                      <w:rFonts w:ascii="Times New Roman"/>
                      <w:color w:val="auto"/>
                      <w:sz w:val="18"/>
                      <w:szCs w:val="18"/>
                    </w:rPr>
                    <w:t>1</w:t>
                  </w:r>
                </w:p>
              </w:tc>
              <w:tc>
                <w:tcPr>
                  <w:tcW w:w="178" w:type="pct"/>
                  <w:shd w:val="clear" w:color="auto" w:fill="FFFFFF"/>
                  <w:noWrap w:val="0"/>
                  <w:vAlign w:val="center"/>
                </w:tcPr>
                <w:p>
                  <w:pPr>
                    <w:keepNext w:val="0"/>
                    <w:keepLines w:val="0"/>
                    <w:widowControl/>
                    <w:suppressLineNumbers w:val="0"/>
                    <w:jc w:val="center"/>
                    <w:textAlignment w:val="center"/>
                    <w:rPr>
                      <w:rFonts w:hint="default" w:ascii="Times New Roman" w:hAnsi="Calibri" w:eastAsia="宋体"/>
                      <w:color w:val="auto"/>
                      <w:kern w:val="0"/>
                      <w:sz w:val="18"/>
                      <w:szCs w:val="18"/>
                      <w:lang w:val="en-US" w:eastAsia="zh-CN" w:bidi="ar-SA"/>
                    </w:rPr>
                  </w:pPr>
                  <w:r>
                    <w:rPr>
                      <w:rFonts w:hint="eastAsia" w:ascii="黑体" w:hAnsi="宋体" w:eastAsia="黑体" w:cs="黑体"/>
                      <w:i w:val="0"/>
                      <w:iCs w:val="0"/>
                      <w:color w:val="auto"/>
                      <w:kern w:val="0"/>
                      <w:sz w:val="18"/>
                      <w:szCs w:val="18"/>
                      <w:u w:val="none"/>
                      <w:lang w:val="en-US" w:eastAsia="zh-CN" w:bidi="ar"/>
                    </w:rPr>
                    <w:t>32</w:t>
                  </w:r>
                </w:p>
              </w:tc>
              <w:tc>
                <w:tcPr>
                  <w:tcW w:w="178" w:type="pct"/>
                  <w:shd w:val="clear" w:color="auto" w:fill="FFFFFF"/>
                  <w:noWrap w:val="0"/>
                  <w:vAlign w:val="center"/>
                </w:tcPr>
                <w:p>
                  <w:pPr>
                    <w:keepNext w:val="0"/>
                    <w:keepLines w:val="0"/>
                    <w:widowControl/>
                    <w:suppressLineNumbers w:val="0"/>
                    <w:jc w:val="center"/>
                    <w:textAlignment w:val="center"/>
                    <w:rPr>
                      <w:rFonts w:hint="eastAsia" w:ascii="Times New Roman" w:hAnsi="Calibri" w:eastAsia="宋体" w:cs="Times New Roman"/>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8</w:t>
                  </w:r>
                </w:p>
              </w:tc>
              <w:tc>
                <w:tcPr>
                  <w:tcW w:w="178" w:type="pct"/>
                  <w:shd w:val="clear" w:color="auto" w:fill="FFFFFF"/>
                  <w:noWrap w:val="0"/>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118</w:t>
                  </w:r>
                </w:p>
              </w:tc>
              <w:tc>
                <w:tcPr>
                  <w:tcW w:w="173" w:type="pct"/>
                  <w:shd w:val="clear" w:color="auto" w:fill="FFFFFF"/>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42</w:t>
                  </w:r>
                </w:p>
              </w:tc>
              <w:tc>
                <w:tcPr>
                  <w:tcW w:w="21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57.9</w:t>
                  </w:r>
                </w:p>
              </w:tc>
              <w:tc>
                <w:tcPr>
                  <w:tcW w:w="21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69.9</w:t>
                  </w:r>
                </w:p>
              </w:tc>
              <w:tc>
                <w:tcPr>
                  <w:tcW w:w="21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46.6</w:t>
                  </w:r>
                </w:p>
              </w:tc>
              <w:tc>
                <w:tcPr>
                  <w:tcW w:w="214"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55.5</w:t>
                  </w:r>
                </w:p>
              </w:tc>
              <w:tc>
                <w:tcPr>
                  <w:tcW w:w="269"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20</w:t>
                  </w:r>
                </w:p>
              </w:tc>
              <w:tc>
                <w:tcPr>
                  <w:tcW w:w="265" w:type="pct"/>
                  <w:vMerge w:val="continue"/>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p>
              </w:tc>
              <w:tc>
                <w:tcPr>
                  <w:tcW w:w="265" w:type="pct"/>
                  <w:vMerge w:val="continue"/>
                  <w:shd w:val="clear" w:color="auto" w:fill="FFFFFF"/>
                  <w:noWrap w:val="0"/>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Calibri"/>
                      <w:color w:val="auto"/>
                      <w:kern w:val="0"/>
                      <w:sz w:val="18"/>
                      <w:szCs w:val="18"/>
                      <w:lang w:val="en-US" w:eastAsia="zh-CN" w:bidi="ar-SA"/>
                    </w:rPr>
                  </w:pPr>
                </w:p>
              </w:tc>
              <w:tc>
                <w:tcPr>
                  <w:tcW w:w="180" w:type="pct"/>
                  <w:vMerge w:val="continue"/>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54" w:type="pct"/>
                  <w:shd w:val="clear" w:color="auto" w:fill="FFFFFF"/>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12</w:t>
                  </w:r>
                </w:p>
              </w:tc>
              <w:tc>
                <w:tcPr>
                  <w:tcW w:w="420" w:type="pct"/>
                  <w:shd w:val="clear" w:color="auto" w:fill="auto"/>
                  <w:noWrap w:val="0"/>
                  <w:vAlign w:val="center"/>
                </w:tcPr>
                <w:p>
                  <w:pPr>
                    <w:jc w:val="center"/>
                    <w:rPr>
                      <w:rFonts w:hint="eastAsia" w:ascii="Times New Roman" w:hAnsi="Times New Roman" w:eastAsia="宋体" w:cs="Times New Roman"/>
                      <w:kern w:val="2"/>
                      <w:sz w:val="18"/>
                      <w:szCs w:val="18"/>
                      <w:lang w:val="en-US" w:eastAsia="zh-CN" w:bidi="ar-SA"/>
                    </w:rPr>
                  </w:pPr>
                  <w:r>
                    <w:rPr>
                      <w:rFonts w:hint="eastAsia" w:ascii="Times New Roman" w:hAnsi="Times New Roman" w:eastAsia="宋体" w:cs="Times New Roman"/>
                      <w:sz w:val="18"/>
                      <w:szCs w:val="18"/>
                      <w:lang w:val="en-US" w:eastAsia="zh-CN"/>
                    </w:rPr>
                    <w:t>80MN快速自由锻造油压机</w:t>
                  </w:r>
                </w:p>
              </w:tc>
              <w:tc>
                <w:tcPr>
                  <w:tcW w:w="420" w:type="pct"/>
                  <w:shd w:val="clear" w:color="auto" w:fill="auto"/>
                  <w:noWrap w:val="0"/>
                  <w:vAlign w:val="center"/>
                </w:tcPr>
                <w:p>
                  <w:pPr>
                    <w:jc w:val="center"/>
                    <w:rPr>
                      <w:rFonts w:hint="eastAsia" w:ascii="Times New Roman" w:hAnsi="Times New Roman" w:eastAsia="宋体" w:cs="Times New Roman"/>
                      <w:kern w:val="2"/>
                      <w:sz w:val="18"/>
                      <w:szCs w:val="18"/>
                      <w:lang w:val="en-US" w:eastAsia="zh-CN" w:bidi="ar-SA"/>
                    </w:rPr>
                  </w:pPr>
                  <w:r>
                    <w:rPr>
                      <w:rFonts w:hint="eastAsia"/>
                      <w:sz w:val="18"/>
                      <w:szCs w:val="18"/>
                    </w:rPr>
                    <w:t>75/80MN</w:t>
                  </w:r>
                </w:p>
              </w:tc>
              <w:tc>
                <w:tcPr>
                  <w:tcW w:w="212" w:type="pct"/>
                  <w:shd w:val="clear" w:color="auto" w:fill="auto"/>
                  <w:noWrap w:val="0"/>
                  <w:vAlign w:val="center"/>
                </w:tcPr>
                <w:p>
                  <w:pPr>
                    <w:jc w:val="center"/>
                    <w:rPr>
                      <w:rFonts w:hint="eastAsia" w:ascii="Times New Roman" w:hAnsi="Times New Roman" w:eastAsia="宋体" w:cs="Times New Roman"/>
                      <w:kern w:val="2"/>
                      <w:sz w:val="18"/>
                      <w:szCs w:val="18"/>
                      <w:lang w:val="en-US" w:eastAsia="zh-CN" w:bidi="ar-SA"/>
                    </w:rPr>
                  </w:pPr>
                  <w:r>
                    <w:rPr>
                      <w:rFonts w:hint="eastAsia" w:ascii="Times New Roman" w:hAnsi="Times New Roman" w:eastAsia="宋体" w:cs="Times New Roman"/>
                      <w:sz w:val="18"/>
                      <w:szCs w:val="18"/>
                      <w:lang w:val="en-US" w:eastAsia="zh-CN"/>
                    </w:rPr>
                    <w:t>1</w:t>
                  </w:r>
                </w:p>
              </w:tc>
              <w:tc>
                <w:tcPr>
                  <w:tcW w:w="448"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85</w:t>
                  </w:r>
                </w:p>
              </w:tc>
              <w:tc>
                <w:tcPr>
                  <w:tcW w:w="219" w:type="pct"/>
                  <w:vMerge w:val="continue"/>
                  <w:shd w:val="clear" w:color="auto" w:fill="FFFFFF"/>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p>
              </w:tc>
              <w:tc>
                <w:tcPr>
                  <w:tcW w:w="224"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Calibri" w:eastAsia="宋体"/>
                      <w:color w:val="auto"/>
                      <w:kern w:val="0"/>
                      <w:sz w:val="18"/>
                      <w:szCs w:val="18"/>
                      <w:lang w:val="en-US" w:eastAsia="zh-CN" w:bidi="ar-SA"/>
                    </w:rPr>
                  </w:pPr>
                  <w:r>
                    <w:rPr>
                      <w:rFonts w:hint="eastAsia" w:hAnsi="Calibri"/>
                      <w:color w:val="auto"/>
                      <w:kern w:val="0"/>
                      <w:sz w:val="18"/>
                      <w:szCs w:val="18"/>
                      <w:lang w:val="en-US" w:eastAsia="zh-CN" w:bidi="ar-SA"/>
                    </w:rPr>
                    <w:t>-44</w:t>
                  </w:r>
                </w:p>
              </w:tc>
              <w:tc>
                <w:tcPr>
                  <w:tcW w:w="196"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105</w:t>
                  </w:r>
                </w:p>
              </w:tc>
              <w:tc>
                <w:tcPr>
                  <w:tcW w:w="155" w:type="pct"/>
                  <w:shd w:val="clear" w:color="auto" w:fill="FFFFFF"/>
                  <w:noWrap w:val="0"/>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Calibri"/>
                      <w:color w:val="auto"/>
                      <w:kern w:val="0"/>
                      <w:sz w:val="18"/>
                      <w:szCs w:val="18"/>
                      <w:lang w:val="en-US" w:eastAsia="zh-CN" w:bidi="ar-SA"/>
                    </w:rPr>
                  </w:pPr>
                  <w:r>
                    <w:rPr>
                      <w:rFonts w:ascii="Times New Roman"/>
                      <w:color w:val="auto"/>
                      <w:sz w:val="18"/>
                      <w:szCs w:val="18"/>
                    </w:rPr>
                    <w:t>1</w:t>
                  </w:r>
                </w:p>
              </w:tc>
              <w:tc>
                <w:tcPr>
                  <w:tcW w:w="178" w:type="pct"/>
                  <w:shd w:val="clear" w:color="auto" w:fill="FFFFFF"/>
                  <w:noWrap w:val="0"/>
                  <w:vAlign w:val="center"/>
                </w:tcPr>
                <w:p>
                  <w:pPr>
                    <w:keepNext w:val="0"/>
                    <w:keepLines w:val="0"/>
                    <w:widowControl/>
                    <w:suppressLineNumbers w:val="0"/>
                    <w:jc w:val="center"/>
                    <w:textAlignment w:val="center"/>
                    <w:rPr>
                      <w:rFonts w:hint="eastAsia" w:ascii="Times New Roman" w:hAnsi="Calibri" w:eastAsia="宋体"/>
                      <w:color w:val="auto"/>
                      <w:kern w:val="0"/>
                      <w:sz w:val="18"/>
                      <w:szCs w:val="18"/>
                      <w:lang w:val="en-US" w:eastAsia="zh-CN" w:bidi="ar-SA"/>
                    </w:rPr>
                  </w:pPr>
                  <w:r>
                    <w:rPr>
                      <w:rFonts w:hint="eastAsia" w:ascii="黑体" w:hAnsi="宋体" w:eastAsia="黑体" w:cs="黑体"/>
                      <w:i w:val="0"/>
                      <w:iCs w:val="0"/>
                      <w:color w:val="auto"/>
                      <w:kern w:val="0"/>
                      <w:sz w:val="18"/>
                      <w:szCs w:val="18"/>
                      <w:u w:val="none"/>
                      <w:lang w:val="en-US" w:eastAsia="zh-CN" w:bidi="ar"/>
                    </w:rPr>
                    <w:t>33</w:t>
                  </w:r>
                </w:p>
              </w:tc>
              <w:tc>
                <w:tcPr>
                  <w:tcW w:w="178" w:type="pct"/>
                  <w:shd w:val="clear" w:color="auto" w:fill="FFFFFF"/>
                  <w:noWrap w:val="0"/>
                  <w:vAlign w:val="center"/>
                </w:tcPr>
                <w:p>
                  <w:pPr>
                    <w:keepNext w:val="0"/>
                    <w:keepLines w:val="0"/>
                    <w:widowControl/>
                    <w:suppressLineNumbers w:val="0"/>
                    <w:jc w:val="center"/>
                    <w:textAlignment w:val="center"/>
                    <w:rPr>
                      <w:rFonts w:hint="default" w:ascii="Times New Roman" w:hAnsi="Calibri" w:eastAsia="宋体" w:cs="Times New Roman"/>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7</w:t>
                  </w:r>
                </w:p>
              </w:tc>
              <w:tc>
                <w:tcPr>
                  <w:tcW w:w="178" w:type="pct"/>
                  <w:shd w:val="clear" w:color="auto" w:fill="FFFFFF"/>
                  <w:noWrap w:val="0"/>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106</w:t>
                  </w:r>
                </w:p>
              </w:tc>
              <w:tc>
                <w:tcPr>
                  <w:tcW w:w="173" w:type="pct"/>
                  <w:shd w:val="clear" w:color="auto" w:fill="FFFFFF"/>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54</w:t>
                  </w:r>
                </w:p>
              </w:tc>
              <w:tc>
                <w:tcPr>
                  <w:tcW w:w="21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54.6</w:t>
                  </w:r>
                </w:p>
              </w:tc>
              <w:tc>
                <w:tcPr>
                  <w:tcW w:w="21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68.1</w:t>
                  </w:r>
                </w:p>
              </w:tc>
              <w:tc>
                <w:tcPr>
                  <w:tcW w:w="21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44.5</w:t>
                  </w:r>
                </w:p>
              </w:tc>
              <w:tc>
                <w:tcPr>
                  <w:tcW w:w="214"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50.4</w:t>
                  </w:r>
                </w:p>
              </w:tc>
              <w:tc>
                <w:tcPr>
                  <w:tcW w:w="269"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rPr>
                    <w:t>20</w:t>
                  </w:r>
                </w:p>
              </w:tc>
              <w:tc>
                <w:tcPr>
                  <w:tcW w:w="265" w:type="pct"/>
                  <w:vMerge w:val="continue"/>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p>
              </w:tc>
              <w:tc>
                <w:tcPr>
                  <w:tcW w:w="265" w:type="pct"/>
                  <w:vMerge w:val="continue"/>
                  <w:shd w:val="clear" w:color="auto" w:fill="FFFFFF"/>
                  <w:noWrap w:val="0"/>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Calibri"/>
                      <w:color w:val="auto"/>
                      <w:kern w:val="0"/>
                      <w:sz w:val="18"/>
                      <w:szCs w:val="18"/>
                      <w:lang w:val="en-US" w:eastAsia="zh-CN" w:bidi="ar-SA"/>
                    </w:rPr>
                  </w:pPr>
                </w:p>
              </w:tc>
              <w:tc>
                <w:tcPr>
                  <w:tcW w:w="180" w:type="pct"/>
                  <w:vMerge w:val="continue"/>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54" w:type="pct"/>
                  <w:shd w:val="clear" w:color="auto" w:fill="FFFFFF"/>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13</w:t>
                  </w:r>
                </w:p>
              </w:tc>
              <w:tc>
                <w:tcPr>
                  <w:tcW w:w="420" w:type="pct"/>
                  <w:shd w:val="clear" w:color="auto" w:fill="auto"/>
                  <w:noWrap w:val="0"/>
                  <w:vAlign w:val="center"/>
                </w:tcPr>
                <w:p>
                  <w:pPr>
                    <w:jc w:val="center"/>
                    <w:rPr>
                      <w:rFonts w:hint="eastAsia" w:ascii="Times New Roman" w:hAnsi="Times New Roman" w:eastAsia="宋体" w:cs="Times New Roman"/>
                      <w:kern w:val="2"/>
                      <w:sz w:val="18"/>
                      <w:szCs w:val="18"/>
                      <w:lang w:val="en-US" w:eastAsia="zh-CN" w:bidi="ar-SA"/>
                    </w:rPr>
                  </w:pPr>
                  <w:r>
                    <w:rPr>
                      <w:rFonts w:hint="eastAsia" w:cs="Times New Roman"/>
                      <w:sz w:val="18"/>
                      <w:szCs w:val="18"/>
                      <w:lang w:val="en-US" w:eastAsia="zh-CN"/>
                    </w:rPr>
                    <w:t>80T</w:t>
                  </w:r>
                  <w:r>
                    <w:rPr>
                      <w:rFonts w:hint="eastAsia" w:ascii="Times New Roman" w:hAnsi="Times New Roman" w:eastAsia="宋体" w:cs="Times New Roman"/>
                      <w:sz w:val="18"/>
                      <w:szCs w:val="18"/>
                      <w:lang w:val="en-US" w:eastAsia="zh-CN"/>
                    </w:rPr>
                    <w:t>锻造操作机</w:t>
                  </w:r>
                </w:p>
              </w:tc>
              <w:tc>
                <w:tcPr>
                  <w:tcW w:w="420" w:type="pct"/>
                  <w:shd w:val="clear" w:color="auto" w:fill="auto"/>
                  <w:noWrap w:val="0"/>
                  <w:vAlign w:val="center"/>
                </w:tcPr>
                <w:p>
                  <w:pPr>
                    <w:jc w:val="center"/>
                    <w:rPr>
                      <w:rFonts w:hint="eastAsia" w:ascii="Times New Roman" w:hAnsi="Times New Roman" w:eastAsia="宋体" w:cs="Times New Roman"/>
                      <w:kern w:val="2"/>
                      <w:sz w:val="18"/>
                      <w:szCs w:val="18"/>
                      <w:lang w:val="en-US" w:eastAsia="zh-CN" w:bidi="ar-SA"/>
                    </w:rPr>
                  </w:pPr>
                  <w:r>
                    <w:rPr>
                      <w:rFonts w:hint="eastAsia"/>
                      <w:sz w:val="18"/>
                      <w:szCs w:val="18"/>
                    </w:rPr>
                    <w:t>CZJ-7-80/240</w:t>
                  </w:r>
                </w:p>
              </w:tc>
              <w:tc>
                <w:tcPr>
                  <w:tcW w:w="212" w:type="pct"/>
                  <w:shd w:val="clear" w:color="auto" w:fill="auto"/>
                  <w:noWrap w:val="0"/>
                  <w:vAlign w:val="center"/>
                </w:tcPr>
                <w:p>
                  <w:pPr>
                    <w:jc w:val="center"/>
                    <w:rPr>
                      <w:rFonts w:hint="eastAsia" w:ascii="Times New Roman" w:hAnsi="Times New Roman" w:eastAsia="宋体" w:cs="Times New Roman"/>
                      <w:kern w:val="2"/>
                      <w:sz w:val="18"/>
                      <w:szCs w:val="18"/>
                      <w:lang w:val="en-US" w:eastAsia="zh-CN" w:bidi="ar-SA"/>
                    </w:rPr>
                  </w:pPr>
                  <w:r>
                    <w:rPr>
                      <w:rFonts w:hint="eastAsia" w:ascii="Times New Roman" w:hAnsi="Times New Roman" w:eastAsia="宋体" w:cs="Times New Roman"/>
                      <w:sz w:val="18"/>
                      <w:szCs w:val="18"/>
                      <w:lang w:val="en-US" w:eastAsia="zh-CN"/>
                    </w:rPr>
                    <w:t>1</w:t>
                  </w:r>
                </w:p>
              </w:tc>
              <w:tc>
                <w:tcPr>
                  <w:tcW w:w="448"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75</w:t>
                  </w:r>
                </w:p>
              </w:tc>
              <w:tc>
                <w:tcPr>
                  <w:tcW w:w="219" w:type="pct"/>
                  <w:vMerge w:val="continue"/>
                  <w:shd w:val="clear" w:color="auto" w:fill="FFFFFF"/>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p>
              </w:tc>
              <w:tc>
                <w:tcPr>
                  <w:tcW w:w="224"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Calibri"/>
                      <w:color w:val="auto"/>
                      <w:kern w:val="0"/>
                      <w:sz w:val="18"/>
                      <w:szCs w:val="18"/>
                      <w:lang w:val="en-US" w:eastAsia="zh-CN" w:bidi="ar-SA"/>
                    </w:rPr>
                  </w:pPr>
                  <w:r>
                    <w:rPr>
                      <w:rFonts w:hint="eastAsia" w:hAnsi="Calibri"/>
                      <w:color w:val="auto"/>
                      <w:kern w:val="0"/>
                      <w:sz w:val="18"/>
                      <w:szCs w:val="18"/>
                      <w:lang w:val="en-US" w:eastAsia="zh-CN" w:bidi="ar-SA"/>
                    </w:rPr>
                    <w:t>-52</w:t>
                  </w:r>
                </w:p>
              </w:tc>
              <w:tc>
                <w:tcPr>
                  <w:tcW w:w="196"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105</w:t>
                  </w:r>
                </w:p>
              </w:tc>
              <w:tc>
                <w:tcPr>
                  <w:tcW w:w="155" w:type="pct"/>
                  <w:shd w:val="clear" w:color="auto" w:fill="FFFFFF"/>
                  <w:noWrap w:val="0"/>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Calibri"/>
                      <w:color w:val="auto"/>
                      <w:kern w:val="0"/>
                      <w:sz w:val="18"/>
                      <w:szCs w:val="18"/>
                      <w:lang w:val="en-US" w:eastAsia="zh-CN" w:bidi="ar-SA"/>
                    </w:rPr>
                  </w:pPr>
                  <w:r>
                    <w:rPr>
                      <w:rFonts w:ascii="Times New Roman"/>
                      <w:color w:val="auto"/>
                      <w:sz w:val="18"/>
                      <w:szCs w:val="18"/>
                    </w:rPr>
                    <w:t>1</w:t>
                  </w:r>
                </w:p>
              </w:tc>
              <w:tc>
                <w:tcPr>
                  <w:tcW w:w="178" w:type="pct"/>
                  <w:shd w:val="clear" w:color="auto" w:fill="FFFFFF"/>
                  <w:noWrap w:val="0"/>
                  <w:vAlign w:val="center"/>
                </w:tcPr>
                <w:p>
                  <w:pPr>
                    <w:keepNext w:val="0"/>
                    <w:keepLines w:val="0"/>
                    <w:widowControl/>
                    <w:suppressLineNumbers w:val="0"/>
                    <w:jc w:val="center"/>
                    <w:textAlignment w:val="center"/>
                    <w:rPr>
                      <w:rFonts w:hint="default" w:ascii="Times New Roman" w:hAnsi="Calibri" w:eastAsia="宋体"/>
                      <w:color w:val="auto"/>
                      <w:kern w:val="0"/>
                      <w:sz w:val="18"/>
                      <w:szCs w:val="18"/>
                      <w:lang w:val="en-US" w:eastAsia="zh-CN" w:bidi="ar-SA"/>
                    </w:rPr>
                  </w:pPr>
                  <w:r>
                    <w:rPr>
                      <w:rFonts w:hint="eastAsia" w:ascii="黑体" w:hAnsi="宋体" w:eastAsia="黑体" w:cs="黑体"/>
                      <w:i w:val="0"/>
                      <w:iCs w:val="0"/>
                      <w:color w:val="auto"/>
                      <w:kern w:val="0"/>
                      <w:sz w:val="18"/>
                      <w:szCs w:val="18"/>
                      <w:u w:val="none"/>
                      <w:lang w:val="en-US" w:eastAsia="zh-CN" w:bidi="ar"/>
                    </w:rPr>
                    <w:t>35</w:t>
                  </w:r>
                </w:p>
              </w:tc>
              <w:tc>
                <w:tcPr>
                  <w:tcW w:w="178" w:type="pct"/>
                  <w:shd w:val="clear" w:color="auto" w:fill="FFFFFF"/>
                  <w:noWrap w:val="0"/>
                  <w:vAlign w:val="center"/>
                </w:tcPr>
                <w:p>
                  <w:pPr>
                    <w:keepNext w:val="0"/>
                    <w:keepLines w:val="0"/>
                    <w:widowControl/>
                    <w:suppressLineNumbers w:val="0"/>
                    <w:jc w:val="center"/>
                    <w:textAlignment w:val="center"/>
                    <w:rPr>
                      <w:rFonts w:hint="default" w:ascii="Times New Roman" w:hAnsi="Calibri" w:eastAsia="宋体" w:cs="Times New Roman"/>
                      <w:color w:val="auto"/>
                      <w:spacing w:val="-10"/>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5</w:t>
                  </w:r>
                </w:p>
              </w:tc>
              <w:tc>
                <w:tcPr>
                  <w:tcW w:w="178" w:type="pct"/>
                  <w:shd w:val="clear" w:color="auto" w:fill="FFFFFF"/>
                  <w:noWrap w:val="0"/>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93</w:t>
                  </w:r>
                </w:p>
              </w:tc>
              <w:tc>
                <w:tcPr>
                  <w:tcW w:w="173" w:type="pct"/>
                  <w:shd w:val="clear" w:color="auto" w:fill="FFFFFF"/>
                  <w:noWrap w:val="0"/>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67</w:t>
                  </w:r>
                </w:p>
              </w:tc>
              <w:tc>
                <w:tcPr>
                  <w:tcW w:w="21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44.1</w:t>
                  </w:r>
                </w:p>
              </w:tc>
              <w:tc>
                <w:tcPr>
                  <w:tcW w:w="21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61.0</w:t>
                  </w:r>
                </w:p>
              </w:tc>
              <w:tc>
                <w:tcPr>
                  <w:tcW w:w="21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35.6</w:t>
                  </w:r>
                </w:p>
              </w:tc>
              <w:tc>
                <w:tcPr>
                  <w:tcW w:w="214"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38.5</w:t>
                  </w:r>
                </w:p>
              </w:tc>
              <w:tc>
                <w:tcPr>
                  <w:tcW w:w="269"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rPr>
                    <w:t>20</w:t>
                  </w:r>
                </w:p>
              </w:tc>
              <w:tc>
                <w:tcPr>
                  <w:tcW w:w="265" w:type="pct"/>
                  <w:vMerge w:val="continue"/>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p>
              </w:tc>
              <w:tc>
                <w:tcPr>
                  <w:tcW w:w="265" w:type="pct"/>
                  <w:vMerge w:val="continue"/>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color w:val="auto"/>
                      <w:sz w:val="18"/>
                      <w:szCs w:val="18"/>
                      <w:highlight w:val="none"/>
                      <w:lang w:val="en-US" w:eastAsia="zh-CN"/>
                    </w:rPr>
                  </w:pPr>
                </w:p>
              </w:tc>
              <w:tc>
                <w:tcPr>
                  <w:tcW w:w="180" w:type="pct"/>
                  <w:vMerge w:val="continue"/>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54" w:type="pct"/>
                  <w:shd w:val="clear" w:color="auto" w:fill="FFFFFF"/>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14</w:t>
                  </w:r>
                </w:p>
              </w:tc>
              <w:tc>
                <w:tcPr>
                  <w:tcW w:w="420" w:type="pct"/>
                  <w:shd w:val="clear" w:color="auto" w:fill="auto"/>
                  <w:noWrap w:val="0"/>
                  <w:vAlign w:val="center"/>
                </w:tcPr>
                <w:p>
                  <w:pPr>
                    <w:jc w:val="center"/>
                    <w:rPr>
                      <w:rFonts w:hint="eastAsia" w:ascii="Times New Roman" w:hAnsi="Times New Roman" w:eastAsia="宋体" w:cs="Times New Roman"/>
                      <w:kern w:val="2"/>
                      <w:sz w:val="18"/>
                      <w:szCs w:val="18"/>
                      <w:lang w:val="en-US" w:eastAsia="zh-CN" w:bidi="ar-SA"/>
                    </w:rPr>
                  </w:pPr>
                  <w:r>
                    <w:rPr>
                      <w:rFonts w:hint="eastAsia" w:cs="Times New Roman"/>
                      <w:sz w:val="18"/>
                      <w:szCs w:val="18"/>
                      <w:lang w:val="en-US" w:eastAsia="zh-CN"/>
                    </w:rPr>
                    <w:t>50T</w:t>
                  </w:r>
                  <w:r>
                    <w:rPr>
                      <w:rFonts w:hint="eastAsia" w:ascii="Times New Roman" w:hAnsi="Times New Roman" w:eastAsia="宋体" w:cs="Times New Roman"/>
                      <w:sz w:val="18"/>
                      <w:szCs w:val="18"/>
                      <w:lang w:val="en-US" w:eastAsia="zh-CN"/>
                    </w:rPr>
                    <w:t>锻造装取料机</w:t>
                  </w:r>
                </w:p>
              </w:tc>
              <w:tc>
                <w:tcPr>
                  <w:tcW w:w="420" w:type="pct"/>
                  <w:shd w:val="clear" w:color="auto" w:fill="auto"/>
                  <w:noWrap w:val="0"/>
                  <w:vAlign w:val="center"/>
                </w:tcPr>
                <w:p>
                  <w:pPr>
                    <w:jc w:val="center"/>
                    <w:rPr>
                      <w:rFonts w:hint="eastAsia" w:ascii="Times New Roman" w:hAnsi="Times New Roman" w:eastAsia="宋体" w:cs="Times New Roman"/>
                      <w:kern w:val="2"/>
                      <w:sz w:val="18"/>
                      <w:szCs w:val="18"/>
                      <w:lang w:val="en-US" w:eastAsia="zh-CN" w:bidi="ar-SA"/>
                    </w:rPr>
                  </w:pPr>
                  <w:r>
                    <w:rPr>
                      <w:rFonts w:hint="eastAsia"/>
                      <w:sz w:val="18"/>
                      <w:szCs w:val="18"/>
                    </w:rPr>
                    <w:t>ZQLP-50</w:t>
                  </w:r>
                </w:p>
              </w:tc>
              <w:tc>
                <w:tcPr>
                  <w:tcW w:w="212" w:type="pct"/>
                  <w:shd w:val="clear" w:color="auto" w:fill="auto"/>
                  <w:noWrap w:val="0"/>
                  <w:vAlign w:val="center"/>
                </w:tcPr>
                <w:p>
                  <w:pPr>
                    <w:jc w:val="center"/>
                    <w:rPr>
                      <w:rFonts w:hint="eastAsia" w:ascii="Times New Roman" w:hAnsi="Times New Roman" w:eastAsia="宋体" w:cs="Times New Roman"/>
                      <w:kern w:val="2"/>
                      <w:sz w:val="18"/>
                      <w:szCs w:val="18"/>
                      <w:lang w:val="en-US" w:eastAsia="zh-CN" w:bidi="ar-SA"/>
                    </w:rPr>
                  </w:pPr>
                  <w:r>
                    <w:rPr>
                      <w:rFonts w:hint="eastAsia" w:ascii="Times New Roman" w:hAnsi="Times New Roman" w:eastAsia="宋体" w:cs="Times New Roman"/>
                      <w:sz w:val="18"/>
                      <w:szCs w:val="18"/>
                      <w:lang w:val="en-US" w:eastAsia="zh-CN"/>
                    </w:rPr>
                    <w:t>1</w:t>
                  </w:r>
                </w:p>
              </w:tc>
              <w:tc>
                <w:tcPr>
                  <w:tcW w:w="448"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75</w:t>
                  </w:r>
                </w:p>
              </w:tc>
              <w:tc>
                <w:tcPr>
                  <w:tcW w:w="219" w:type="pct"/>
                  <w:vMerge w:val="continue"/>
                  <w:shd w:val="clear" w:color="auto" w:fill="FFFFFF"/>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p>
              </w:tc>
              <w:tc>
                <w:tcPr>
                  <w:tcW w:w="224"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Calibri"/>
                      <w:color w:val="auto"/>
                      <w:kern w:val="0"/>
                      <w:sz w:val="18"/>
                      <w:szCs w:val="18"/>
                      <w:lang w:val="en-US" w:eastAsia="zh-CN" w:bidi="ar-SA"/>
                    </w:rPr>
                  </w:pPr>
                  <w:r>
                    <w:rPr>
                      <w:rFonts w:hint="eastAsia" w:hAnsi="Calibri"/>
                      <w:color w:val="auto"/>
                      <w:kern w:val="0"/>
                      <w:sz w:val="18"/>
                      <w:szCs w:val="18"/>
                      <w:lang w:val="en-US" w:eastAsia="zh-CN" w:bidi="ar-SA"/>
                    </w:rPr>
                    <w:t>-54</w:t>
                  </w:r>
                </w:p>
              </w:tc>
              <w:tc>
                <w:tcPr>
                  <w:tcW w:w="196"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111</w:t>
                  </w:r>
                </w:p>
              </w:tc>
              <w:tc>
                <w:tcPr>
                  <w:tcW w:w="155" w:type="pct"/>
                  <w:shd w:val="clear" w:color="auto" w:fill="FFFFFF"/>
                  <w:noWrap w:val="0"/>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Calibri"/>
                      <w:color w:val="auto"/>
                      <w:kern w:val="0"/>
                      <w:sz w:val="18"/>
                      <w:szCs w:val="18"/>
                      <w:lang w:val="en-US" w:eastAsia="zh-CN" w:bidi="ar-SA"/>
                    </w:rPr>
                  </w:pPr>
                  <w:r>
                    <w:rPr>
                      <w:rFonts w:ascii="Times New Roman"/>
                      <w:color w:val="auto"/>
                      <w:sz w:val="18"/>
                      <w:szCs w:val="18"/>
                    </w:rPr>
                    <w:t>1</w:t>
                  </w:r>
                </w:p>
              </w:tc>
              <w:tc>
                <w:tcPr>
                  <w:tcW w:w="178" w:type="pct"/>
                  <w:shd w:val="clear" w:color="auto" w:fill="FFFFFF"/>
                  <w:noWrap w:val="0"/>
                  <w:vAlign w:val="center"/>
                </w:tcPr>
                <w:p>
                  <w:pPr>
                    <w:keepNext w:val="0"/>
                    <w:keepLines w:val="0"/>
                    <w:widowControl/>
                    <w:suppressLineNumbers w:val="0"/>
                    <w:jc w:val="center"/>
                    <w:textAlignment w:val="center"/>
                    <w:rPr>
                      <w:rFonts w:hint="default" w:ascii="Times New Roman" w:hAnsi="Calibri" w:eastAsia="宋体"/>
                      <w:color w:val="auto"/>
                      <w:kern w:val="0"/>
                      <w:sz w:val="18"/>
                      <w:szCs w:val="18"/>
                      <w:lang w:val="en-US" w:eastAsia="zh-CN" w:bidi="ar-SA"/>
                    </w:rPr>
                  </w:pPr>
                  <w:r>
                    <w:rPr>
                      <w:rFonts w:hint="eastAsia" w:ascii="黑体" w:hAnsi="宋体" w:eastAsia="黑体" w:cs="黑体"/>
                      <w:i w:val="0"/>
                      <w:iCs w:val="0"/>
                      <w:color w:val="auto"/>
                      <w:kern w:val="0"/>
                      <w:sz w:val="18"/>
                      <w:szCs w:val="18"/>
                      <w:u w:val="none"/>
                      <w:lang w:val="en-US" w:eastAsia="zh-CN" w:bidi="ar"/>
                    </w:rPr>
                    <w:t>35</w:t>
                  </w:r>
                </w:p>
              </w:tc>
              <w:tc>
                <w:tcPr>
                  <w:tcW w:w="178" w:type="pct"/>
                  <w:shd w:val="clear" w:color="auto" w:fill="FFFFFF"/>
                  <w:noWrap w:val="0"/>
                  <w:vAlign w:val="center"/>
                </w:tcPr>
                <w:p>
                  <w:pPr>
                    <w:keepNext w:val="0"/>
                    <w:keepLines w:val="0"/>
                    <w:widowControl/>
                    <w:suppressLineNumbers w:val="0"/>
                    <w:jc w:val="center"/>
                    <w:textAlignment w:val="center"/>
                    <w:rPr>
                      <w:rFonts w:hint="default" w:ascii="Times New Roman" w:hAnsi="Calibri" w:eastAsia="宋体" w:cs="Times New Roman"/>
                      <w:color w:val="auto"/>
                      <w:spacing w:val="-10"/>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5</w:t>
                  </w:r>
                </w:p>
              </w:tc>
              <w:tc>
                <w:tcPr>
                  <w:tcW w:w="178" w:type="pct"/>
                  <w:shd w:val="clear" w:color="auto" w:fill="FFFFFF"/>
                  <w:noWrap w:val="0"/>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85</w:t>
                  </w:r>
                </w:p>
              </w:tc>
              <w:tc>
                <w:tcPr>
                  <w:tcW w:w="173" w:type="pct"/>
                  <w:shd w:val="clear" w:color="auto" w:fill="FFFFFF"/>
                  <w:noWrap w:val="0"/>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75</w:t>
                  </w:r>
                </w:p>
              </w:tc>
              <w:tc>
                <w:tcPr>
                  <w:tcW w:w="21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44.1</w:t>
                  </w:r>
                </w:p>
              </w:tc>
              <w:tc>
                <w:tcPr>
                  <w:tcW w:w="21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61.0</w:t>
                  </w:r>
                </w:p>
              </w:tc>
              <w:tc>
                <w:tcPr>
                  <w:tcW w:w="21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36.4</w:t>
                  </w:r>
                </w:p>
              </w:tc>
              <w:tc>
                <w:tcPr>
                  <w:tcW w:w="214"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37.5</w:t>
                  </w:r>
                </w:p>
              </w:tc>
              <w:tc>
                <w:tcPr>
                  <w:tcW w:w="269"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rPr>
                    <w:t>20</w:t>
                  </w:r>
                </w:p>
              </w:tc>
              <w:tc>
                <w:tcPr>
                  <w:tcW w:w="265" w:type="pct"/>
                  <w:vMerge w:val="continue"/>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p>
              </w:tc>
              <w:tc>
                <w:tcPr>
                  <w:tcW w:w="265" w:type="pct"/>
                  <w:vMerge w:val="continue"/>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180" w:type="pct"/>
                  <w:vMerge w:val="continue"/>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54" w:type="pct"/>
                  <w:shd w:val="clear" w:color="auto" w:fill="FFFFFF"/>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15</w:t>
                  </w:r>
                </w:p>
              </w:tc>
              <w:tc>
                <w:tcPr>
                  <w:tcW w:w="420" w:type="pct"/>
                  <w:shd w:val="clear" w:color="auto" w:fill="FFFFFF"/>
                  <w:noWrap w:val="0"/>
                  <w:vAlign w:val="center"/>
                </w:tcPr>
                <w:p>
                  <w:pPr>
                    <w:jc w:val="center"/>
                    <w:rPr>
                      <w:rFonts w:hint="eastAsia" w:ascii="Times New Roman" w:hAnsi="Times New Roman" w:eastAsia="宋体" w:cs="Times New Roman"/>
                      <w:kern w:val="2"/>
                      <w:sz w:val="18"/>
                      <w:szCs w:val="18"/>
                      <w:lang w:val="en-US" w:eastAsia="zh-CN" w:bidi="ar-SA"/>
                    </w:rPr>
                  </w:pPr>
                  <w:r>
                    <w:rPr>
                      <w:rFonts w:hint="eastAsia" w:ascii="Times New Roman" w:hAnsi="Times New Roman" w:eastAsia="宋体" w:cs="Times New Roman"/>
                      <w:sz w:val="18"/>
                      <w:szCs w:val="18"/>
                      <w:lang w:val="en-US" w:eastAsia="zh-CN"/>
                    </w:rPr>
                    <w:t>天然气室式炉</w:t>
                  </w:r>
                </w:p>
              </w:tc>
              <w:tc>
                <w:tcPr>
                  <w:tcW w:w="420" w:type="pct"/>
                  <w:shd w:val="clear" w:color="auto" w:fill="FFFFFF"/>
                  <w:noWrap w:val="0"/>
                  <w:vAlign w:val="center"/>
                </w:tcPr>
                <w:p>
                  <w:pPr>
                    <w:jc w:val="center"/>
                    <w:rPr>
                      <w:rFonts w:hint="eastAsia" w:ascii="Times New Roman" w:hAnsi="Times New Roman" w:eastAsia="宋体" w:cs="Times New Roman"/>
                      <w:kern w:val="2"/>
                      <w:sz w:val="18"/>
                      <w:szCs w:val="18"/>
                      <w:lang w:val="en-US" w:eastAsia="zh-CN" w:bidi="ar-SA"/>
                    </w:rPr>
                  </w:pPr>
                  <w:r>
                    <w:rPr>
                      <w:rFonts w:hint="eastAsia"/>
                      <w:sz w:val="18"/>
                      <w:szCs w:val="18"/>
                    </w:rPr>
                    <w:t>5300*5300*3800/3400m</w:t>
                  </w:r>
                </w:p>
              </w:tc>
              <w:tc>
                <w:tcPr>
                  <w:tcW w:w="212" w:type="pct"/>
                  <w:shd w:val="clear" w:color="auto" w:fill="auto"/>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1</w:t>
                  </w:r>
                </w:p>
              </w:tc>
              <w:tc>
                <w:tcPr>
                  <w:tcW w:w="448"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80</w:t>
                  </w:r>
                </w:p>
              </w:tc>
              <w:tc>
                <w:tcPr>
                  <w:tcW w:w="219" w:type="pct"/>
                  <w:vMerge w:val="continue"/>
                  <w:shd w:val="clear" w:color="auto" w:fill="FFFFFF"/>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p>
              </w:tc>
              <w:tc>
                <w:tcPr>
                  <w:tcW w:w="224"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Calibri"/>
                      <w:color w:val="auto"/>
                      <w:kern w:val="0"/>
                      <w:sz w:val="18"/>
                      <w:szCs w:val="18"/>
                      <w:lang w:val="en-US" w:eastAsia="zh-CN" w:bidi="ar-SA"/>
                    </w:rPr>
                  </w:pPr>
                  <w:r>
                    <w:rPr>
                      <w:rFonts w:hint="eastAsia" w:hAnsi="Calibri"/>
                      <w:color w:val="auto"/>
                      <w:kern w:val="0"/>
                      <w:sz w:val="18"/>
                      <w:szCs w:val="18"/>
                      <w:lang w:val="en-US" w:eastAsia="zh-CN" w:bidi="ar-SA"/>
                    </w:rPr>
                    <w:t>-64</w:t>
                  </w:r>
                </w:p>
              </w:tc>
              <w:tc>
                <w:tcPr>
                  <w:tcW w:w="196"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112</w:t>
                  </w:r>
                </w:p>
              </w:tc>
              <w:tc>
                <w:tcPr>
                  <w:tcW w:w="155" w:type="pct"/>
                  <w:shd w:val="clear" w:color="auto" w:fill="FFFFFF"/>
                  <w:noWrap w:val="0"/>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Calibri"/>
                      <w:color w:val="auto"/>
                      <w:kern w:val="0"/>
                      <w:sz w:val="18"/>
                      <w:szCs w:val="18"/>
                      <w:lang w:val="en-US" w:eastAsia="zh-CN" w:bidi="ar-SA"/>
                    </w:rPr>
                  </w:pPr>
                  <w:r>
                    <w:rPr>
                      <w:rFonts w:ascii="Times New Roman"/>
                      <w:color w:val="auto"/>
                      <w:sz w:val="18"/>
                      <w:szCs w:val="18"/>
                    </w:rPr>
                    <w:t>1</w:t>
                  </w:r>
                </w:p>
              </w:tc>
              <w:tc>
                <w:tcPr>
                  <w:tcW w:w="178" w:type="pct"/>
                  <w:shd w:val="clear" w:color="auto" w:fill="FFFFFF"/>
                  <w:noWrap w:val="0"/>
                  <w:vAlign w:val="center"/>
                </w:tcPr>
                <w:p>
                  <w:pPr>
                    <w:keepNext w:val="0"/>
                    <w:keepLines w:val="0"/>
                    <w:widowControl/>
                    <w:suppressLineNumbers w:val="0"/>
                    <w:jc w:val="center"/>
                    <w:textAlignment w:val="center"/>
                    <w:rPr>
                      <w:rFonts w:hint="eastAsia" w:ascii="Times New Roman" w:hAnsi="Calibri"/>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3</w:t>
                  </w:r>
                </w:p>
              </w:tc>
              <w:tc>
                <w:tcPr>
                  <w:tcW w:w="178" w:type="pct"/>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37</w:t>
                  </w:r>
                </w:p>
              </w:tc>
              <w:tc>
                <w:tcPr>
                  <w:tcW w:w="178" w:type="pct"/>
                  <w:shd w:val="clear" w:color="auto" w:fill="FFFFFF"/>
                  <w:noWrap w:val="0"/>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137</w:t>
                  </w:r>
                </w:p>
              </w:tc>
              <w:tc>
                <w:tcPr>
                  <w:tcW w:w="173" w:type="pct"/>
                  <w:shd w:val="clear" w:color="auto" w:fill="FFFFFF"/>
                  <w:noWrap w:val="0"/>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23</w:t>
                  </w:r>
                </w:p>
              </w:tc>
              <w:tc>
                <w:tcPr>
                  <w:tcW w:w="21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70.5</w:t>
                  </w:r>
                </w:p>
              </w:tc>
              <w:tc>
                <w:tcPr>
                  <w:tcW w:w="21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48.6</w:t>
                  </w:r>
                </w:p>
              </w:tc>
              <w:tc>
                <w:tcPr>
                  <w:tcW w:w="21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37.3</w:t>
                  </w:r>
                </w:p>
              </w:tc>
              <w:tc>
                <w:tcPr>
                  <w:tcW w:w="214"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52.8</w:t>
                  </w:r>
                </w:p>
              </w:tc>
              <w:tc>
                <w:tcPr>
                  <w:tcW w:w="269"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rPr>
                    <w:t>20</w:t>
                  </w:r>
                </w:p>
              </w:tc>
              <w:tc>
                <w:tcPr>
                  <w:tcW w:w="265" w:type="pct"/>
                  <w:vMerge w:val="continue"/>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p>
              </w:tc>
              <w:tc>
                <w:tcPr>
                  <w:tcW w:w="265" w:type="pct"/>
                  <w:vMerge w:val="continue"/>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color w:val="auto"/>
                      <w:sz w:val="18"/>
                      <w:szCs w:val="18"/>
                      <w:highlight w:val="none"/>
                      <w:lang w:val="en-US" w:eastAsia="zh-CN"/>
                    </w:rPr>
                  </w:pPr>
                </w:p>
              </w:tc>
              <w:tc>
                <w:tcPr>
                  <w:tcW w:w="180" w:type="pct"/>
                  <w:vMerge w:val="continue"/>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54" w:type="pct"/>
                  <w:shd w:val="clear" w:color="auto" w:fill="FFFFFF"/>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16</w:t>
                  </w:r>
                </w:p>
              </w:tc>
              <w:tc>
                <w:tcPr>
                  <w:tcW w:w="420" w:type="pct"/>
                  <w:shd w:val="clear" w:color="auto" w:fill="FFFFFF"/>
                  <w:noWrap w:val="0"/>
                  <w:vAlign w:val="center"/>
                </w:tcPr>
                <w:p>
                  <w:pPr>
                    <w:jc w:val="center"/>
                    <w:rPr>
                      <w:rFonts w:hint="eastAsia" w:ascii="Times New Roman" w:hAnsi="Times New Roman" w:eastAsia="宋体" w:cs="Times New Roman"/>
                      <w:kern w:val="2"/>
                      <w:sz w:val="18"/>
                      <w:szCs w:val="18"/>
                      <w:lang w:val="en-US" w:eastAsia="zh-CN" w:bidi="ar-SA"/>
                    </w:rPr>
                  </w:pPr>
                  <w:r>
                    <w:rPr>
                      <w:rFonts w:hint="eastAsia" w:ascii="Times New Roman" w:hAnsi="Times New Roman" w:eastAsia="宋体" w:cs="Times New Roman"/>
                      <w:sz w:val="18"/>
                      <w:szCs w:val="18"/>
                      <w:lang w:val="en-US" w:eastAsia="zh-CN"/>
                    </w:rPr>
                    <w:t>通用桥式起重机</w:t>
                  </w:r>
                </w:p>
              </w:tc>
              <w:tc>
                <w:tcPr>
                  <w:tcW w:w="420" w:type="pct"/>
                  <w:shd w:val="clear" w:color="auto" w:fill="FFFFFF"/>
                  <w:noWrap w:val="0"/>
                  <w:vAlign w:val="center"/>
                </w:tcPr>
                <w:p>
                  <w:pPr>
                    <w:jc w:val="center"/>
                    <w:rPr>
                      <w:rFonts w:hint="eastAsia" w:ascii="Times New Roman" w:hAnsi="Times New Roman" w:eastAsia="宋体" w:cs="Times New Roman"/>
                      <w:kern w:val="2"/>
                      <w:sz w:val="18"/>
                      <w:szCs w:val="18"/>
                      <w:lang w:val="en-US" w:eastAsia="zh-CN" w:bidi="ar-SA"/>
                    </w:rPr>
                  </w:pPr>
                  <w:r>
                    <w:rPr>
                      <w:rFonts w:hint="eastAsia"/>
                      <w:sz w:val="18"/>
                      <w:szCs w:val="18"/>
                    </w:rPr>
                    <w:t>QD75/20-25.5 A6</w:t>
                  </w:r>
                </w:p>
              </w:tc>
              <w:tc>
                <w:tcPr>
                  <w:tcW w:w="212" w:type="pct"/>
                  <w:shd w:val="clear" w:color="auto" w:fill="auto"/>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18"/>
                      <w:szCs w:val="18"/>
                      <w:lang w:val="en-US" w:eastAsia="zh-CN"/>
                    </w:rPr>
                    <w:t>1</w:t>
                  </w:r>
                </w:p>
              </w:tc>
              <w:tc>
                <w:tcPr>
                  <w:tcW w:w="448"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80</w:t>
                  </w:r>
                </w:p>
              </w:tc>
              <w:tc>
                <w:tcPr>
                  <w:tcW w:w="219" w:type="pct"/>
                  <w:vMerge w:val="continue"/>
                  <w:shd w:val="clear" w:color="auto" w:fill="FFFFFF"/>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p>
              </w:tc>
              <w:tc>
                <w:tcPr>
                  <w:tcW w:w="224"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Calibri"/>
                      <w:color w:val="auto"/>
                      <w:kern w:val="0"/>
                      <w:sz w:val="18"/>
                      <w:szCs w:val="18"/>
                      <w:lang w:val="en-US" w:eastAsia="zh-CN" w:bidi="ar-SA"/>
                    </w:rPr>
                  </w:pPr>
                  <w:r>
                    <w:rPr>
                      <w:rFonts w:hint="eastAsia" w:hAnsi="Calibri"/>
                      <w:color w:val="auto"/>
                      <w:kern w:val="0"/>
                      <w:sz w:val="18"/>
                      <w:szCs w:val="18"/>
                      <w:lang w:val="en-US" w:eastAsia="zh-CN" w:bidi="ar-SA"/>
                    </w:rPr>
                    <w:t>-73</w:t>
                  </w:r>
                </w:p>
              </w:tc>
              <w:tc>
                <w:tcPr>
                  <w:tcW w:w="196"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115</w:t>
                  </w:r>
                </w:p>
              </w:tc>
              <w:tc>
                <w:tcPr>
                  <w:tcW w:w="155" w:type="pct"/>
                  <w:shd w:val="clear" w:color="auto" w:fill="FFFFFF"/>
                  <w:noWrap w:val="0"/>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Calibri"/>
                      <w:color w:val="auto"/>
                      <w:kern w:val="0"/>
                      <w:sz w:val="18"/>
                      <w:szCs w:val="18"/>
                      <w:lang w:val="en-US" w:eastAsia="zh-CN" w:bidi="ar-SA"/>
                    </w:rPr>
                  </w:pPr>
                  <w:r>
                    <w:rPr>
                      <w:rFonts w:ascii="Times New Roman"/>
                      <w:color w:val="auto"/>
                      <w:sz w:val="18"/>
                      <w:szCs w:val="18"/>
                    </w:rPr>
                    <w:t>1</w:t>
                  </w:r>
                </w:p>
              </w:tc>
              <w:tc>
                <w:tcPr>
                  <w:tcW w:w="178" w:type="pct"/>
                  <w:shd w:val="clear" w:color="auto" w:fill="FFFFFF"/>
                  <w:noWrap w:val="0"/>
                  <w:vAlign w:val="center"/>
                </w:tcPr>
                <w:p>
                  <w:pPr>
                    <w:keepNext w:val="0"/>
                    <w:keepLines w:val="0"/>
                    <w:widowControl/>
                    <w:suppressLineNumbers w:val="0"/>
                    <w:jc w:val="center"/>
                    <w:textAlignment w:val="center"/>
                    <w:rPr>
                      <w:rFonts w:hint="default" w:ascii="Times New Roman" w:hAnsi="Calibri"/>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5</w:t>
                  </w:r>
                </w:p>
              </w:tc>
              <w:tc>
                <w:tcPr>
                  <w:tcW w:w="178" w:type="pct"/>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35</w:t>
                  </w:r>
                </w:p>
              </w:tc>
              <w:tc>
                <w:tcPr>
                  <w:tcW w:w="178" w:type="pct"/>
                  <w:shd w:val="clear" w:color="auto" w:fill="FFFFFF"/>
                  <w:noWrap w:val="0"/>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117</w:t>
                  </w:r>
                </w:p>
              </w:tc>
              <w:tc>
                <w:tcPr>
                  <w:tcW w:w="173" w:type="pct"/>
                  <w:shd w:val="clear" w:color="auto" w:fill="FFFFFF"/>
                  <w:noWrap w:val="0"/>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43</w:t>
                  </w:r>
                </w:p>
              </w:tc>
              <w:tc>
                <w:tcPr>
                  <w:tcW w:w="21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66.0</w:t>
                  </w:r>
                </w:p>
              </w:tc>
              <w:tc>
                <w:tcPr>
                  <w:tcW w:w="21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49.1</w:t>
                  </w:r>
                </w:p>
              </w:tc>
              <w:tc>
                <w:tcPr>
                  <w:tcW w:w="21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38.6</w:t>
                  </w:r>
                </w:p>
              </w:tc>
              <w:tc>
                <w:tcPr>
                  <w:tcW w:w="214"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47.3</w:t>
                  </w:r>
                </w:p>
              </w:tc>
              <w:tc>
                <w:tcPr>
                  <w:tcW w:w="269"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20</w:t>
                  </w:r>
                </w:p>
              </w:tc>
              <w:tc>
                <w:tcPr>
                  <w:tcW w:w="265" w:type="pct"/>
                  <w:vMerge w:val="continue"/>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p>
              </w:tc>
              <w:tc>
                <w:tcPr>
                  <w:tcW w:w="265" w:type="pct"/>
                  <w:vMerge w:val="continue"/>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rPr>
                  </w:pPr>
                </w:p>
              </w:tc>
              <w:tc>
                <w:tcPr>
                  <w:tcW w:w="180" w:type="pct"/>
                  <w:vMerge w:val="continue"/>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54" w:type="pct"/>
                  <w:shd w:val="clear" w:color="auto" w:fill="FFFFFF"/>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17</w:t>
                  </w:r>
                </w:p>
              </w:tc>
              <w:tc>
                <w:tcPr>
                  <w:tcW w:w="420" w:type="pct"/>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eastAsia" w:ascii="宋体" w:hAnsi="宋体" w:eastAsia="宋体" w:cs="宋体"/>
                      <w:i w:val="0"/>
                      <w:iCs w:val="0"/>
                      <w:color w:val="000000"/>
                      <w:kern w:val="0"/>
                      <w:sz w:val="18"/>
                      <w:szCs w:val="18"/>
                      <w:u w:val="none"/>
                      <w:lang w:val="en-US" w:eastAsia="zh-CN" w:bidi="ar"/>
                    </w:rPr>
                    <w:t>双梁桥式起重机</w:t>
                  </w:r>
                </w:p>
              </w:tc>
              <w:tc>
                <w:tcPr>
                  <w:tcW w:w="420" w:type="pct"/>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cs="Times New Roman"/>
                      <w:color w:val="auto"/>
                      <w:sz w:val="18"/>
                      <w:szCs w:val="18"/>
                      <w:lang w:val="en-US" w:eastAsia="zh-CN"/>
                    </w:rPr>
                    <w:t>/</w:t>
                  </w:r>
                </w:p>
              </w:tc>
              <w:tc>
                <w:tcPr>
                  <w:tcW w:w="212" w:type="pct"/>
                  <w:shd w:val="clear" w:color="auto" w:fill="auto"/>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8</w:t>
                  </w:r>
                </w:p>
              </w:tc>
              <w:tc>
                <w:tcPr>
                  <w:tcW w:w="448"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lang w:val="en-US" w:eastAsia="zh-CN"/>
                    </w:rPr>
                    <w:t>单台</w:t>
                  </w:r>
                  <w:r>
                    <w:rPr>
                      <w:rFonts w:hint="eastAsia" w:ascii="Times New Roman" w:hAnsi="Times New Roman" w:eastAsia="宋体" w:cs="Times New Roman"/>
                      <w:color w:val="auto"/>
                      <w:sz w:val="18"/>
                      <w:szCs w:val="18"/>
                      <w:highlight w:val="none"/>
                      <w:lang w:val="en-US" w:eastAsia="zh-CN"/>
                    </w:rPr>
                    <w:t>80</w:t>
                  </w:r>
                  <w:r>
                    <w:rPr>
                      <w:rFonts w:hint="eastAsia" w:cs="Times New Roman"/>
                      <w:color w:val="auto"/>
                      <w:sz w:val="18"/>
                      <w:szCs w:val="18"/>
                      <w:highlight w:val="none"/>
                      <w:lang w:val="en-US" w:eastAsia="zh-CN"/>
                    </w:rPr>
                    <w:t>，</w:t>
                  </w:r>
                  <w:r>
                    <w:rPr>
                      <w:rFonts w:hint="eastAsia" w:cs="Times New Roman"/>
                      <w:color w:val="auto"/>
                      <w:sz w:val="18"/>
                      <w:szCs w:val="18"/>
                      <w:lang w:val="en-US" w:eastAsia="zh-CN"/>
                    </w:rPr>
                    <w:t>叠加后89</w:t>
                  </w:r>
                </w:p>
              </w:tc>
              <w:tc>
                <w:tcPr>
                  <w:tcW w:w="219" w:type="pct"/>
                  <w:vMerge w:val="continue"/>
                  <w:shd w:val="clear" w:color="auto" w:fill="FFFFFF"/>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p>
              </w:tc>
              <w:tc>
                <w:tcPr>
                  <w:tcW w:w="224"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Calibri" w:eastAsia="宋体"/>
                      <w:color w:val="auto"/>
                      <w:kern w:val="0"/>
                      <w:sz w:val="18"/>
                      <w:szCs w:val="18"/>
                      <w:lang w:val="en-US" w:eastAsia="zh-CN" w:bidi="ar-SA"/>
                    </w:rPr>
                  </w:pPr>
                  <w:r>
                    <w:rPr>
                      <w:rFonts w:hint="eastAsia" w:hAnsi="Calibri"/>
                      <w:color w:val="auto"/>
                      <w:kern w:val="0"/>
                      <w:sz w:val="18"/>
                      <w:szCs w:val="18"/>
                      <w:lang w:val="en-US" w:eastAsia="zh-CN" w:bidi="ar-SA"/>
                    </w:rPr>
                    <w:t>-84</w:t>
                  </w:r>
                </w:p>
              </w:tc>
              <w:tc>
                <w:tcPr>
                  <w:tcW w:w="196"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122</w:t>
                  </w:r>
                </w:p>
              </w:tc>
              <w:tc>
                <w:tcPr>
                  <w:tcW w:w="155"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w:t>
                  </w:r>
                </w:p>
              </w:tc>
              <w:tc>
                <w:tcPr>
                  <w:tcW w:w="178" w:type="pct"/>
                  <w:shd w:val="clear" w:color="auto" w:fill="FFFFFF"/>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4</w:t>
                  </w:r>
                </w:p>
              </w:tc>
              <w:tc>
                <w:tcPr>
                  <w:tcW w:w="178" w:type="pct"/>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36</w:t>
                  </w:r>
                </w:p>
              </w:tc>
              <w:tc>
                <w:tcPr>
                  <w:tcW w:w="178" w:type="pct"/>
                  <w:shd w:val="clear" w:color="auto" w:fill="FFFFFF"/>
                  <w:noWrap w:val="0"/>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98</w:t>
                  </w:r>
                </w:p>
              </w:tc>
              <w:tc>
                <w:tcPr>
                  <w:tcW w:w="173" w:type="pct"/>
                  <w:shd w:val="clear" w:color="auto" w:fill="FFFFFF"/>
                  <w:noWrap w:val="0"/>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62</w:t>
                  </w:r>
                </w:p>
              </w:tc>
              <w:tc>
                <w:tcPr>
                  <w:tcW w:w="21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77.0</w:t>
                  </w:r>
                </w:p>
              </w:tc>
              <w:tc>
                <w:tcPr>
                  <w:tcW w:w="21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57.9</w:t>
                  </w:r>
                </w:p>
              </w:tc>
              <w:tc>
                <w:tcPr>
                  <w:tcW w:w="21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49.2</w:t>
                  </w:r>
                </w:p>
              </w:tc>
              <w:tc>
                <w:tcPr>
                  <w:tcW w:w="214"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53.2</w:t>
                  </w:r>
                </w:p>
              </w:tc>
              <w:tc>
                <w:tcPr>
                  <w:tcW w:w="269"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20</w:t>
                  </w:r>
                </w:p>
              </w:tc>
              <w:tc>
                <w:tcPr>
                  <w:tcW w:w="265" w:type="pct"/>
                  <w:vMerge w:val="continue"/>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p>
              </w:tc>
              <w:tc>
                <w:tcPr>
                  <w:tcW w:w="265" w:type="pct"/>
                  <w:vMerge w:val="continue"/>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rPr>
                  </w:pPr>
                </w:p>
              </w:tc>
              <w:tc>
                <w:tcPr>
                  <w:tcW w:w="180" w:type="pct"/>
                  <w:vMerge w:val="continue"/>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54" w:type="pct"/>
                  <w:shd w:val="clear" w:color="auto" w:fill="FFFFFF"/>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18</w:t>
                  </w:r>
                </w:p>
              </w:tc>
              <w:tc>
                <w:tcPr>
                  <w:tcW w:w="420" w:type="pct"/>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eastAsia" w:ascii="宋体" w:hAnsi="宋体" w:eastAsia="宋体" w:cs="宋体"/>
                      <w:i w:val="0"/>
                      <w:iCs w:val="0"/>
                      <w:color w:val="000000"/>
                      <w:kern w:val="0"/>
                      <w:sz w:val="18"/>
                      <w:szCs w:val="18"/>
                      <w:u w:val="none"/>
                      <w:lang w:val="en-US" w:eastAsia="zh-CN" w:bidi="ar"/>
                    </w:rPr>
                    <w:t>电动单梁桥式起重机</w:t>
                  </w:r>
                </w:p>
              </w:tc>
              <w:tc>
                <w:tcPr>
                  <w:tcW w:w="420" w:type="pct"/>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color w:val="000000"/>
                      <w:kern w:val="0"/>
                      <w:sz w:val="18"/>
                      <w:szCs w:val="18"/>
                      <w:lang w:bidi="ar"/>
                    </w:rPr>
                    <w:t>LH20T-16.5-10m</w:t>
                  </w:r>
                </w:p>
              </w:tc>
              <w:tc>
                <w:tcPr>
                  <w:tcW w:w="212" w:type="pct"/>
                  <w:shd w:val="clear" w:color="auto" w:fill="auto"/>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w:t>
                  </w:r>
                </w:p>
              </w:tc>
              <w:tc>
                <w:tcPr>
                  <w:tcW w:w="448"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80</w:t>
                  </w:r>
                </w:p>
              </w:tc>
              <w:tc>
                <w:tcPr>
                  <w:tcW w:w="219" w:type="pct"/>
                  <w:vMerge w:val="continue"/>
                  <w:shd w:val="clear" w:color="auto" w:fill="FFFFFF"/>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p>
              </w:tc>
              <w:tc>
                <w:tcPr>
                  <w:tcW w:w="224"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Calibri"/>
                      <w:color w:val="auto"/>
                      <w:kern w:val="0"/>
                      <w:sz w:val="18"/>
                      <w:szCs w:val="18"/>
                      <w:lang w:val="en-US" w:eastAsia="zh-CN" w:bidi="ar-SA"/>
                    </w:rPr>
                  </w:pPr>
                  <w:r>
                    <w:rPr>
                      <w:rFonts w:hint="eastAsia" w:hAnsi="Calibri"/>
                      <w:color w:val="auto"/>
                      <w:kern w:val="0"/>
                      <w:sz w:val="18"/>
                      <w:szCs w:val="18"/>
                      <w:lang w:val="en-US" w:eastAsia="zh-CN" w:bidi="ar-SA"/>
                    </w:rPr>
                    <w:t>-97</w:t>
                  </w:r>
                </w:p>
              </w:tc>
              <w:tc>
                <w:tcPr>
                  <w:tcW w:w="196"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125</w:t>
                  </w:r>
                </w:p>
              </w:tc>
              <w:tc>
                <w:tcPr>
                  <w:tcW w:w="155"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w:t>
                  </w:r>
                </w:p>
              </w:tc>
              <w:tc>
                <w:tcPr>
                  <w:tcW w:w="178" w:type="pct"/>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3</w:t>
                  </w:r>
                </w:p>
              </w:tc>
              <w:tc>
                <w:tcPr>
                  <w:tcW w:w="178" w:type="pct"/>
                  <w:shd w:val="clear" w:color="auto" w:fill="FFFFFF"/>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37</w:t>
                  </w:r>
                </w:p>
              </w:tc>
              <w:tc>
                <w:tcPr>
                  <w:tcW w:w="178" w:type="pct"/>
                  <w:shd w:val="clear" w:color="auto" w:fill="FFFFFF"/>
                  <w:noWrap w:val="0"/>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88</w:t>
                  </w:r>
                </w:p>
              </w:tc>
              <w:tc>
                <w:tcPr>
                  <w:tcW w:w="173" w:type="pct"/>
                  <w:shd w:val="clear" w:color="auto" w:fill="FFFFFF"/>
                  <w:noWrap w:val="0"/>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72</w:t>
                  </w:r>
                </w:p>
              </w:tc>
              <w:tc>
                <w:tcPr>
                  <w:tcW w:w="21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70.5</w:t>
                  </w:r>
                </w:p>
              </w:tc>
              <w:tc>
                <w:tcPr>
                  <w:tcW w:w="21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48.6</w:t>
                  </w:r>
                </w:p>
              </w:tc>
              <w:tc>
                <w:tcPr>
                  <w:tcW w:w="21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41.1</w:t>
                  </w:r>
                </w:p>
              </w:tc>
              <w:tc>
                <w:tcPr>
                  <w:tcW w:w="214"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42.9</w:t>
                  </w:r>
                </w:p>
              </w:tc>
              <w:tc>
                <w:tcPr>
                  <w:tcW w:w="269"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20</w:t>
                  </w:r>
                </w:p>
              </w:tc>
              <w:tc>
                <w:tcPr>
                  <w:tcW w:w="265" w:type="pct"/>
                  <w:vMerge w:val="continue"/>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p>
              </w:tc>
              <w:tc>
                <w:tcPr>
                  <w:tcW w:w="265" w:type="pct"/>
                  <w:vMerge w:val="continue"/>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rPr>
                  </w:pPr>
                </w:p>
              </w:tc>
              <w:tc>
                <w:tcPr>
                  <w:tcW w:w="180" w:type="pct"/>
                  <w:vMerge w:val="continue"/>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0" w:type="auto"/>
                  <w:shd w:val="clear" w:color="auto" w:fill="auto"/>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19</w:t>
                  </w:r>
                </w:p>
              </w:tc>
              <w:tc>
                <w:tcPr>
                  <w:tcW w:w="420" w:type="pct"/>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eastAsia" w:ascii="宋体" w:hAnsi="宋体" w:eastAsia="宋体" w:cs="宋体"/>
                      <w:i w:val="0"/>
                      <w:iCs w:val="0"/>
                      <w:color w:val="000000"/>
                      <w:kern w:val="0"/>
                      <w:sz w:val="18"/>
                      <w:szCs w:val="18"/>
                      <w:u w:val="none"/>
                      <w:lang w:val="en-US" w:eastAsia="zh-CN" w:bidi="ar"/>
                    </w:rPr>
                    <w:t>台车式退火炉</w:t>
                  </w:r>
                </w:p>
              </w:tc>
              <w:tc>
                <w:tcPr>
                  <w:tcW w:w="42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cs="Times New Roman"/>
                      <w:color w:val="auto"/>
                      <w:sz w:val="18"/>
                      <w:szCs w:val="18"/>
                      <w:lang w:val="en-US" w:eastAsia="zh-CN"/>
                    </w:rPr>
                    <w:t>/</w:t>
                  </w:r>
                </w:p>
              </w:tc>
              <w:tc>
                <w:tcPr>
                  <w:tcW w:w="212" w:type="pct"/>
                  <w:shd w:val="clear" w:color="auto" w:fill="auto"/>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6</w:t>
                  </w:r>
                </w:p>
              </w:tc>
              <w:tc>
                <w:tcPr>
                  <w:tcW w:w="448"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lang w:val="en-US" w:eastAsia="zh-CN"/>
                    </w:rPr>
                    <w:t>单台</w:t>
                  </w:r>
                  <w:r>
                    <w:rPr>
                      <w:rFonts w:hint="eastAsia" w:ascii="Times New Roman" w:hAnsi="Times New Roman" w:eastAsia="宋体" w:cs="Times New Roman"/>
                      <w:color w:val="auto"/>
                      <w:sz w:val="18"/>
                      <w:szCs w:val="18"/>
                      <w:lang w:val="en-US" w:eastAsia="zh-CN"/>
                    </w:rPr>
                    <w:t>75</w:t>
                  </w:r>
                  <w:r>
                    <w:rPr>
                      <w:rFonts w:hint="eastAsia" w:cs="Times New Roman"/>
                      <w:color w:val="auto"/>
                      <w:sz w:val="18"/>
                      <w:szCs w:val="18"/>
                      <w:lang w:val="en-US" w:eastAsia="zh-CN"/>
                    </w:rPr>
                    <w:t>，叠加后82.8</w:t>
                  </w:r>
                </w:p>
              </w:tc>
              <w:tc>
                <w:tcPr>
                  <w:tcW w:w="219" w:type="pct"/>
                  <w:vMerge w:val="continue"/>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p>
              </w:tc>
              <w:tc>
                <w:tcPr>
                  <w:tcW w:w="224"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Calibri"/>
                      <w:color w:val="auto"/>
                      <w:kern w:val="0"/>
                      <w:sz w:val="18"/>
                      <w:szCs w:val="18"/>
                      <w:lang w:val="en-US" w:eastAsia="zh-CN" w:bidi="ar-SA"/>
                    </w:rPr>
                  </w:pPr>
                  <w:r>
                    <w:rPr>
                      <w:rFonts w:hint="eastAsia" w:ascii="Times New Roman"/>
                      <w:color w:val="auto"/>
                      <w:kern w:val="0"/>
                      <w:sz w:val="18"/>
                      <w:szCs w:val="18"/>
                      <w:lang w:val="en-US" w:eastAsia="zh-CN" w:bidi="ar-SA"/>
                    </w:rPr>
                    <w:t>-109</w:t>
                  </w:r>
                </w:p>
              </w:tc>
              <w:tc>
                <w:tcPr>
                  <w:tcW w:w="196"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134</w:t>
                  </w:r>
                </w:p>
              </w:tc>
              <w:tc>
                <w:tcPr>
                  <w:tcW w:w="155"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w:t>
                  </w:r>
                </w:p>
              </w:tc>
              <w:tc>
                <w:tcPr>
                  <w:tcW w:w="178"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4</w:t>
                  </w:r>
                </w:p>
              </w:tc>
              <w:tc>
                <w:tcPr>
                  <w:tcW w:w="178"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36</w:t>
                  </w:r>
                </w:p>
              </w:tc>
              <w:tc>
                <w:tcPr>
                  <w:tcW w:w="178"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126</w:t>
                  </w:r>
                </w:p>
              </w:tc>
              <w:tc>
                <w:tcPr>
                  <w:tcW w:w="173"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34</w:t>
                  </w:r>
                </w:p>
              </w:tc>
              <w:tc>
                <w:tcPr>
                  <w:tcW w:w="21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70.8</w:t>
                  </w:r>
                </w:p>
              </w:tc>
              <w:tc>
                <w:tcPr>
                  <w:tcW w:w="213"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51.7</w:t>
                  </w:r>
                </w:p>
              </w:tc>
              <w:tc>
                <w:tcPr>
                  <w:tcW w:w="213"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40.8</w:t>
                  </w:r>
                </w:p>
              </w:tc>
              <w:tc>
                <w:tcPr>
                  <w:tcW w:w="214"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52.2</w:t>
                  </w:r>
                </w:p>
              </w:tc>
              <w:tc>
                <w:tcPr>
                  <w:tcW w:w="269"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20</w:t>
                  </w:r>
                </w:p>
              </w:tc>
              <w:tc>
                <w:tcPr>
                  <w:tcW w:w="265" w:type="pct"/>
                  <w:vMerge w:val="continue"/>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p>
              </w:tc>
              <w:tc>
                <w:tcPr>
                  <w:tcW w:w="265" w:type="pct"/>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rPr>
                  </w:pPr>
                </w:p>
              </w:tc>
              <w:tc>
                <w:tcPr>
                  <w:tcW w:w="180" w:type="pct"/>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0" w:type="auto"/>
                  <w:shd w:val="clear" w:color="auto" w:fill="auto"/>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20</w:t>
                  </w:r>
                </w:p>
              </w:tc>
              <w:tc>
                <w:tcPr>
                  <w:tcW w:w="42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电热处理炉</w:t>
                  </w:r>
                </w:p>
              </w:tc>
              <w:tc>
                <w:tcPr>
                  <w:tcW w:w="42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cs="Times New Roman"/>
                      <w:color w:val="auto"/>
                      <w:sz w:val="18"/>
                      <w:szCs w:val="18"/>
                      <w:lang w:val="en-US" w:eastAsia="zh-CN"/>
                    </w:rPr>
                    <w:t>/</w:t>
                  </w:r>
                </w:p>
              </w:tc>
              <w:tc>
                <w:tcPr>
                  <w:tcW w:w="212" w:type="pct"/>
                  <w:shd w:val="clear" w:color="auto" w:fill="auto"/>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19</w:t>
                  </w:r>
                </w:p>
              </w:tc>
              <w:tc>
                <w:tcPr>
                  <w:tcW w:w="448"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lang w:val="en-US" w:eastAsia="zh-CN"/>
                    </w:rPr>
                    <w:t>单台</w:t>
                  </w:r>
                  <w:r>
                    <w:rPr>
                      <w:rFonts w:hint="eastAsia" w:ascii="Times New Roman" w:hAnsi="Times New Roman" w:eastAsia="宋体" w:cs="Times New Roman"/>
                      <w:color w:val="auto"/>
                      <w:sz w:val="18"/>
                      <w:szCs w:val="18"/>
                      <w:lang w:val="en-US" w:eastAsia="zh-CN"/>
                    </w:rPr>
                    <w:t>75</w:t>
                  </w:r>
                  <w:r>
                    <w:rPr>
                      <w:rFonts w:hint="eastAsia" w:cs="Times New Roman"/>
                      <w:color w:val="auto"/>
                      <w:sz w:val="18"/>
                      <w:szCs w:val="18"/>
                      <w:lang w:val="en-US" w:eastAsia="zh-CN"/>
                    </w:rPr>
                    <w:t>，叠加后87.8</w:t>
                  </w:r>
                </w:p>
              </w:tc>
              <w:tc>
                <w:tcPr>
                  <w:tcW w:w="219" w:type="pct"/>
                  <w:vMerge w:val="continue"/>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p>
              </w:tc>
              <w:tc>
                <w:tcPr>
                  <w:tcW w:w="224"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Calibri"/>
                      <w:color w:val="auto"/>
                      <w:kern w:val="0"/>
                      <w:sz w:val="18"/>
                      <w:szCs w:val="18"/>
                      <w:lang w:val="en-US" w:eastAsia="zh-CN" w:bidi="ar-SA"/>
                    </w:rPr>
                  </w:pPr>
                  <w:r>
                    <w:rPr>
                      <w:rFonts w:hint="eastAsia" w:ascii="Times New Roman"/>
                      <w:color w:val="auto"/>
                      <w:kern w:val="0"/>
                      <w:sz w:val="18"/>
                      <w:szCs w:val="18"/>
                      <w:lang w:val="en-US" w:eastAsia="zh-CN" w:bidi="ar-SA"/>
                    </w:rPr>
                    <w:t>-122</w:t>
                  </w:r>
                </w:p>
              </w:tc>
              <w:tc>
                <w:tcPr>
                  <w:tcW w:w="196"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142</w:t>
                  </w:r>
                </w:p>
              </w:tc>
              <w:tc>
                <w:tcPr>
                  <w:tcW w:w="155"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ascii="Times New Roman"/>
                      <w:color w:val="auto"/>
                      <w:sz w:val="18"/>
                      <w:szCs w:val="18"/>
                    </w:rPr>
                    <w:t>1</w:t>
                  </w:r>
                </w:p>
              </w:tc>
              <w:tc>
                <w:tcPr>
                  <w:tcW w:w="178"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37</w:t>
                  </w:r>
                </w:p>
              </w:tc>
              <w:tc>
                <w:tcPr>
                  <w:tcW w:w="17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10"/>
                      <w:kern w:val="0"/>
                      <w:sz w:val="18"/>
                      <w:szCs w:val="18"/>
                      <w:highlight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3</w:t>
                  </w:r>
                </w:p>
              </w:tc>
              <w:tc>
                <w:tcPr>
                  <w:tcW w:w="178"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117</w:t>
                  </w:r>
                </w:p>
              </w:tc>
              <w:tc>
                <w:tcPr>
                  <w:tcW w:w="173"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43</w:t>
                  </w:r>
                </w:p>
              </w:tc>
              <w:tc>
                <w:tcPr>
                  <w:tcW w:w="21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56.4</w:t>
                  </w:r>
                </w:p>
              </w:tc>
              <w:tc>
                <w:tcPr>
                  <w:tcW w:w="213"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78.3</w:t>
                  </w:r>
                </w:p>
              </w:tc>
              <w:tc>
                <w:tcPr>
                  <w:tcW w:w="213"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46.4</w:t>
                  </w:r>
                </w:p>
              </w:tc>
              <w:tc>
                <w:tcPr>
                  <w:tcW w:w="214"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55.1</w:t>
                  </w:r>
                </w:p>
              </w:tc>
              <w:tc>
                <w:tcPr>
                  <w:tcW w:w="269"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20</w:t>
                  </w:r>
                </w:p>
              </w:tc>
              <w:tc>
                <w:tcPr>
                  <w:tcW w:w="265" w:type="pct"/>
                  <w:vMerge w:val="continue"/>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p>
              </w:tc>
              <w:tc>
                <w:tcPr>
                  <w:tcW w:w="265" w:type="pct"/>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rPr>
                  </w:pPr>
                </w:p>
              </w:tc>
              <w:tc>
                <w:tcPr>
                  <w:tcW w:w="180" w:type="pct"/>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0" w:type="auto"/>
                  <w:shd w:val="clear" w:color="auto" w:fill="auto"/>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21</w:t>
                  </w:r>
                </w:p>
              </w:tc>
              <w:tc>
                <w:tcPr>
                  <w:tcW w:w="420" w:type="pct"/>
                  <w:shd w:val="clear" w:color="auto" w:fill="auto"/>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冷却系统</w:t>
                  </w:r>
                </w:p>
              </w:tc>
              <w:tc>
                <w:tcPr>
                  <w:tcW w:w="420" w:type="pct"/>
                  <w:shd w:val="clear" w:color="auto" w:fill="auto"/>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w:t>
                  </w:r>
                </w:p>
              </w:tc>
              <w:tc>
                <w:tcPr>
                  <w:tcW w:w="212" w:type="pct"/>
                  <w:shd w:val="clear" w:color="auto" w:fill="auto"/>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5</w:t>
                  </w:r>
                </w:p>
              </w:tc>
              <w:tc>
                <w:tcPr>
                  <w:tcW w:w="448"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lang w:val="en-US" w:eastAsia="zh-CN"/>
                    </w:rPr>
                    <w:t>单台</w:t>
                  </w:r>
                  <w:r>
                    <w:rPr>
                      <w:rFonts w:hint="eastAsia" w:ascii="Times New Roman" w:hAnsi="Times New Roman" w:eastAsia="宋体" w:cs="Times New Roman"/>
                      <w:color w:val="auto"/>
                      <w:sz w:val="18"/>
                      <w:szCs w:val="18"/>
                      <w:lang w:val="en-US" w:eastAsia="zh-CN"/>
                    </w:rPr>
                    <w:t>75</w:t>
                  </w:r>
                  <w:r>
                    <w:rPr>
                      <w:rFonts w:hint="eastAsia" w:cs="Times New Roman"/>
                      <w:color w:val="auto"/>
                      <w:sz w:val="18"/>
                      <w:szCs w:val="18"/>
                      <w:lang w:val="en-US" w:eastAsia="zh-CN"/>
                    </w:rPr>
                    <w:t>，叠加后82</w:t>
                  </w:r>
                </w:p>
              </w:tc>
              <w:tc>
                <w:tcPr>
                  <w:tcW w:w="219" w:type="pct"/>
                  <w:vMerge w:val="continue"/>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p>
              </w:tc>
              <w:tc>
                <w:tcPr>
                  <w:tcW w:w="224"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Calibri"/>
                      <w:color w:val="auto"/>
                      <w:kern w:val="0"/>
                      <w:sz w:val="18"/>
                      <w:szCs w:val="18"/>
                      <w:lang w:val="en-US" w:eastAsia="zh-CN" w:bidi="ar-SA"/>
                    </w:rPr>
                  </w:pPr>
                  <w:r>
                    <w:rPr>
                      <w:rFonts w:hint="eastAsia" w:ascii="Times New Roman"/>
                      <w:color w:val="auto"/>
                      <w:kern w:val="0"/>
                      <w:sz w:val="18"/>
                      <w:szCs w:val="18"/>
                      <w:lang w:val="en-US" w:eastAsia="zh-CN" w:bidi="ar-SA"/>
                    </w:rPr>
                    <w:t>-145</w:t>
                  </w:r>
                </w:p>
              </w:tc>
              <w:tc>
                <w:tcPr>
                  <w:tcW w:w="196"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145</w:t>
                  </w:r>
                </w:p>
              </w:tc>
              <w:tc>
                <w:tcPr>
                  <w:tcW w:w="155"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ascii="Times New Roman"/>
                      <w:color w:val="auto"/>
                      <w:sz w:val="18"/>
                      <w:szCs w:val="18"/>
                    </w:rPr>
                    <w:t>1</w:t>
                  </w:r>
                </w:p>
              </w:tc>
              <w:tc>
                <w:tcPr>
                  <w:tcW w:w="178"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36</w:t>
                  </w:r>
                </w:p>
              </w:tc>
              <w:tc>
                <w:tcPr>
                  <w:tcW w:w="178" w:type="pct"/>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color w:val="auto"/>
                      <w:spacing w:val="-10"/>
                      <w:kern w:val="0"/>
                      <w:sz w:val="18"/>
                      <w:szCs w:val="18"/>
                      <w:highlight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4</w:t>
                  </w:r>
                </w:p>
              </w:tc>
              <w:tc>
                <w:tcPr>
                  <w:tcW w:w="178"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88</w:t>
                  </w:r>
                </w:p>
              </w:tc>
              <w:tc>
                <w:tcPr>
                  <w:tcW w:w="173"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72</w:t>
                  </w:r>
                </w:p>
              </w:tc>
              <w:tc>
                <w:tcPr>
                  <w:tcW w:w="21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50.9</w:t>
                  </w:r>
                </w:p>
              </w:tc>
              <w:tc>
                <w:tcPr>
                  <w:tcW w:w="213"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70.0</w:t>
                  </w:r>
                </w:p>
              </w:tc>
              <w:tc>
                <w:tcPr>
                  <w:tcW w:w="213"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43.1</w:t>
                  </w:r>
                </w:p>
              </w:tc>
              <w:tc>
                <w:tcPr>
                  <w:tcW w:w="214"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44.9</w:t>
                  </w:r>
                </w:p>
              </w:tc>
              <w:tc>
                <w:tcPr>
                  <w:tcW w:w="269"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20</w:t>
                  </w:r>
                </w:p>
              </w:tc>
              <w:tc>
                <w:tcPr>
                  <w:tcW w:w="265" w:type="pct"/>
                  <w:vMerge w:val="continue"/>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p>
              </w:tc>
              <w:tc>
                <w:tcPr>
                  <w:tcW w:w="265" w:type="pct"/>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rPr>
                  </w:pPr>
                </w:p>
              </w:tc>
              <w:tc>
                <w:tcPr>
                  <w:tcW w:w="180" w:type="pct"/>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0" w:type="auto"/>
                  <w:shd w:val="clear" w:color="auto" w:fill="auto"/>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color w:val="auto"/>
                      <w:kern w:val="2"/>
                      <w:sz w:val="18"/>
                      <w:szCs w:val="18"/>
                      <w:lang w:val="en-US" w:eastAsia="zh-CN" w:bidi="ar-SA"/>
                    </w:rPr>
                    <w:t>22</w:t>
                  </w:r>
                </w:p>
              </w:tc>
              <w:tc>
                <w:tcPr>
                  <w:tcW w:w="420" w:type="pct"/>
                  <w:shd w:val="clear" w:color="auto" w:fill="auto"/>
                  <w:vAlign w:val="center"/>
                </w:tcPr>
                <w:p>
                  <w:pPr>
                    <w:jc w:val="center"/>
                    <w:rPr>
                      <w:rFonts w:hint="eastAsia" w:ascii="Times New Roman" w:hAnsi="Times New Roman" w:eastAsia="宋体" w:cs="Times New Roman"/>
                      <w:kern w:val="2"/>
                      <w:sz w:val="18"/>
                      <w:szCs w:val="18"/>
                      <w:lang w:val="en-US" w:eastAsia="zh-CN" w:bidi="ar-SA"/>
                    </w:rPr>
                  </w:pPr>
                  <w:r>
                    <w:rPr>
                      <w:rFonts w:hint="eastAsia" w:ascii="Times New Roman" w:hAnsi="Times New Roman" w:eastAsia="宋体" w:cs="Times New Roman"/>
                      <w:sz w:val="18"/>
                      <w:szCs w:val="18"/>
                      <w:lang w:val="en-US" w:eastAsia="zh-CN"/>
                    </w:rPr>
                    <w:t>台车式回火炉</w:t>
                  </w:r>
                </w:p>
              </w:tc>
              <w:tc>
                <w:tcPr>
                  <w:tcW w:w="420" w:type="pct"/>
                  <w:shd w:val="clear" w:color="auto" w:fill="auto"/>
                  <w:vAlign w:val="center"/>
                </w:tcPr>
                <w:p>
                  <w:pPr>
                    <w:jc w:val="center"/>
                    <w:rPr>
                      <w:rFonts w:hint="eastAsia" w:ascii="Times New Roman" w:hAnsi="Times New Roman" w:eastAsia="宋体" w:cs="Times New Roman"/>
                      <w:sz w:val="18"/>
                      <w:szCs w:val="18"/>
                      <w:lang w:val="en-US" w:eastAsia="zh-CN"/>
                    </w:rPr>
                  </w:pPr>
                  <w:r>
                    <w:rPr>
                      <w:rFonts w:hint="eastAsia"/>
                      <w:sz w:val="18"/>
                      <w:szCs w:val="18"/>
                    </w:rPr>
                    <w:t>8000*4000*2750</w:t>
                  </w:r>
                </w:p>
              </w:tc>
              <w:tc>
                <w:tcPr>
                  <w:tcW w:w="212" w:type="pct"/>
                  <w:shd w:val="clear" w:color="auto" w:fill="auto"/>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sz w:val="18"/>
                      <w:szCs w:val="18"/>
                      <w:lang w:val="en-US" w:eastAsia="zh-CN"/>
                    </w:rPr>
                    <w:t>6</w:t>
                  </w:r>
                </w:p>
              </w:tc>
              <w:tc>
                <w:tcPr>
                  <w:tcW w:w="448"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lang w:val="en-US" w:eastAsia="zh-CN"/>
                    </w:rPr>
                    <w:t>单台</w:t>
                  </w:r>
                  <w:r>
                    <w:rPr>
                      <w:rFonts w:hint="eastAsia" w:cs="Times New Roman"/>
                      <w:color w:val="auto"/>
                      <w:kern w:val="2"/>
                      <w:sz w:val="18"/>
                      <w:szCs w:val="18"/>
                      <w:highlight w:val="none"/>
                      <w:lang w:val="en-US" w:eastAsia="zh-CN" w:bidi="ar-SA"/>
                    </w:rPr>
                    <w:t>80，</w:t>
                  </w:r>
                  <w:r>
                    <w:rPr>
                      <w:rFonts w:hint="eastAsia" w:cs="Times New Roman"/>
                      <w:color w:val="auto"/>
                      <w:sz w:val="18"/>
                      <w:szCs w:val="18"/>
                      <w:lang w:val="en-US" w:eastAsia="zh-CN"/>
                    </w:rPr>
                    <w:t>叠加后87.8</w:t>
                  </w:r>
                </w:p>
              </w:tc>
              <w:tc>
                <w:tcPr>
                  <w:tcW w:w="219" w:type="pct"/>
                  <w:vMerge w:val="continue"/>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p>
              </w:tc>
              <w:tc>
                <w:tcPr>
                  <w:tcW w:w="224"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Calibri"/>
                      <w:color w:val="auto"/>
                      <w:kern w:val="0"/>
                      <w:sz w:val="18"/>
                      <w:szCs w:val="18"/>
                      <w:lang w:val="en-US" w:eastAsia="zh-CN" w:bidi="ar-SA"/>
                    </w:rPr>
                  </w:pPr>
                  <w:r>
                    <w:rPr>
                      <w:rFonts w:hint="eastAsia" w:ascii="Times New Roman"/>
                      <w:color w:val="auto"/>
                      <w:kern w:val="0"/>
                      <w:sz w:val="18"/>
                      <w:szCs w:val="18"/>
                      <w:lang w:val="en-US" w:eastAsia="zh-CN" w:bidi="ar-SA"/>
                    </w:rPr>
                    <w:t>-154</w:t>
                  </w:r>
                </w:p>
              </w:tc>
              <w:tc>
                <w:tcPr>
                  <w:tcW w:w="196"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150</w:t>
                  </w:r>
                </w:p>
              </w:tc>
              <w:tc>
                <w:tcPr>
                  <w:tcW w:w="155"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w:t>
                  </w:r>
                </w:p>
              </w:tc>
              <w:tc>
                <w:tcPr>
                  <w:tcW w:w="178"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35</w:t>
                  </w:r>
                </w:p>
              </w:tc>
              <w:tc>
                <w:tcPr>
                  <w:tcW w:w="17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10"/>
                      <w:kern w:val="0"/>
                      <w:sz w:val="18"/>
                      <w:szCs w:val="18"/>
                      <w:highlight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5</w:t>
                  </w:r>
                </w:p>
              </w:tc>
              <w:tc>
                <w:tcPr>
                  <w:tcW w:w="178"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98</w:t>
                  </w:r>
                </w:p>
              </w:tc>
              <w:tc>
                <w:tcPr>
                  <w:tcW w:w="173"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62</w:t>
                  </w:r>
                </w:p>
              </w:tc>
              <w:tc>
                <w:tcPr>
                  <w:tcW w:w="21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56.9</w:t>
                  </w:r>
                </w:p>
              </w:tc>
              <w:tc>
                <w:tcPr>
                  <w:tcW w:w="213"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73.8</w:t>
                  </w:r>
                </w:p>
              </w:tc>
              <w:tc>
                <w:tcPr>
                  <w:tcW w:w="213"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48.0</w:t>
                  </w:r>
                </w:p>
              </w:tc>
              <w:tc>
                <w:tcPr>
                  <w:tcW w:w="214"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52.0</w:t>
                  </w:r>
                </w:p>
              </w:tc>
              <w:tc>
                <w:tcPr>
                  <w:tcW w:w="269"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20</w:t>
                  </w:r>
                </w:p>
              </w:tc>
              <w:tc>
                <w:tcPr>
                  <w:tcW w:w="265" w:type="pct"/>
                  <w:vMerge w:val="continue"/>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p>
              </w:tc>
              <w:tc>
                <w:tcPr>
                  <w:tcW w:w="265" w:type="pct"/>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rPr>
                  </w:pPr>
                </w:p>
              </w:tc>
              <w:tc>
                <w:tcPr>
                  <w:tcW w:w="180" w:type="pct"/>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0" w:type="auto"/>
                  <w:shd w:val="clear" w:color="auto" w:fill="auto"/>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23</w:t>
                  </w:r>
                </w:p>
              </w:tc>
              <w:tc>
                <w:tcPr>
                  <w:tcW w:w="420" w:type="pct"/>
                  <w:shd w:val="clear" w:color="auto" w:fill="auto"/>
                  <w:vAlign w:val="center"/>
                </w:tcPr>
                <w:p>
                  <w:pPr>
                    <w:jc w:val="center"/>
                    <w:rPr>
                      <w:rFonts w:hint="eastAsia" w:ascii="Times New Roman" w:hAnsi="Times New Roman" w:eastAsia="宋体" w:cs="Times New Roman"/>
                      <w:kern w:val="2"/>
                      <w:sz w:val="18"/>
                      <w:szCs w:val="18"/>
                      <w:lang w:val="en-US" w:eastAsia="zh-CN" w:bidi="ar-SA"/>
                    </w:rPr>
                  </w:pPr>
                  <w:r>
                    <w:rPr>
                      <w:rFonts w:hint="eastAsia" w:ascii="Times New Roman" w:hAnsi="Times New Roman" w:eastAsia="宋体" w:cs="Times New Roman"/>
                      <w:sz w:val="18"/>
                      <w:szCs w:val="18"/>
                      <w:lang w:val="en-US" w:eastAsia="zh-CN"/>
                    </w:rPr>
                    <w:t>台车式淬火炉</w:t>
                  </w:r>
                </w:p>
              </w:tc>
              <w:tc>
                <w:tcPr>
                  <w:tcW w:w="420" w:type="pct"/>
                  <w:shd w:val="clear" w:color="auto" w:fill="auto"/>
                  <w:vAlign w:val="center"/>
                </w:tcPr>
                <w:p>
                  <w:pPr>
                    <w:jc w:val="center"/>
                    <w:rPr>
                      <w:rFonts w:hint="eastAsia" w:ascii="Times New Roman" w:hAnsi="Times New Roman" w:eastAsia="宋体" w:cs="Times New Roman"/>
                      <w:sz w:val="18"/>
                      <w:szCs w:val="18"/>
                      <w:lang w:val="en-US" w:eastAsia="zh-CN"/>
                    </w:rPr>
                  </w:pPr>
                  <w:r>
                    <w:rPr>
                      <w:rFonts w:hint="eastAsia" w:cs="Times New Roman"/>
                      <w:color w:val="auto"/>
                      <w:sz w:val="18"/>
                      <w:szCs w:val="18"/>
                      <w:lang w:val="en-US" w:eastAsia="zh-CN"/>
                    </w:rPr>
                    <w:t>/</w:t>
                  </w:r>
                </w:p>
              </w:tc>
              <w:tc>
                <w:tcPr>
                  <w:tcW w:w="212" w:type="pct"/>
                  <w:shd w:val="clear" w:color="auto" w:fill="auto"/>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sz w:val="18"/>
                      <w:szCs w:val="18"/>
                      <w:lang w:val="en-US" w:eastAsia="zh-CN"/>
                    </w:rPr>
                    <w:t>6</w:t>
                  </w:r>
                </w:p>
              </w:tc>
              <w:tc>
                <w:tcPr>
                  <w:tcW w:w="448"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lang w:val="en-US" w:eastAsia="zh-CN"/>
                    </w:rPr>
                    <w:t>单台</w:t>
                  </w:r>
                  <w:r>
                    <w:rPr>
                      <w:rFonts w:hint="eastAsia" w:cs="Times New Roman"/>
                      <w:color w:val="auto"/>
                      <w:kern w:val="2"/>
                      <w:sz w:val="18"/>
                      <w:szCs w:val="18"/>
                      <w:highlight w:val="none"/>
                      <w:lang w:val="en-US" w:eastAsia="zh-CN" w:bidi="ar-SA"/>
                    </w:rPr>
                    <w:t>80，</w:t>
                  </w:r>
                  <w:r>
                    <w:rPr>
                      <w:rFonts w:hint="eastAsia" w:cs="Times New Roman"/>
                      <w:color w:val="auto"/>
                      <w:sz w:val="18"/>
                      <w:szCs w:val="18"/>
                      <w:lang w:val="en-US" w:eastAsia="zh-CN"/>
                    </w:rPr>
                    <w:t>叠加后87.8</w:t>
                  </w:r>
                </w:p>
              </w:tc>
              <w:tc>
                <w:tcPr>
                  <w:tcW w:w="219" w:type="pct"/>
                  <w:vMerge w:val="continue"/>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p>
              </w:tc>
              <w:tc>
                <w:tcPr>
                  <w:tcW w:w="224"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Calibri"/>
                      <w:color w:val="auto"/>
                      <w:kern w:val="0"/>
                      <w:sz w:val="18"/>
                      <w:szCs w:val="18"/>
                      <w:lang w:val="en-US" w:eastAsia="zh-CN" w:bidi="ar-SA"/>
                    </w:rPr>
                  </w:pPr>
                  <w:r>
                    <w:rPr>
                      <w:rFonts w:hint="eastAsia" w:ascii="Times New Roman"/>
                      <w:color w:val="auto"/>
                      <w:kern w:val="0"/>
                      <w:sz w:val="18"/>
                      <w:szCs w:val="18"/>
                      <w:lang w:val="en-US" w:eastAsia="zh-CN" w:bidi="ar-SA"/>
                    </w:rPr>
                    <w:t>-166</w:t>
                  </w:r>
                </w:p>
              </w:tc>
              <w:tc>
                <w:tcPr>
                  <w:tcW w:w="196"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160</w:t>
                  </w:r>
                </w:p>
              </w:tc>
              <w:tc>
                <w:tcPr>
                  <w:tcW w:w="155"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ascii="Times New Roman"/>
                      <w:color w:val="auto"/>
                      <w:sz w:val="18"/>
                      <w:szCs w:val="18"/>
                    </w:rPr>
                    <w:t>1</w:t>
                  </w:r>
                </w:p>
              </w:tc>
              <w:tc>
                <w:tcPr>
                  <w:tcW w:w="178"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35</w:t>
                  </w:r>
                </w:p>
              </w:tc>
              <w:tc>
                <w:tcPr>
                  <w:tcW w:w="178" w:type="pct"/>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color w:val="auto"/>
                      <w:spacing w:val="-10"/>
                      <w:kern w:val="0"/>
                      <w:sz w:val="18"/>
                      <w:szCs w:val="18"/>
                      <w:highlight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5</w:t>
                  </w:r>
                </w:p>
              </w:tc>
              <w:tc>
                <w:tcPr>
                  <w:tcW w:w="178"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76</w:t>
                  </w:r>
                </w:p>
              </w:tc>
              <w:tc>
                <w:tcPr>
                  <w:tcW w:w="173"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84</w:t>
                  </w:r>
                </w:p>
              </w:tc>
              <w:tc>
                <w:tcPr>
                  <w:tcW w:w="21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56.9</w:t>
                  </w:r>
                </w:p>
              </w:tc>
              <w:tc>
                <w:tcPr>
                  <w:tcW w:w="213"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73.8</w:t>
                  </w:r>
                </w:p>
              </w:tc>
              <w:tc>
                <w:tcPr>
                  <w:tcW w:w="213"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50.2</w:t>
                  </w:r>
                </w:p>
              </w:tc>
              <w:tc>
                <w:tcPr>
                  <w:tcW w:w="214"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49.3</w:t>
                  </w:r>
                </w:p>
              </w:tc>
              <w:tc>
                <w:tcPr>
                  <w:tcW w:w="269"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20</w:t>
                  </w:r>
                </w:p>
              </w:tc>
              <w:tc>
                <w:tcPr>
                  <w:tcW w:w="265" w:type="pct"/>
                  <w:vMerge w:val="continue"/>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p>
              </w:tc>
              <w:tc>
                <w:tcPr>
                  <w:tcW w:w="265" w:type="pct"/>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rPr>
                  </w:pPr>
                </w:p>
              </w:tc>
              <w:tc>
                <w:tcPr>
                  <w:tcW w:w="180" w:type="pct"/>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0" w:type="auto"/>
                  <w:shd w:val="clear" w:color="auto" w:fill="auto"/>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24</w:t>
                  </w:r>
                </w:p>
              </w:tc>
              <w:tc>
                <w:tcPr>
                  <w:tcW w:w="420" w:type="pct"/>
                  <w:shd w:val="clear" w:color="auto" w:fill="FFFFFF"/>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卧式金属带锯床</w:t>
                  </w:r>
                </w:p>
              </w:tc>
              <w:tc>
                <w:tcPr>
                  <w:tcW w:w="420" w:type="pct"/>
                  <w:shd w:val="clear" w:color="auto" w:fill="FFFFFF"/>
                  <w:vAlign w:val="center"/>
                </w:tcPr>
                <w:p>
                  <w:pPr>
                    <w:jc w:val="center"/>
                    <w:rPr>
                      <w:rFonts w:hint="eastAsia" w:ascii="Times New Roman" w:hAnsi="Times New Roman" w:cs="Times New Roman"/>
                      <w:color w:val="auto"/>
                      <w:kern w:val="2"/>
                      <w:sz w:val="18"/>
                      <w:szCs w:val="18"/>
                      <w:lang w:val="en-US" w:eastAsia="zh-CN" w:bidi="ar-SA"/>
                    </w:rPr>
                  </w:pPr>
                  <w:r>
                    <w:rPr>
                      <w:rFonts w:hint="eastAsia" w:cs="Times New Roman"/>
                      <w:color w:val="auto"/>
                      <w:sz w:val="18"/>
                      <w:szCs w:val="18"/>
                      <w:lang w:val="en-US" w:eastAsia="zh-CN"/>
                    </w:rPr>
                    <w:t>/</w:t>
                  </w:r>
                </w:p>
              </w:tc>
              <w:tc>
                <w:tcPr>
                  <w:tcW w:w="212" w:type="pct"/>
                  <w:shd w:val="clear" w:color="auto" w:fill="auto"/>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15</w:t>
                  </w:r>
                </w:p>
              </w:tc>
              <w:tc>
                <w:tcPr>
                  <w:tcW w:w="448"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lang w:val="en-US" w:eastAsia="zh-CN"/>
                    </w:rPr>
                    <w:t>单台</w:t>
                  </w:r>
                  <w:r>
                    <w:rPr>
                      <w:rFonts w:hint="eastAsia" w:cs="Times New Roman"/>
                      <w:color w:val="auto"/>
                      <w:kern w:val="2"/>
                      <w:sz w:val="18"/>
                      <w:szCs w:val="18"/>
                      <w:highlight w:val="none"/>
                      <w:lang w:val="en-US" w:eastAsia="zh-CN" w:bidi="ar-SA"/>
                    </w:rPr>
                    <w:t>80，</w:t>
                  </w:r>
                  <w:r>
                    <w:rPr>
                      <w:rFonts w:hint="eastAsia" w:cs="Times New Roman"/>
                      <w:color w:val="auto"/>
                      <w:sz w:val="18"/>
                      <w:szCs w:val="18"/>
                      <w:lang w:val="en-US" w:eastAsia="zh-CN"/>
                    </w:rPr>
                    <w:t>叠加后91.8</w:t>
                  </w:r>
                </w:p>
              </w:tc>
              <w:tc>
                <w:tcPr>
                  <w:tcW w:w="219" w:type="pct"/>
                  <w:vMerge w:val="continue"/>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p>
              </w:tc>
              <w:tc>
                <w:tcPr>
                  <w:tcW w:w="224"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Calibri"/>
                      <w:color w:val="auto"/>
                      <w:kern w:val="0"/>
                      <w:sz w:val="18"/>
                      <w:szCs w:val="18"/>
                      <w:lang w:val="en-US" w:eastAsia="zh-CN" w:bidi="ar-SA"/>
                    </w:rPr>
                  </w:pPr>
                  <w:r>
                    <w:rPr>
                      <w:rFonts w:hint="eastAsia" w:ascii="Times New Roman"/>
                      <w:color w:val="auto"/>
                      <w:kern w:val="0"/>
                      <w:sz w:val="18"/>
                      <w:szCs w:val="18"/>
                      <w:lang w:val="en-US" w:eastAsia="zh-CN" w:bidi="ar-SA"/>
                    </w:rPr>
                    <w:t>75</w:t>
                  </w:r>
                </w:p>
              </w:tc>
              <w:tc>
                <w:tcPr>
                  <w:tcW w:w="196"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162</w:t>
                  </w:r>
                </w:p>
              </w:tc>
              <w:tc>
                <w:tcPr>
                  <w:tcW w:w="155"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ascii="Times New Roman"/>
                      <w:color w:val="auto"/>
                      <w:sz w:val="18"/>
                      <w:szCs w:val="18"/>
                    </w:rPr>
                    <w:t>1</w:t>
                  </w:r>
                </w:p>
              </w:tc>
              <w:tc>
                <w:tcPr>
                  <w:tcW w:w="178"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36</w:t>
                  </w:r>
                </w:p>
              </w:tc>
              <w:tc>
                <w:tcPr>
                  <w:tcW w:w="178" w:type="pct"/>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color w:val="auto"/>
                      <w:spacing w:val="-10"/>
                      <w:kern w:val="0"/>
                      <w:sz w:val="18"/>
                      <w:szCs w:val="18"/>
                      <w:highlight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4</w:t>
                  </w:r>
                </w:p>
              </w:tc>
              <w:tc>
                <w:tcPr>
                  <w:tcW w:w="178"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135</w:t>
                  </w:r>
                </w:p>
              </w:tc>
              <w:tc>
                <w:tcPr>
                  <w:tcW w:w="173"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25</w:t>
                  </w:r>
                </w:p>
              </w:tc>
              <w:tc>
                <w:tcPr>
                  <w:tcW w:w="21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60.7</w:t>
                  </w:r>
                </w:p>
              </w:tc>
              <w:tc>
                <w:tcPr>
                  <w:tcW w:w="213"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79.8</w:t>
                  </w:r>
                </w:p>
              </w:tc>
              <w:tc>
                <w:tcPr>
                  <w:tcW w:w="213"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49.2</w:t>
                  </w:r>
                </w:p>
              </w:tc>
              <w:tc>
                <w:tcPr>
                  <w:tcW w:w="214"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63.8</w:t>
                  </w:r>
                </w:p>
              </w:tc>
              <w:tc>
                <w:tcPr>
                  <w:tcW w:w="269"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20</w:t>
                  </w:r>
                </w:p>
              </w:tc>
              <w:tc>
                <w:tcPr>
                  <w:tcW w:w="265" w:type="pct"/>
                  <w:vMerge w:val="continue"/>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p>
              </w:tc>
              <w:tc>
                <w:tcPr>
                  <w:tcW w:w="265" w:type="pct"/>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rPr>
                  </w:pPr>
                </w:p>
              </w:tc>
              <w:tc>
                <w:tcPr>
                  <w:tcW w:w="180" w:type="pct"/>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0" w:type="auto"/>
                  <w:shd w:val="clear" w:color="auto" w:fill="auto"/>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25</w:t>
                  </w:r>
                </w:p>
              </w:tc>
              <w:tc>
                <w:tcPr>
                  <w:tcW w:w="420" w:type="pct"/>
                  <w:shd w:val="clear" w:color="auto" w:fill="auto"/>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立式金属带锯床</w:t>
                  </w:r>
                </w:p>
              </w:tc>
              <w:tc>
                <w:tcPr>
                  <w:tcW w:w="420" w:type="pct"/>
                  <w:shd w:val="clear" w:color="auto" w:fill="auto"/>
                  <w:vAlign w:val="center"/>
                </w:tcPr>
                <w:p>
                  <w:pPr>
                    <w:jc w:val="center"/>
                    <w:rPr>
                      <w:rFonts w:hint="eastAsia" w:ascii="Times New Roman" w:hAnsi="Times New Roman" w:cs="Times New Roman"/>
                      <w:color w:val="auto"/>
                      <w:kern w:val="2"/>
                      <w:sz w:val="18"/>
                      <w:szCs w:val="18"/>
                      <w:lang w:val="en-US" w:eastAsia="zh-CN" w:bidi="ar-SA"/>
                    </w:rPr>
                  </w:pPr>
                  <w:r>
                    <w:rPr>
                      <w:rFonts w:hint="eastAsia" w:cs="Times New Roman"/>
                      <w:color w:val="auto"/>
                      <w:sz w:val="18"/>
                      <w:szCs w:val="18"/>
                      <w:lang w:val="en-US" w:eastAsia="zh-CN"/>
                    </w:rPr>
                    <w:t>/</w:t>
                  </w:r>
                </w:p>
              </w:tc>
              <w:tc>
                <w:tcPr>
                  <w:tcW w:w="212" w:type="pct"/>
                  <w:shd w:val="clear" w:color="auto" w:fill="auto"/>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10</w:t>
                  </w:r>
                </w:p>
              </w:tc>
              <w:tc>
                <w:tcPr>
                  <w:tcW w:w="448"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lang w:val="en-US" w:eastAsia="zh-CN"/>
                    </w:rPr>
                    <w:t>单台</w:t>
                  </w:r>
                  <w:r>
                    <w:rPr>
                      <w:rFonts w:hint="eastAsia" w:cs="Times New Roman"/>
                      <w:color w:val="auto"/>
                      <w:kern w:val="2"/>
                      <w:sz w:val="18"/>
                      <w:szCs w:val="18"/>
                      <w:highlight w:val="none"/>
                      <w:lang w:val="en-US" w:eastAsia="zh-CN" w:bidi="ar-SA"/>
                    </w:rPr>
                    <w:t>80，</w:t>
                  </w:r>
                  <w:r>
                    <w:rPr>
                      <w:rFonts w:hint="eastAsia" w:cs="Times New Roman"/>
                      <w:color w:val="auto"/>
                      <w:sz w:val="18"/>
                      <w:szCs w:val="18"/>
                      <w:lang w:val="en-US" w:eastAsia="zh-CN"/>
                    </w:rPr>
                    <w:t>叠加后90</w:t>
                  </w:r>
                </w:p>
              </w:tc>
              <w:tc>
                <w:tcPr>
                  <w:tcW w:w="219" w:type="pct"/>
                  <w:vMerge w:val="continue"/>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p>
              </w:tc>
              <w:tc>
                <w:tcPr>
                  <w:tcW w:w="224"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Calibri"/>
                      <w:color w:val="auto"/>
                      <w:kern w:val="0"/>
                      <w:sz w:val="18"/>
                      <w:szCs w:val="18"/>
                      <w:lang w:val="en-US" w:eastAsia="zh-CN" w:bidi="ar-SA"/>
                    </w:rPr>
                  </w:pPr>
                  <w:r>
                    <w:rPr>
                      <w:rFonts w:hint="eastAsia" w:ascii="Times New Roman"/>
                      <w:color w:val="auto"/>
                      <w:kern w:val="0"/>
                      <w:sz w:val="18"/>
                      <w:szCs w:val="18"/>
                      <w:lang w:val="en-US" w:eastAsia="zh-CN" w:bidi="ar-SA"/>
                    </w:rPr>
                    <w:t>60</w:t>
                  </w:r>
                </w:p>
              </w:tc>
              <w:tc>
                <w:tcPr>
                  <w:tcW w:w="196"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165</w:t>
                  </w:r>
                </w:p>
              </w:tc>
              <w:tc>
                <w:tcPr>
                  <w:tcW w:w="155"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w:t>
                  </w:r>
                </w:p>
              </w:tc>
              <w:tc>
                <w:tcPr>
                  <w:tcW w:w="178"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35</w:t>
                  </w:r>
                </w:p>
              </w:tc>
              <w:tc>
                <w:tcPr>
                  <w:tcW w:w="178" w:type="pct"/>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color w:val="auto"/>
                      <w:spacing w:val="-10"/>
                      <w:kern w:val="0"/>
                      <w:sz w:val="18"/>
                      <w:szCs w:val="18"/>
                      <w:highlight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5</w:t>
                  </w:r>
                </w:p>
              </w:tc>
              <w:tc>
                <w:tcPr>
                  <w:tcW w:w="178"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122</w:t>
                  </w:r>
                </w:p>
              </w:tc>
              <w:tc>
                <w:tcPr>
                  <w:tcW w:w="173"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38</w:t>
                  </w:r>
                </w:p>
              </w:tc>
              <w:tc>
                <w:tcPr>
                  <w:tcW w:w="21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59.1</w:t>
                  </w:r>
                </w:p>
              </w:tc>
              <w:tc>
                <w:tcPr>
                  <w:tcW w:w="213"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76.0</w:t>
                  </w:r>
                </w:p>
              </w:tc>
              <w:tc>
                <w:tcPr>
                  <w:tcW w:w="213"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48.3</w:t>
                  </w:r>
                </w:p>
              </w:tc>
              <w:tc>
                <w:tcPr>
                  <w:tcW w:w="214"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58.4</w:t>
                  </w:r>
                </w:p>
              </w:tc>
              <w:tc>
                <w:tcPr>
                  <w:tcW w:w="269"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20</w:t>
                  </w:r>
                </w:p>
              </w:tc>
              <w:tc>
                <w:tcPr>
                  <w:tcW w:w="265" w:type="pct"/>
                  <w:vMerge w:val="continue"/>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p>
              </w:tc>
              <w:tc>
                <w:tcPr>
                  <w:tcW w:w="265" w:type="pct"/>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rPr>
                  </w:pPr>
                </w:p>
              </w:tc>
              <w:tc>
                <w:tcPr>
                  <w:tcW w:w="180" w:type="pct"/>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0" w:type="auto"/>
                  <w:shd w:val="clear" w:color="auto" w:fill="auto"/>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color w:val="auto"/>
                      <w:kern w:val="2"/>
                      <w:sz w:val="18"/>
                      <w:szCs w:val="18"/>
                      <w:lang w:val="en-US" w:eastAsia="zh-CN" w:bidi="ar-SA"/>
                    </w:rPr>
                    <w:t>26</w:t>
                  </w:r>
                </w:p>
              </w:tc>
              <w:tc>
                <w:tcPr>
                  <w:tcW w:w="420" w:type="pct"/>
                  <w:shd w:val="clear" w:color="auto" w:fill="auto"/>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龙门卧式带锯床</w:t>
                  </w:r>
                </w:p>
              </w:tc>
              <w:tc>
                <w:tcPr>
                  <w:tcW w:w="420" w:type="pct"/>
                  <w:shd w:val="clear" w:color="auto" w:fill="auto"/>
                  <w:vAlign w:val="center"/>
                </w:tcPr>
                <w:p>
                  <w:pPr>
                    <w:jc w:val="center"/>
                    <w:rPr>
                      <w:rFonts w:hint="eastAsia" w:ascii="Times New Roman" w:hAnsi="Times New Roman" w:cs="Times New Roman"/>
                      <w:color w:val="auto"/>
                      <w:kern w:val="2"/>
                      <w:sz w:val="18"/>
                      <w:szCs w:val="18"/>
                      <w:lang w:val="en-US" w:eastAsia="zh-CN" w:bidi="ar-SA"/>
                    </w:rPr>
                  </w:pPr>
                  <w:r>
                    <w:rPr>
                      <w:rFonts w:hint="eastAsia" w:cs="Times New Roman"/>
                      <w:color w:val="auto"/>
                      <w:sz w:val="18"/>
                      <w:szCs w:val="18"/>
                      <w:lang w:val="en-US" w:eastAsia="zh-CN"/>
                    </w:rPr>
                    <w:t>/</w:t>
                  </w:r>
                </w:p>
              </w:tc>
              <w:tc>
                <w:tcPr>
                  <w:tcW w:w="212" w:type="pct"/>
                  <w:shd w:val="clear" w:color="auto" w:fill="auto"/>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w:t>
                  </w:r>
                </w:p>
              </w:tc>
              <w:tc>
                <w:tcPr>
                  <w:tcW w:w="448"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80</w:t>
                  </w:r>
                </w:p>
              </w:tc>
              <w:tc>
                <w:tcPr>
                  <w:tcW w:w="219" w:type="pct"/>
                  <w:vMerge w:val="continue"/>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p>
              </w:tc>
              <w:tc>
                <w:tcPr>
                  <w:tcW w:w="224"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Calibri"/>
                      <w:color w:val="auto"/>
                      <w:kern w:val="0"/>
                      <w:sz w:val="18"/>
                      <w:szCs w:val="18"/>
                      <w:lang w:val="en-US" w:eastAsia="zh-CN" w:bidi="ar-SA"/>
                    </w:rPr>
                  </w:pPr>
                  <w:r>
                    <w:rPr>
                      <w:rFonts w:hint="eastAsia" w:ascii="Times New Roman"/>
                      <w:color w:val="auto"/>
                      <w:kern w:val="0"/>
                      <w:sz w:val="18"/>
                      <w:szCs w:val="18"/>
                      <w:lang w:val="en-US" w:eastAsia="zh-CN" w:bidi="ar-SA"/>
                    </w:rPr>
                    <w:t>46</w:t>
                  </w:r>
                </w:p>
              </w:tc>
              <w:tc>
                <w:tcPr>
                  <w:tcW w:w="196"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166</w:t>
                  </w:r>
                </w:p>
              </w:tc>
              <w:tc>
                <w:tcPr>
                  <w:tcW w:w="155"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ascii="Times New Roman"/>
                      <w:color w:val="auto"/>
                      <w:sz w:val="18"/>
                      <w:szCs w:val="18"/>
                    </w:rPr>
                    <w:t>1</w:t>
                  </w:r>
                </w:p>
              </w:tc>
              <w:tc>
                <w:tcPr>
                  <w:tcW w:w="178"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35</w:t>
                  </w:r>
                </w:p>
              </w:tc>
              <w:tc>
                <w:tcPr>
                  <w:tcW w:w="178" w:type="pct"/>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color w:val="auto"/>
                      <w:spacing w:val="-10"/>
                      <w:kern w:val="0"/>
                      <w:sz w:val="18"/>
                      <w:szCs w:val="18"/>
                      <w:highlight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5</w:t>
                  </w:r>
                </w:p>
              </w:tc>
              <w:tc>
                <w:tcPr>
                  <w:tcW w:w="178"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114</w:t>
                  </w:r>
                </w:p>
              </w:tc>
              <w:tc>
                <w:tcPr>
                  <w:tcW w:w="173"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46</w:t>
                  </w:r>
                </w:p>
              </w:tc>
              <w:tc>
                <w:tcPr>
                  <w:tcW w:w="21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49.1</w:t>
                  </w:r>
                </w:p>
              </w:tc>
              <w:tc>
                <w:tcPr>
                  <w:tcW w:w="213"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66.0</w:t>
                  </w:r>
                </w:p>
              </w:tc>
              <w:tc>
                <w:tcPr>
                  <w:tcW w:w="213"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38.9</w:t>
                  </w:r>
                </w:p>
              </w:tc>
              <w:tc>
                <w:tcPr>
                  <w:tcW w:w="214"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46.7</w:t>
                  </w:r>
                </w:p>
              </w:tc>
              <w:tc>
                <w:tcPr>
                  <w:tcW w:w="269"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20</w:t>
                  </w:r>
                </w:p>
              </w:tc>
              <w:tc>
                <w:tcPr>
                  <w:tcW w:w="265" w:type="pct"/>
                  <w:vMerge w:val="continue"/>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p>
              </w:tc>
              <w:tc>
                <w:tcPr>
                  <w:tcW w:w="265" w:type="pct"/>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rPr>
                  </w:pPr>
                </w:p>
              </w:tc>
              <w:tc>
                <w:tcPr>
                  <w:tcW w:w="180" w:type="pct"/>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0" w:type="auto"/>
                  <w:shd w:val="clear" w:color="auto" w:fill="auto"/>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color w:val="auto"/>
                      <w:kern w:val="2"/>
                      <w:sz w:val="18"/>
                      <w:szCs w:val="18"/>
                      <w:lang w:val="en-US" w:eastAsia="zh-CN" w:bidi="ar-SA"/>
                    </w:rPr>
                    <w:t>27</w:t>
                  </w:r>
                </w:p>
              </w:tc>
              <w:tc>
                <w:tcPr>
                  <w:tcW w:w="420" w:type="pct"/>
                  <w:shd w:val="clear" w:color="auto" w:fill="auto"/>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卧式车床</w:t>
                  </w:r>
                </w:p>
              </w:tc>
              <w:tc>
                <w:tcPr>
                  <w:tcW w:w="420" w:type="pct"/>
                  <w:shd w:val="clear" w:color="auto" w:fill="auto"/>
                  <w:vAlign w:val="center"/>
                </w:tcPr>
                <w:p>
                  <w:pPr>
                    <w:jc w:val="center"/>
                    <w:rPr>
                      <w:rFonts w:hint="eastAsia" w:ascii="Times New Roman" w:hAnsi="Times New Roman" w:cs="Times New Roman"/>
                      <w:color w:val="auto"/>
                      <w:kern w:val="2"/>
                      <w:sz w:val="18"/>
                      <w:szCs w:val="18"/>
                      <w:lang w:val="en-US" w:eastAsia="zh-CN" w:bidi="ar-SA"/>
                    </w:rPr>
                  </w:pPr>
                  <w:r>
                    <w:rPr>
                      <w:rFonts w:hint="eastAsia" w:cs="Times New Roman"/>
                      <w:color w:val="auto"/>
                      <w:sz w:val="18"/>
                      <w:szCs w:val="18"/>
                      <w:lang w:val="en-US" w:eastAsia="zh-CN"/>
                    </w:rPr>
                    <w:t>/</w:t>
                  </w:r>
                </w:p>
              </w:tc>
              <w:tc>
                <w:tcPr>
                  <w:tcW w:w="212" w:type="pct"/>
                  <w:shd w:val="clear" w:color="auto" w:fill="auto"/>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19</w:t>
                  </w:r>
                </w:p>
              </w:tc>
              <w:tc>
                <w:tcPr>
                  <w:tcW w:w="448"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lang w:val="en-US" w:eastAsia="zh-CN"/>
                    </w:rPr>
                    <w:t>单台</w:t>
                  </w:r>
                  <w:r>
                    <w:rPr>
                      <w:rFonts w:hint="eastAsia" w:ascii="Times New Roman" w:hAnsi="Times New Roman" w:eastAsia="宋体" w:cs="Times New Roman"/>
                      <w:color w:val="auto"/>
                      <w:sz w:val="18"/>
                      <w:szCs w:val="18"/>
                      <w:lang w:val="en-US" w:eastAsia="zh-CN"/>
                    </w:rPr>
                    <w:t>75</w:t>
                  </w:r>
                  <w:r>
                    <w:rPr>
                      <w:rFonts w:hint="eastAsia" w:cs="Times New Roman"/>
                      <w:color w:val="auto"/>
                      <w:sz w:val="18"/>
                      <w:szCs w:val="18"/>
                      <w:lang w:val="en-US" w:eastAsia="zh-CN"/>
                    </w:rPr>
                    <w:t>，叠加后87.8</w:t>
                  </w:r>
                </w:p>
              </w:tc>
              <w:tc>
                <w:tcPr>
                  <w:tcW w:w="219" w:type="pct"/>
                  <w:vMerge w:val="continue"/>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p>
              </w:tc>
              <w:tc>
                <w:tcPr>
                  <w:tcW w:w="224"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Calibri"/>
                      <w:color w:val="auto"/>
                      <w:kern w:val="0"/>
                      <w:sz w:val="18"/>
                      <w:szCs w:val="18"/>
                      <w:lang w:val="en-US" w:eastAsia="zh-CN" w:bidi="ar-SA"/>
                    </w:rPr>
                  </w:pPr>
                  <w:r>
                    <w:rPr>
                      <w:rFonts w:hint="eastAsia" w:ascii="Times New Roman"/>
                      <w:color w:val="auto"/>
                      <w:kern w:val="0"/>
                      <w:sz w:val="18"/>
                      <w:szCs w:val="18"/>
                      <w:lang w:val="en-US" w:eastAsia="zh-CN" w:bidi="ar-SA"/>
                    </w:rPr>
                    <w:t>35</w:t>
                  </w:r>
                </w:p>
              </w:tc>
              <w:tc>
                <w:tcPr>
                  <w:tcW w:w="196"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170</w:t>
                  </w:r>
                </w:p>
              </w:tc>
              <w:tc>
                <w:tcPr>
                  <w:tcW w:w="155"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ascii="Times New Roman"/>
                      <w:color w:val="auto"/>
                      <w:sz w:val="18"/>
                      <w:szCs w:val="18"/>
                    </w:rPr>
                    <w:t>1</w:t>
                  </w:r>
                </w:p>
              </w:tc>
              <w:tc>
                <w:tcPr>
                  <w:tcW w:w="178"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8</w:t>
                  </w:r>
                </w:p>
              </w:tc>
              <w:tc>
                <w:tcPr>
                  <w:tcW w:w="178"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32</w:t>
                  </w:r>
                </w:p>
              </w:tc>
              <w:tc>
                <w:tcPr>
                  <w:tcW w:w="178"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92</w:t>
                  </w:r>
                </w:p>
              </w:tc>
              <w:tc>
                <w:tcPr>
                  <w:tcW w:w="173"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68</w:t>
                  </w:r>
                </w:p>
              </w:tc>
              <w:tc>
                <w:tcPr>
                  <w:tcW w:w="21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69.7</w:t>
                  </w:r>
                </w:p>
              </w:tc>
              <w:tc>
                <w:tcPr>
                  <w:tcW w:w="213"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57.7</w:t>
                  </w:r>
                </w:p>
              </w:tc>
              <w:tc>
                <w:tcPr>
                  <w:tcW w:w="213"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48.5</w:t>
                  </w:r>
                </w:p>
              </w:tc>
              <w:tc>
                <w:tcPr>
                  <w:tcW w:w="214"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51.1</w:t>
                  </w:r>
                </w:p>
              </w:tc>
              <w:tc>
                <w:tcPr>
                  <w:tcW w:w="269"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20</w:t>
                  </w:r>
                </w:p>
              </w:tc>
              <w:tc>
                <w:tcPr>
                  <w:tcW w:w="265" w:type="pct"/>
                  <w:vMerge w:val="continue"/>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p>
              </w:tc>
              <w:tc>
                <w:tcPr>
                  <w:tcW w:w="265" w:type="pct"/>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rPr>
                  </w:pPr>
                </w:p>
              </w:tc>
              <w:tc>
                <w:tcPr>
                  <w:tcW w:w="180" w:type="pct"/>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0" w:type="auto"/>
                  <w:shd w:val="clear" w:color="auto" w:fill="auto"/>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color w:val="auto"/>
                      <w:kern w:val="2"/>
                      <w:sz w:val="18"/>
                      <w:szCs w:val="18"/>
                      <w:lang w:val="en-US" w:eastAsia="zh-CN" w:bidi="ar-SA"/>
                    </w:rPr>
                    <w:t>28</w:t>
                  </w:r>
                </w:p>
              </w:tc>
              <w:tc>
                <w:tcPr>
                  <w:tcW w:w="420" w:type="pct"/>
                  <w:shd w:val="clear" w:color="auto" w:fill="auto"/>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镗铣床</w:t>
                  </w:r>
                </w:p>
              </w:tc>
              <w:tc>
                <w:tcPr>
                  <w:tcW w:w="420" w:type="pct"/>
                  <w:shd w:val="clear" w:color="auto" w:fill="auto"/>
                  <w:vAlign w:val="center"/>
                </w:tcPr>
                <w:p>
                  <w:pPr>
                    <w:jc w:val="center"/>
                    <w:rPr>
                      <w:rFonts w:hint="eastAsia" w:ascii="Times New Roman" w:hAnsi="Times New Roman" w:cs="Times New Roman"/>
                      <w:color w:val="auto"/>
                      <w:kern w:val="2"/>
                      <w:sz w:val="18"/>
                      <w:szCs w:val="18"/>
                      <w:lang w:val="en-US" w:eastAsia="zh-CN" w:bidi="ar-SA"/>
                    </w:rPr>
                  </w:pPr>
                  <w:r>
                    <w:rPr>
                      <w:rFonts w:hint="eastAsia" w:cs="Times New Roman"/>
                      <w:color w:val="auto"/>
                      <w:sz w:val="18"/>
                      <w:szCs w:val="18"/>
                      <w:lang w:val="en-US" w:eastAsia="zh-CN"/>
                    </w:rPr>
                    <w:t>/</w:t>
                  </w:r>
                </w:p>
              </w:tc>
              <w:tc>
                <w:tcPr>
                  <w:tcW w:w="212" w:type="pct"/>
                  <w:shd w:val="clear" w:color="auto" w:fill="auto"/>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7</w:t>
                  </w:r>
                </w:p>
              </w:tc>
              <w:tc>
                <w:tcPr>
                  <w:tcW w:w="448"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lang w:val="en-US" w:eastAsia="zh-CN"/>
                    </w:rPr>
                    <w:t>单台</w:t>
                  </w:r>
                  <w:r>
                    <w:rPr>
                      <w:rFonts w:hint="eastAsia" w:ascii="Times New Roman" w:hAnsi="Times New Roman" w:eastAsia="宋体" w:cs="Times New Roman"/>
                      <w:color w:val="auto"/>
                      <w:sz w:val="18"/>
                      <w:szCs w:val="18"/>
                      <w:lang w:val="en-US" w:eastAsia="zh-CN"/>
                    </w:rPr>
                    <w:t>75</w:t>
                  </w:r>
                  <w:r>
                    <w:rPr>
                      <w:rFonts w:hint="eastAsia" w:cs="Times New Roman"/>
                      <w:color w:val="auto"/>
                      <w:sz w:val="18"/>
                      <w:szCs w:val="18"/>
                      <w:lang w:val="en-US" w:eastAsia="zh-CN"/>
                    </w:rPr>
                    <w:t>，叠加后83.5</w:t>
                  </w:r>
                </w:p>
              </w:tc>
              <w:tc>
                <w:tcPr>
                  <w:tcW w:w="219" w:type="pct"/>
                  <w:vMerge w:val="continue"/>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p>
              </w:tc>
              <w:tc>
                <w:tcPr>
                  <w:tcW w:w="224"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Calibri"/>
                      <w:color w:val="auto"/>
                      <w:kern w:val="0"/>
                      <w:sz w:val="18"/>
                      <w:szCs w:val="18"/>
                      <w:lang w:val="en-US" w:eastAsia="zh-CN" w:bidi="ar-SA"/>
                    </w:rPr>
                  </w:pPr>
                  <w:r>
                    <w:rPr>
                      <w:rFonts w:hint="eastAsia" w:ascii="Times New Roman"/>
                      <w:color w:val="auto"/>
                      <w:kern w:val="0"/>
                      <w:sz w:val="18"/>
                      <w:szCs w:val="18"/>
                      <w:lang w:val="en-US" w:eastAsia="zh-CN" w:bidi="ar-SA"/>
                    </w:rPr>
                    <w:t>28</w:t>
                  </w:r>
                </w:p>
              </w:tc>
              <w:tc>
                <w:tcPr>
                  <w:tcW w:w="196"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177</w:t>
                  </w:r>
                </w:p>
              </w:tc>
              <w:tc>
                <w:tcPr>
                  <w:tcW w:w="155"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w:t>
                  </w:r>
                </w:p>
              </w:tc>
              <w:tc>
                <w:tcPr>
                  <w:tcW w:w="178"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2</w:t>
                  </w:r>
                </w:p>
              </w:tc>
              <w:tc>
                <w:tcPr>
                  <w:tcW w:w="178"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38</w:t>
                  </w:r>
                </w:p>
              </w:tc>
              <w:tc>
                <w:tcPr>
                  <w:tcW w:w="178"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125</w:t>
                  </w:r>
                </w:p>
              </w:tc>
              <w:tc>
                <w:tcPr>
                  <w:tcW w:w="173"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35</w:t>
                  </w:r>
                </w:p>
              </w:tc>
              <w:tc>
                <w:tcPr>
                  <w:tcW w:w="21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77.5</w:t>
                  </w:r>
                </w:p>
              </w:tc>
              <w:tc>
                <w:tcPr>
                  <w:tcW w:w="213"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51.9</w:t>
                  </w:r>
                </w:p>
              </w:tc>
              <w:tc>
                <w:tcPr>
                  <w:tcW w:w="213"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41.6</w:t>
                  </w:r>
                </w:p>
              </w:tc>
              <w:tc>
                <w:tcPr>
                  <w:tcW w:w="214"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52.6</w:t>
                  </w:r>
                </w:p>
              </w:tc>
              <w:tc>
                <w:tcPr>
                  <w:tcW w:w="269"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20</w:t>
                  </w:r>
                </w:p>
              </w:tc>
              <w:tc>
                <w:tcPr>
                  <w:tcW w:w="265" w:type="pct"/>
                  <w:vMerge w:val="continue"/>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p>
              </w:tc>
              <w:tc>
                <w:tcPr>
                  <w:tcW w:w="265" w:type="pct"/>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rPr>
                  </w:pPr>
                </w:p>
              </w:tc>
              <w:tc>
                <w:tcPr>
                  <w:tcW w:w="180" w:type="pct"/>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0" w:type="auto"/>
                  <w:shd w:val="clear" w:color="auto" w:fill="auto"/>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color w:val="auto"/>
                      <w:kern w:val="2"/>
                      <w:sz w:val="18"/>
                      <w:szCs w:val="18"/>
                      <w:lang w:val="en-US" w:eastAsia="zh-CN" w:bidi="ar-SA"/>
                    </w:rPr>
                    <w:t>29</w:t>
                  </w:r>
                </w:p>
              </w:tc>
              <w:tc>
                <w:tcPr>
                  <w:tcW w:w="420" w:type="pct"/>
                  <w:shd w:val="clear" w:color="auto" w:fill="auto"/>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深孔镗床</w:t>
                  </w:r>
                </w:p>
              </w:tc>
              <w:tc>
                <w:tcPr>
                  <w:tcW w:w="420" w:type="pct"/>
                  <w:shd w:val="clear" w:color="auto" w:fill="auto"/>
                  <w:vAlign w:val="center"/>
                </w:tcPr>
                <w:p>
                  <w:pPr>
                    <w:jc w:val="center"/>
                    <w:rPr>
                      <w:rFonts w:hint="eastAsia" w:ascii="Times New Roman" w:hAnsi="Times New Roman" w:cs="Times New Roman"/>
                      <w:color w:val="auto"/>
                      <w:kern w:val="2"/>
                      <w:sz w:val="18"/>
                      <w:szCs w:val="18"/>
                      <w:lang w:val="en-US" w:eastAsia="zh-CN" w:bidi="ar-SA"/>
                    </w:rPr>
                  </w:pPr>
                  <w:r>
                    <w:rPr>
                      <w:rFonts w:hint="eastAsia" w:cs="Times New Roman"/>
                      <w:color w:val="auto"/>
                      <w:sz w:val="18"/>
                      <w:szCs w:val="18"/>
                      <w:lang w:val="en-US" w:eastAsia="zh-CN"/>
                    </w:rPr>
                    <w:t>/</w:t>
                  </w:r>
                </w:p>
              </w:tc>
              <w:tc>
                <w:tcPr>
                  <w:tcW w:w="212" w:type="pct"/>
                  <w:shd w:val="clear" w:color="auto" w:fill="auto"/>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1</w:t>
                  </w:r>
                </w:p>
              </w:tc>
              <w:tc>
                <w:tcPr>
                  <w:tcW w:w="448"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75</w:t>
                  </w:r>
                </w:p>
              </w:tc>
              <w:tc>
                <w:tcPr>
                  <w:tcW w:w="219" w:type="pct"/>
                  <w:vMerge w:val="continue"/>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p>
              </w:tc>
              <w:tc>
                <w:tcPr>
                  <w:tcW w:w="224"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Calibri"/>
                      <w:color w:val="auto"/>
                      <w:kern w:val="0"/>
                      <w:sz w:val="18"/>
                      <w:szCs w:val="18"/>
                      <w:lang w:val="en-US" w:eastAsia="zh-CN" w:bidi="ar-SA"/>
                    </w:rPr>
                  </w:pPr>
                  <w:r>
                    <w:rPr>
                      <w:rFonts w:hint="eastAsia" w:ascii="Times New Roman"/>
                      <w:color w:val="auto"/>
                      <w:kern w:val="0"/>
                      <w:sz w:val="18"/>
                      <w:szCs w:val="18"/>
                      <w:lang w:val="en-US" w:eastAsia="zh-CN" w:bidi="ar-SA"/>
                    </w:rPr>
                    <w:t>12</w:t>
                  </w:r>
                </w:p>
              </w:tc>
              <w:tc>
                <w:tcPr>
                  <w:tcW w:w="196"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178</w:t>
                  </w:r>
                </w:p>
              </w:tc>
              <w:tc>
                <w:tcPr>
                  <w:tcW w:w="155"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ascii="Times New Roman"/>
                      <w:color w:val="auto"/>
                      <w:sz w:val="18"/>
                      <w:szCs w:val="18"/>
                    </w:rPr>
                    <w:t>1</w:t>
                  </w:r>
                </w:p>
              </w:tc>
              <w:tc>
                <w:tcPr>
                  <w:tcW w:w="178"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w:t>
                  </w:r>
                </w:p>
              </w:tc>
              <w:tc>
                <w:tcPr>
                  <w:tcW w:w="178"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35</w:t>
                  </w:r>
                </w:p>
              </w:tc>
              <w:tc>
                <w:tcPr>
                  <w:tcW w:w="178"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115</w:t>
                  </w:r>
                </w:p>
              </w:tc>
              <w:tc>
                <w:tcPr>
                  <w:tcW w:w="173"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45</w:t>
                  </w:r>
                </w:p>
              </w:tc>
              <w:tc>
                <w:tcPr>
                  <w:tcW w:w="21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61.0</w:t>
                  </w:r>
                </w:p>
              </w:tc>
              <w:tc>
                <w:tcPr>
                  <w:tcW w:w="213"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44.1</w:t>
                  </w:r>
                </w:p>
              </w:tc>
              <w:tc>
                <w:tcPr>
                  <w:tcW w:w="213"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33.8</w:t>
                  </w:r>
                </w:p>
              </w:tc>
              <w:tc>
                <w:tcPr>
                  <w:tcW w:w="214"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41.9</w:t>
                  </w:r>
                </w:p>
              </w:tc>
              <w:tc>
                <w:tcPr>
                  <w:tcW w:w="269"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20</w:t>
                  </w:r>
                </w:p>
              </w:tc>
              <w:tc>
                <w:tcPr>
                  <w:tcW w:w="265" w:type="pct"/>
                  <w:vMerge w:val="continue"/>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p>
              </w:tc>
              <w:tc>
                <w:tcPr>
                  <w:tcW w:w="265" w:type="pct"/>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rPr>
                  </w:pPr>
                </w:p>
              </w:tc>
              <w:tc>
                <w:tcPr>
                  <w:tcW w:w="180" w:type="pct"/>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0" w:type="auto"/>
                  <w:shd w:val="clear" w:color="auto" w:fill="auto"/>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color w:val="auto"/>
                      <w:kern w:val="2"/>
                      <w:sz w:val="18"/>
                      <w:szCs w:val="18"/>
                      <w:lang w:val="en-US" w:eastAsia="zh-CN" w:bidi="ar-SA"/>
                    </w:rPr>
                    <w:t>30</w:t>
                  </w:r>
                </w:p>
              </w:tc>
              <w:tc>
                <w:tcPr>
                  <w:tcW w:w="420" w:type="pct"/>
                  <w:shd w:val="clear" w:color="auto" w:fill="auto"/>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立式车床</w:t>
                  </w:r>
                </w:p>
              </w:tc>
              <w:tc>
                <w:tcPr>
                  <w:tcW w:w="420" w:type="pct"/>
                  <w:shd w:val="clear" w:color="auto" w:fill="auto"/>
                  <w:vAlign w:val="center"/>
                </w:tcPr>
                <w:p>
                  <w:pPr>
                    <w:jc w:val="center"/>
                    <w:rPr>
                      <w:rFonts w:hint="eastAsia" w:ascii="Times New Roman" w:hAnsi="Times New Roman" w:cs="Times New Roman"/>
                      <w:color w:val="auto"/>
                      <w:kern w:val="2"/>
                      <w:sz w:val="18"/>
                      <w:szCs w:val="18"/>
                      <w:lang w:val="en-US" w:eastAsia="zh-CN" w:bidi="ar-SA"/>
                    </w:rPr>
                  </w:pPr>
                  <w:r>
                    <w:rPr>
                      <w:rFonts w:hint="eastAsia" w:cs="Times New Roman"/>
                      <w:color w:val="auto"/>
                      <w:sz w:val="18"/>
                      <w:szCs w:val="18"/>
                      <w:lang w:val="en-US" w:eastAsia="zh-CN"/>
                    </w:rPr>
                    <w:t>/</w:t>
                  </w:r>
                </w:p>
              </w:tc>
              <w:tc>
                <w:tcPr>
                  <w:tcW w:w="212" w:type="pct"/>
                  <w:shd w:val="clear" w:color="auto" w:fill="auto"/>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4</w:t>
                  </w:r>
                </w:p>
              </w:tc>
              <w:tc>
                <w:tcPr>
                  <w:tcW w:w="448"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lang w:val="en-US" w:eastAsia="zh-CN"/>
                    </w:rPr>
                    <w:t>单台</w:t>
                  </w:r>
                  <w:r>
                    <w:rPr>
                      <w:rFonts w:hint="eastAsia" w:ascii="Times New Roman" w:hAnsi="Times New Roman" w:eastAsia="宋体" w:cs="Times New Roman"/>
                      <w:color w:val="auto"/>
                      <w:sz w:val="18"/>
                      <w:szCs w:val="18"/>
                      <w:lang w:val="en-US" w:eastAsia="zh-CN"/>
                    </w:rPr>
                    <w:t>80</w:t>
                  </w:r>
                  <w:r>
                    <w:rPr>
                      <w:rFonts w:hint="eastAsia" w:cs="Times New Roman"/>
                      <w:color w:val="auto"/>
                      <w:sz w:val="18"/>
                      <w:szCs w:val="18"/>
                      <w:lang w:val="en-US" w:eastAsia="zh-CN"/>
                    </w:rPr>
                    <w:t>，叠加后83.5</w:t>
                  </w:r>
                </w:p>
              </w:tc>
              <w:tc>
                <w:tcPr>
                  <w:tcW w:w="219" w:type="pct"/>
                  <w:vMerge w:val="continue"/>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p>
              </w:tc>
              <w:tc>
                <w:tcPr>
                  <w:tcW w:w="224"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Calibri"/>
                      <w:color w:val="auto"/>
                      <w:kern w:val="0"/>
                      <w:sz w:val="18"/>
                      <w:szCs w:val="18"/>
                      <w:lang w:val="en-US" w:eastAsia="zh-CN" w:bidi="ar-SA"/>
                    </w:rPr>
                  </w:pPr>
                  <w:r>
                    <w:rPr>
                      <w:rFonts w:hint="eastAsia" w:ascii="Times New Roman"/>
                      <w:color w:val="auto"/>
                      <w:kern w:val="0"/>
                      <w:sz w:val="18"/>
                      <w:szCs w:val="18"/>
                      <w:lang w:val="en-US" w:eastAsia="zh-CN" w:bidi="ar-SA"/>
                    </w:rPr>
                    <w:t>-24</w:t>
                  </w:r>
                </w:p>
              </w:tc>
              <w:tc>
                <w:tcPr>
                  <w:tcW w:w="196"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184</w:t>
                  </w:r>
                </w:p>
              </w:tc>
              <w:tc>
                <w:tcPr>
                  <w:tcW w:w="155"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ascii="Times New Roman"/>
                      <w:color w:val="auto"/>
                      <w:sz w:val="18"/>
                      <w:szCs w:val="18"/>
                    </w:rPr>
                    <w:t>1</w:t>
                  </w:r>
                </w:p>
              </w:tc>
              <w:tc>
                <w:tcPr>
                  <w:tcW w:w="178"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w:t>
                  </w:r>
                </w:p>
              </w:tc>
              <w:tc>
                <w:tcPr>
                  <w:tcW w:w="178" w:type="pct"/>
                  <w:vAlign w:val="center"/>
                </w:tcPr>
                <w:p>
                  <w:pPr>
                    <w:keepNext w:val="0"/>
                    <w:keepLines w:val="0"/>
                    <w:widowControl/>
                    <w:suppressLineNumbers w:val="0"/>
                    <w:jc w:val="center"/>
                    <w:textAlignment w:val="center"/>
                    <w:rPr>
                      <w:rFonts w:hint="eastAsia"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35</w:t>
                  </w:r>
                </w:p>
              </w:tc>
              <w:tc>
                <w:tcPr>
                  <w:tcW w:w="178"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107</w:t>
                  </w:r>
                </w:p>
              </w:tc>
              <w:tc>
                <w:tcPr>
                  <w:tcW w:w="173"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53</w:t>
                  </w:r>
                </w:p>
              </w:tc>
              <w:tc>
                <w:tcPr>
                  <w:tcW w:w="21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69.5</w:t>
                  </w:r>
                </w:p>
              </w:tc>
              <w:tc>
                <w:tcPr>
                  <w:tcW w:w="213"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52.6</w:t>
                  </w:r>
                </w:p>
              </w:tc>
              <w:tc>
                <w:tcPr>
                  <w:tcW w:w="213"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42.9</w:t>
                  </w:r>
                </w:p>
              </w:tc>
              <w:tc>
                <w:tcPr>
                  <w:tcW w:w="214"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49.0</w:t>
                  </w:r>
                </w:p>
              </w:tc>
              <w:tc>
                <w:tcPr>
                  <w:tcW w:w="269"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20</w:t>
                  </w:r>
                </w:p>
              </w:tc>
              <w:tc>
                <w:tcPr>
                  <w:tcW w:w="265" w:type="pct"/>
                  <w:vMerge w:val="continue"/>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p>
              </w:tc>
              <w:tc>
                <w:tcPr>
                  <w:tcW w:w="265" w:type="pct"/>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rPr>
                  </w:pPr>
                </w:p>
              </w:tc>
              <w:tc>
                <w:tcPr>
                  <w:tcW w:w="180" w:type="pct"/>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0" w:type="auto"/>
                  <w:shd w:val="clear" w:color="auto" w:fill="auto"/>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color w:val="auto"/>
                      <w:kern w:val="2"/>
                      <w:sz w:val="18"/>
                      <w:szCs w:val="18"/>
                      <w:lang w:val="en-US" w:eastAsia="zh-CN" w:bidi="ar-SA"/>
                    </w:rPr>
                    <w:t>31</w:t>
                  </w:r>
                </w:p>
              </w:tc>
              <w:tc>
                <w:tcPr>
                  <w:tcW w:w="420" w:type="pct"/>
                  <w:shd w:val="clear" w:color="auto" w:fill="auto"/>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双柱立式车床</w:t>
                  </w:r>
                </w:p>
              </w:tc>
              <w:tc>
                <w:tcPr>
                  <w:tcW w:w="420" w:type="pct"/>
                  <w:shd w:val="clear" w:color="auto" w:fill="auto"/>
                  <w:vAlign w:val="center"/>
                </w:tcPr>
                <w:p>
                  <w:pPr>
                    <w:jc w:val="center"/>
                    <w:rPr>
                      <w:rFonts w:hint="eastAsia" w:ascii="Times New Roman" w:hAnsi="Times New Roman" w:cs="Times New Roman"/>
                      <w:color w:val="auto"/>
                      <w:kern w:val="2"/>
                      <w:sz w:val="18"/>
                      <w:szCs w:val="18"/>
                      <w:lang w:val="en-US" w:eastAsia="zh-CN" w:bidi="ar-SA"/>
                    </w:rPr>
                  </w:pPr>
                  <w:r>
                    <w:rPr>
                      <w:rFonts w:hint="eastAsia" w:cs="Times New Roman"/>
                      <w:color w:val="auto"/>
                      <w:sz w:val="18"/>
                      <w:szCs w:val="18"/>
                      <w:lang w:val="en-US" w:eastAsia="zh-CN"/>
                    </w:rPr>
                    <w:t>/</w:t>
                  </w:r>
                </w:p>
              </w:tc>
              <w:tc>
                <w:tcPr>
                  <w:tcW w:w="212" w:type="pct"/>
                  <w:shd w:val="clear" w:color="auto" w:fill="auto"/>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6</w:t>
                  </w:r>
                </w:p>
              </w:tc>
              <w:tc>
                <w:tcPr>
                  <w:tcW w:w="448"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lang w:val="en-US" w:eastAsia="zh-CN"/>
                    </w:rPr>
                    <w:t>单台</w:t>
                  </w:r>
                  <w:r>
                    <w:rPr>
                      <w:rFonts w:hint="eastAsia" w:ascii="Times New Roman" w:hAnsi="Times New Roman" w:eastAsia="宋体" w:cs="Times New Roman"/>
                      <w:color w:val="auto"/>
                      <w:sz w:val="18"/>
                      <w:szCs w:val="18"/>
                      <w:lang w:val="en-US" w:eastAsia="zh-CN"/>
                    </w:rPr>
                    <w:t>80</w:t>
                  </w:r>
                  <w:r>
                    <w:rPr>
                      <w:rFonts w:hint="eastAsia" w:cs="Times New Roman"/>
                      <w:color w:val="auto"/>
                      <w:sz w:val="18"/>
                      <w:szCs w:val="18"/>
                      <w:lang w:val="en-US" w:eastAsia="zh-CN"/>
                    </w:rPr>
                    <w:t>，叠加后86</w:t>
                  </w:r>
                </w:p>
              </w:tc>
              <w:tc>
                <w:tcPr>
                  <w:tcW w:w="219" w:type="pct"/>
                  <w:vMerge w:val="continue"/>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p>
              </w:tc>
              <w:tc>
                <w:tcPr>
                  <w:tcW w:w="224"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Calibri"/>
                      <w:color w:val="auto"/>
                      <w:kern w:val="0"/>
                      <w:sz w:val="18"/>
                      <w:szCs w:val="18"/>
                      <w:lang w:val="en-US" w:eastAsia="zh-CN" w:bidi="ar-SA"/>
                    </w:rPr>
                  </w:pPr>
                  <w:r>
                    <w:rPr>
                      <w:rFonts w:hint="eastAsia" w:ascii="Times New Roman"/>
                      <w:color w:val="auto"/>
                      <w:kern w:val="0"/>
                      <w:sz w:val="18"/>
                      <w:szCs w:val="18"/>
                      <w:lang w:val="en-US" w:eastAsia="zh-CN" w:bidi="ar-SA"/>
                    </w:rPr>
                    <w:t>-40</w:t>
                  </w:r>
                </w:p>
              </w:tc>
              <w:tc>
                <w:tcPr>
                  <w:tcW w:w="196"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190</w:t>
                  </w:r>
                </w:p>
              </w:tc>
              <w:tc>
                <w:tcPr>
                  <w:tcW w:w="155"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w:t>
                  </w:r>
                </w:p>
              </w:tc>
              <w:tc>
                <w:tcPr>
                  <w:tcW w:w="178"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8</w:t>
                  </w:r>
                </w:p>
              </w:tc>
              <w:tc>
                <w:tcPr>
                  <w:tcW w:w="178"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32</w:t>
                  </w:r>
                </w:p>
              </w:tc>
              <w:tc>
                <w:tcPr>
                  <w:tcW w:w="178"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66</w:t>
                  </w:r>
                </w:p>
              </w:tc>
              <w:tc>
                <w:tcPr>
                  <w:tcW w:w="173"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94</w:t>
                  </w:r>
                </w:p>
              </w:tc>
              <w:tc>
                <w:tcPr>
                  <w:tcW w:w="21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67.9</w:t>
                  </w:r>
                </w:p>
              </w:tc>
              <w:tc>
                <w:tcPr>
                  <w:tcW w:w="213"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55.9</w:t>
                  </w:r>
                </w:p>
              </w:tc>
              <w:tc>
                <w:tcPr>
                  <w:tcW w:w="213"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49.6</w:t>
                  </w:r>
                </w:p>
              </w:tc>
              <w:tc>
                <w:tcPr>
                  <w:tcW w:w="214"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46.5</w:t>
                  </w:r>
                </w:p>
              </w:tc>
              <w:tc>
                <w:tcPr>
                  <w:tcW w:w="269"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20</w:t>
                  </w:r>
                </w:p>
              </w:tc>
              <w:tc>
                <w:tcPr>
                  <w:tcW w:w="265" w:type="pct"/>
                  <w:vMerge w:val="continue"/>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p>
              </w:tc>
              <w:tc>
                <w:tcPr>
                  <w:tcW w:w="265" w:type="pct"/>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rPr>
                  </w:pPr>
                </w:p>
              </w:tc>
              <w:tc>
                <w:tcPr>
                  <w:tcW w:w="180" w:type="pct"/>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0" w:type="auto"/>
                  <w:shd w:val="clear" w:color="auto" w:fill="auto"/>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color w:val="auto"/>
                      <w:kern w:val="2"/>
                      <w:sz w:val="18"/>
                      <w:szCs w:val="18"/>
                      <w:lang w:val="en-US" w:eastAsia="zh-CN" w:bidi="ar-SA"/>
                    </w:rPr>
                    <w:t>32</w:t>
                  </w:r>
                </w:p>
              </w:tc>
              <w:tc>
                <w:tcPr>
                  <w:tcW w:w="420" w:type="pct"/>
                  <w:shd w:val="clear" w:color="auto" w:fill="auto"/>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普通车床</w:t>
                  </w:r>
                </w:p>
              </w:tc>
              <w:tc>
                <w:tcPr>
                  <w:tcW w:w="420" w:type="pct"/>
                  <w:shd w:val="clear" w:color="auto" w:fill="auto"/>
                  <w:vAlign w:val="center"/>
                </w:tcPr>
                <w:p>
                  <w:pPr>
                    <w:jc w:val="center"/>
                    <w:rPr>
                      <w:rFonts w:hint="eastAsia" w:ascii="Times New Roman" w:hAnsi="Times New Roman" w:cs="Times New Roman"/>
                      <w:color w:val="auto"/>
                      <w:kern w:val="2"/>
                      <w:sz w:val="18"/>
                      <w:szCs w:val="18"/>
                      <w:lang w:val="en-US" w:eastAsia="zh-CN" w:bidi="ar-SA"/>
                    </w:rPr>
                  </w:pPr>
                  <w:r>
                    <w:rPr>
                      <w:rFonts w:hint="eastAsia" w:cs="Times New Roman"/>
                      <w:color w:val="auto"/>
                      <w:sz w:val="18"/>
                      <w:szCs w:val="18"/>
                      <w:lang w:val="en-US" w:eastAsia="zh-CN"/>
                    </w:rPr>
                    <w:t>/</w:t>
                  </w:r>
                </w:p>
              </w:tc>
              <w:tc>
                <w:tcPr>
                  <w:tcW w:w="212" w:type="pct"/>
                  <w:shd w:val="clear" w:color="auto" w:fill="auto"/>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2</w:t>
                  </w:r>
                </w:p>
              </w:tc>
              <w:tc>
                <w:tcPr>
                  <w:tcW w:w="448"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lang w:val="en-US" w:eastAsia="zh-CN"/>
                    </w:rPr>
                    <w:t>单台</w:t>
                  </w:r>
                  <w:r>
                    <w:rPr>
                      <w:rFonts w:hint="eastAsia" w:ascii="Times New Roman" w:hAnsi="Times New Roman" w:eastAsia="宋体" w:cs="Times New Roman"/>
                      <w:color w:val="auto"/>
                      <w:sz w:val="18"/>
                      <w:szCs w:val="18"/>
                      <w:lang w:val="en-US" w:eastAsia="zh-CN"/>
                    </w:rPr>
                    <w:t>75</w:t>
                  </w:r>
                  <w:r>
                    <w:rPr>
                      <w:rFonts w:hint="eastAsia" w:cs="Times New Roman"/>
                      <w:color w:val="auto"/>
                      <w:sz w:val="18"/>
                      <w:szCs w:val="18"/>
                      <w:lang w:val="en-US" w:eastAsia="zh-CN"/>
                    </w:rPr>
                    <w:t>，叠加后78</w:t>
                  </w:r>
                </w:p>
              </w:tc>
              <w:tc>
                <w:tcPr>
                  <w:tcW w:w="219" w:type="pct"/>
                  <w:vMerge w:val="continue"/>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p>
              </w:tc>
              <w:tc>
                <w:tcPr>
                  <w:tcW w:w="224"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Calibri"/>
                      <w:color w:val="auto"/>
                      <w:kern w:val="0"/>
                      <w:sz w:val="18"/>
                      <w:szCs w:val="18"/>
                      <w:lang w:val="en-US" w:eastAsia="zh-CN" w:bidi="ar-SA"/>
                    </w:rPr>
                  </w:pPr>
                  <w:r>
                    <w:rPr>
                      <w:rFonts w:hint="eastAsia" w:ascii="Times New Roman"/>
                      <w:color w:val="auto"/>
                      <w:kern w:val="0"/>
                      <w:sz w:val="18"/>
                      <w:szCs w:val="18"/>
                      <w:lang w:val="en-US" w:eastAsia="zh-CN" w:bidi="ar-SA"/>
                    </w:rPr>
                    <w:t>-55</w:t>
                  </w:r>
                </w:p>
              </w:tc>
              <w:tc>
                <w:tcPr>
                  <w:tcW w:w="196"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192</w:t>
                  </w:r>
                </w:p>
              </w:tc>
              <w:tc>
                <w:tcPr>
                  <w:tcW w:w="155"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ascii="Times New Roman"/>
                      <w:color w:val="auto"/>
                      <w:sz w:val="18"/>
                      <w:szCs w:val="18"/>
                    </w:rPr>
                    <w:t>1</w:t>
                  </w:r>
                </w:p>
              </w:tc>
              <w:tc>
                <w:tcPr>
                  <w:tcW w:w="178"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32</w:t>
                  </w:r>
                </w:p>
              </w:tc>
              <w:tc>
                <w:tcPr>
                  <w:tcW w:w="17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10"/>
                      <w:kern w:val="0"/>
                      <w:sz w:val="18"/>
                      <w:szCs w:val="18"/>
                      <w:highlight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8</w:t>
                  </w:r>
                </w:p>
              </w:tc>
              <w:tc>
                <w:tcPr>
                  <w:tcW w:w="178"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50</w:t>
                  </w:r>
                </w:p>
              </w:tc>
              <w:tc>
                <w:tcPr>
                  <w:tcW w:w="173"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110</w:t>
                  </w:r>
                </w:p>
              </w:tc>
              <w:tc>
                <w:tcPr>
                  <w:tcW w:w="21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47.9</w:t>
                  </w:r>
                </w:p>
              </w:tc>
              <w:tc>
                <w:tcPr>
                  <w:tcW w:w="213"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59.9</w:t>
                  </w:r>
                </w:p>
              </w:tc>
              <w:tc>
                <w:tcPr>
                  <w:tcW w:w="213"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44.0</w:t>
                  </w:r>
                </w:p>
              </w:tc>
              <w:tc>
                <w:tcPr>
                  <w:tcW w:w="214"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37.2</w:t>
                  </w:r>
                </w:p>
              </w:tc>
              <w:tc>
                <w:tcPr>
                  <w:tcW w:w="269"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20</w:t>
                  </w:r>
                </w:p>
              </w:tc>
              <w:tc>
                <w:tcPr>
                  <w:tcW w:w="265" w:type="pct"/>
                  <w:vMerge w:val="continue"/>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p>
              </w:tc>
              <w:tc>
                <w:tcPr>
                  <w:tcW w:w="265" w:type="pct"/>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rPr>
                  </w:pPr>
                </w:p>
              </w:tc>
              <w:tc>
                <w:tcPr>
                  <w:tcW w:w="180" w:type="pct"/>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0" w:type="auto"/>
                  <w:shd w:val="clear" w:color="auto" w:fill="auto"/>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color w:val="auto"/>
                      <w:kern w:val="2"/>
                      <w:sz w:val="18"/>
                      <w:szCs w:val="18"/>
                      <w:lang w:val="en-US" w:eastAsia="zh-CN" w:bidi="ar-SA"/>
                    </w:rPr>
                    <w:t>33</w:t>
                  </w:r>
                </w:p>
              </w:tc>
              <w:tc>
                <w:tcPr>
                  <w:tcW w:w="420" w:type="pct"/>
                  <w:shd w:val="clear" w:color="auto" w:fill="auto"/>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液压牛头刨床</w:t>
                  </w:r>
                </w:p>
              </w:tc>
              <w:tc>
                <w:tcPr>
                  <w:tcW w:w="420" w:type="pct"/>
                  <w:shd w:val="clear" w:color="auto" w:fill="auto"/>
                  <w:vAlign w:val="center"/>
                </w:tcPr>
                <w:p>
                  <w:pPr>
                    <w:jc w:val="center"/>
                    <w:rPr>
                      <w:rFonts w:hint="eastAsia" w:ascii="Times New Roman" w:hAnsi="Times New Roman" w:cs="Times New Roman"/>
                      <w:color w:val="auto"/>
                      <w:kern w:val="2"/>
                      <w:sz w:val="18"/>
                      <w:szCs w:val="18"/>
                      <w:lang w:val="en-US" w:eastAsia="zh-CN" w:bidi="ar-SA"/>
                    </w:rPr>
                  </w:pPr>
                  <w:r>
                    <w:rPr>
                      <w:rFonts w:hint="eastAsia"/>
                      <w:sz w:val="18"/>
                      <w:szCs w:val="18"/>
                    </w:rPr>
                    <w:t>BYS60120</w:t>
                  </w:r>
                </w:p>
              </w:tc>
              <w:tc>
                <w:tcPr>
                  <w:tcW w:w="212" w:type="pct"/>
                  <w:shd w:val="clear" w:color="auto" w:fill="auto"/>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1</w:t>
                  </w:r>
                </w:p>
              </w:tc>
              <w:tc>
                <w:tcPr>
                  <w:tcW w:w="448"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85</w:t>
                  </w:r>
                </w:p>
              </w:tc>
              <w:tc>
                <w:tcPr>
                  <w:tcW w:w="219" w:type="pct"/>
                  <w:vMerge w:val="continue"/>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p>
              </w:tc>
              <w:tc>
                <w:tcPr>
                  <w:tcW w:w="224"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Calibri"/>
                      <w:color w:val="auto"/>
                      <w:kern w:val="0"/>
                      <w:sz w:val="18"/>
                      <w:szCs w:val="18"/>
                      <w:lang w:val="en-US" w:eastAsia="zh-CN" w:bidi="ar-SA"/>
                    </w:rPr>
                  </w:pPr>
                  <w:r>
                    <w:rPr>
                      <w:rFonts w:hint="eastAsia" w:ascii="Times New Roman"/>
                      <w:color w:val="auto"/>
                      <w:kern w:val="0"/>
                      <w:sz w:val="18"/>
                      <w:szCs w:val="18"/>
                      <w:lang w:val="en-US" w:eastAsia="zh-CN" w:bidi="ar-SA"/>
                    </w:rPr>
                    <w:t>-74</w:t>
                  </w:r>
                </w:p>
              </w:tc>
              <w:tc>
                <w:tcPr>
                  <w:tcW w:w="196"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191</w:t>
                  </w:r>
                </w:p>
              </w:tc>
              <w:tc>
                <w:tcPr>
                  <w:tcW w:w="155"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ascii="Times New Roman"/>
                      <w:color w:val="auto"/>
                      <w:sz w:val="18"/>
                      <w:szCs w:val="18"/>
                    </w:rPr>
                    <w:t>1</w:t>
                  </w:r>
                </w:p>
              </w:tc>
              <w:tc>
                <w:tcPr>
                  <w:tcW w:w="178"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34</w:t>
                  </w:r>
                </w:p>
              </w:tc>
              <w:tc>
                <w:tcPr>
                  <w:tcW w:w="17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10"/>
                      <w:kern w:val="0"/>
                      <w:sz w:val="18"/>
                      <w:szCs w:val="18"/>
                      <w:highlight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6</w:t>
                  </w:r>
                </w:p>
              </w:tc>
              <w:tc>
                <w:tcPr>
                  <w:tcW w:w="178"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118</w:t>
                  </w:r>
                </w:p>
              </w:tc>
              <w:tc>
                <w:tcPr>
                  <w:tcW w:w="173"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42</w:t>
                  </w:r>
                </w:p>
              </w:tc>
              <w:tc>
                <w:tcPr>
                  <w:tcW w:w="21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54.4</w:t>
                  </w:r>
                </w:p>
              </w:tc>
              <w:tc>
                <w:tcPr>
                  <w:tcW w:w="213"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69.4</w:t>
                  </w:r>
                </w:p>
              </w:tc>
              <w:tc>
                <w:tcPr>
                  <w:tcW w:w="213"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43.6</w:t>
                  </w:r>
                </w:p>
              </w:tc>
              <w:tc>
                <w:tcPr>
                  <w:tcW w:w="214"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52.5</w:t>
                  </w:r>
                </w:p>
              </w:tc>
              <w:tc>
                <w:tcPr>
                  <w:tcW w:w="269"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20</w:t>
                  </w:r>
                </w:p>
              </w:tc>
              <w:tc>
                <w:tcPr>
                  <w:tcW w:w="265" w:type="pct"/>
                  <w:vMerge w:val="continue"/>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p>
              </w:tc>
              <w:tc>
                <w:tcPr>
                  <w:tcW w:w="265" w:type="pct"/>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rPr>
                  </w:pPr>
                </w:p>
              </w:tc>
              <w:tc>
                <w:tcPr>
                  <w:tcW w:w="180" w:type="pct"/>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0" w:type="auto"/>
                  <w:shd w:val="clear" w:color="auto" w:fill="auto"/>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color w:val="auto"/>
                      <w:kern w:val="2"/>
                      <w:sz w:val="18"/>
                      <w:szCs w:val="18"/>
                      <w:lang w:val="en-US" w:eastAsia="zh-CN" w:bidi="ar-SA"/>
                    </w:rPr>
                    <w:t>34</w:t>
                  </w:r>
                </w:p>
              </w:tc>
              <w:tc>
                <w:tcPr>
                  <w:tcW w:w="420" w:type="pct"/>
                  <w:shd w:val="clear" w:color="auto" w:fill="auto"/>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摇臂钻床</w:t>
                  </w:r>
                </w:p>
              </w:tc>
              <w:tc>
                <w:tcPr>
                  <w:tcW w:w="420" w:type="pct"/>
                  <w:shd w:val="clear" w:color="auto" w:fill="auto"/>
                  <w:vAlign w:val="center"/>
                </w:tcPr>
                <w:p>
                  <w:pPr>
                    <w:jc w:val="center"/>
                    <w:rPr>
                      <w:rFonts w:hint="eastAsia" w:ascii="Times New Roman" w:hAnsi="Times New Roman" w:cs="Times New Roman"/>
                      <w:color w:val="auto"/>
                      <w:kern w:val="2"/>
                      <w:sz w:val="18"/>
                      <w:szCs w:val="18"/>
                      <w:lang w:val="en-US" w:eastAsia="zh-CN" w:bidi="ar-SA"/>
                    </w:rPr>
                  </w:pPr>
                  <w:r>
                    <w:rPr>
                      <w:rFonts w:hint="eastAsia"/>
                      <w:sz w:val="18"/>
                      <w:szCs w:val="18"/>
                    </w:rPr>
                    <w:t>S3080-25</w:t>
                  </w:r>
                </w:p>
              </w:tc>
              <w:tc>
                <w:tcPr>
                  <w:tcW w:w="212" w:type="pct"/>
                  <w:shd w:val="clear" w:color="auto" w:fill="auto"/>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1</w:t>
                  </w:r>
                </w:p>
              </w:tc>
              <w:tc>
                <w:tcPr>
                  <w:tcW w:w="448"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85</w:t>
                  </w:r>
                </w:p>
              </w:tc>
              <w:tc>
                <w:tcPr>
                  <w:tcW w:w="219" w:type="pct"/>
                  <w:vMerge w:val="continue"/>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p>
              </w:tc>
              <w:tc>
                <w:tcPr>
                  <w:tcW w:w="224"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Calibri"/>
                      <w:color w:val="auto"/>
                      <w:kern w:val="0"/>
                      <w:sz w:val="18"/>
                      <w:szCs w:val="18"/>
                      <w:lang w:val="en-US" w:eastAsia="zh-CN" w:bidi="ar-SA"/>
                    </w:rPr>
                  </w:pPr>
                  <w:r>
                    <w:rPr>
                      <w:rFonts w:hint="eastAsia" w:ascii="Times New Roman"/>
                      <w:color w:val="auto"/>
                      <w:kern w:val="0"/>
                      <w:sz w:val="18"/>
                      <w:szCs w:val="18"/>
                      <w:lang w:val="en-US" w:eastAsia="zh-CN" w:bidi="ar-SA"/>
                    </w:rPr>
                    <w:t>-86</w:t>
                  </w:r>
                </w:p>
              </w:tc>
              <w:tc>
                <w:tcPr>
                  <w:tcW w:w="196"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191</w:t>
                  </w:r>
                </w:p>
              </w:tc>
              <w:tc>
                <w:tcPr>
                  <w:tcW w:w="155"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w:t>
                  </w:r>
                </w:p>
              </w:tc>
              <w:tc>
                <w:tcPr>
                  <w:tcW w:w="178"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35</w:t>
                  </w:r>
                </w:p>
              </w:tc>
              <w:tc>
                <w:tcPr>
                  <w:tcW w:w="17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10"/>
                      <w:kern w:val="0"/>
                      <w:sz w:val="18"/>
                      <w:szCs w:val="18"/>
                      <w:highlight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5</w:t>
                  </w:r>
                </w:p>
              </w:tc>
              <w:tc>
                <w:tcPr>
                  <w:tcW w:w="178"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38</w:t>
                  </w:r>
                </w:p>
              </w:tc>
              <w:tc>
                <w:tcPr>
                  <w:tcW w:w="173"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122</w:t>
                  </w:r>
                </w:p>
              </w:tc>
              <w:tc>
                <w:tcPr>
                  <w:tcW w:w="21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54.1</w:t>
                  </w:r>
                </w:p>
              </w:tc>
              <w:tc>
                <w:tcPr>
                  <w:tcW w:w="213"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71.0</w:t>
                  </w:r>
                </w:p>
              </w:tc>
              <w:tc>
                <w:tcPr>
                  <w:tcW w:w="213"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53.4</w:t>
                  </w:r>
                </w:p>
              </w:tc>
              <w:tc>
                <w:tcPr>
                  <w:tcW w:w="214"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43.3</w:t>
                  </w:r>
                </w:p>
              </w:tc>
              <w:tc>
                <w:tcPr>
                  <w:tcW w:w="269"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20</w:t>
                  </w:r>
                </w:p>
              </w:tc>
              <w:tc>
                <w:tcPr>
                  <w:tcW w:w="265" w:type="pct"/>
                  <w:vMerge w:val="continue"/>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p>
              </w:tc>
              <w:tc>
                <w:tcPr>
                  <w:tcW w:w="265" w:type="pct"/>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rPr>
                  </w:pPr>
                </w:p>
              </w:tc>
              <w:tc>
                <w:tcPr>
                  <w:tcW w:w="180" w:type="pct"/>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0" w:type="auto"/>
                  <w:shd w:val="clear" w:color="auto" w:fill="auto"/>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color w:val="auto"/>
                      <w:kern w:val="2"/>
                      <w:sz w:val="18"/>
                      <w:szCs w:val="18"/>
                      <w:lang w:val="en-US" w:eastAsia="zh-CN" w:bidi="ar-SA"/>
                    </w:rPr>
                    <w:t>35</w:t>
                  </w:r>
                </w:p>
              </w:tc>
              <w:tc>
                <w:tcPr>
                  <w:tcW w:w="420" w:type="pct"/>
                  <w:shd w:val="clear" w:color="auto" w:fill="auto"/>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万能铣床</w:t>
                  </w:r>
                </w:p>
              </w:tc>
              <w:tc>
                <w:tcPr>
                  <w:tcW w:w="420" w:type="pct"/>
                  <w:shd w:val="clear" w:color="auto" w:fill="auto"/>
                  <w:vAlign w:val="center"/>
                </w:tcPr>
                <w:p>
                  <w:pPr>
                    <w:jc w:val="center"/>
                    <w:rPr>
                      <w:rFonts w:hint="eastAsia" w:ascii="Times New Roman" w:hAnsi="Times New Roman" w:cs="Times New Roman"/>
                      <w:color w:val="auto"/>
                      <w:kern w:val="2"/>
                      <w:sz w:val="18"/>
                      <w:szCs w:val="18"/>
                      <w:lang w:val="en-US" w:eastAsia="zh-CN" w:bidi="ar-SA"/>
                    </w:rPr>
                  </w:pPr>
                  <w:r>
                    <w:rPr>
                      <w:rFonts w:hint="eastAsia"/>
                      <w:sz w:val="18"/>
                      <w:szCs w:val="18"/>
                    </w:rPr>
                    <w:t>B1-400W</w:t>
                  </w:r>
                </w:p>
              </w:tc>
              <w:tc>
                <w:tcPr>
                  <w:tcW w:w="212" w:type="pct"/>
                  <w:shd w:val="clear" w:color="auto" w:fill="auto"/>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1</w:t>
                  </w:r>
                </w:p>
              </w:tc>
              <w:tc>
                <w:tcPr>
                  <w:tcW w:w="448"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85</w:t>
                  </w:r>
                </w:p>
              </w:tc>
              <w:tc>
                <w:tcPr>
                  <w:tcW w:w="219" w:type="pct"/>
                  <w:vMerge w:val="continue"/>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p>
              </w:tc>
              <w:tc>
                <w:tcPr>
                  <w:tcW w:w="224"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Calibri"/>
                      <w:color w:val="auto"/>
                      <w:kern w:val="0"/>
                      <w:sz w:val="18"/>
                      <w:szCs w:val="18"/>
                      <w:lang w:val="en-US" w:eastAsia="zh-CN" w:bidi="ar-SA"/>
                    </w:rPr>
                  </w:pPr>
                  <w:r>
                    <w:rPr>
                      <w:rFonts w:hint="eastAsia" w:ascii="Times New Roman"/>
                      <w:color w:val="auto"/>
                      <w:kern w:val="0"/>
                      <w:sz w:val="18"/>
                      <w:szCs w:val="18"/>
                      <w:lang w:val="en-US" w:eastAsia="zh-CN" w:bidi="ar-SA"/>
                    </w:rPr>
                    <w:t>-94</w:t>
                  </w:r>
                </w:p>
              </w:tc>
              <w:tc>
                <w:tcPr>
                  <w:tcW w:w="196"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192</w:t>
                  </w:r>
                </w:p>
              </w:tc>
              <w:tc>
                <w:tcPr>
                  <w:tcW w:w="155"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ascii="Times New Roman"/>
                      <w:color w:val="auto"/>
                      <w:sz w:val="18"/>
                      <w:szCs w:val="18"/>
                    </w:rPr>
                    <w:t>1</w:t>
                  </w:r>
                </w:p>
              </w:tc>
              <w:tc>
                <w:tcPr>
                  <w:tcW w:w="178"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35</w:t>
                  </w:r>
                </w:p>
              </w:tc>
              <w:tc>
                <w:tcPr>
                  <w:tcW w:w="17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10"/>
                      <w:kern w:val="0"/>
                      <w:sz w:val="18"/>
                      <w:szCs w:val="18"/>
                      <w:highlight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5</w:t>
                  </w:r>
                </w:p>
              </w:tc>
              <w:tc>
                <w:tcPr>
                  <w:tcW w:w="178"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18</w:t>
                  </w:r>
                </w:p>
              </w:tc>
              <w:tc>
                <w:tcPr>
                  <w:tcW w:w="173"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142</w:t>
                  </w:r>
                </w:p>
              </w:tc>
              <w:tc>
                <w:tcPr>
                  <w:tcW w:w="21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54.1</w:t>
                  </w:r>
                </w:p>
              </w:tc>
              <w:tc>
                <w:tcPr>
                  <w:tcW w:w="213"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71.0</w:t>
                  </w:r>
                </w:p>
              </w:tc>
              <w:tc>
                <w:tcPr>
                  <w:tcW w:w="213"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59.9</w:t>
                  </w:r>
                </w:p>
              </w:tc>
              <w:tc>
                <w:tcPr>
                  <w:tcW w:w="214"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42.0</w:t>
                  </w:r>
                </w:p>
              </w:tc>
              <w:tc>
                <w:tcPr>
                  <w:tcW w:w="269"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20</w:t>
                  </w:r>
                </w:p>
              </w:tc>
              <w:tc>
                <w:tcPr>
                  <w:tcW w:w="265" w:type="pct"/>
                  <w:vMerge w:val="continue"/>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p>
              </w:tc>
              <w:tc>
                <w:tcPr>
                  <w:tcW w:w="265" w:type="pct"/>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rPr>
                  </w:pPr>
                </w:p>
              </w:tc>
              <w:tc>
                <w:tcPr>
                  <w:tcW w:w="180" w:type="pct"/>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0" w:type="auto"/>
                  <w:shd w:val="clear" w:color="auto" w:fill="auto"/>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color w:val="auto"/>
                      <w:kern w:val="2"/>
                      <w:sz w:val="18"/>
                      <w:szCs w:val="18"/>
                      <w:lang w:val="en-US" w:eastAsia="zh-CN" w:bidi="ar-SA"/>
                    </w:rPr>
                    <w:t>36</w:t>
                  </w:r>
                </w:p>
              </w:tc>
              <w:tc>
                <w:tcPr>
                  <w:tcW w:w="420" w:type="pct"/>
                  <w:shd w:val="clear" w:color="auto" w:fill="auto"/>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铣床</w:t>
                  </w:r>
                </w:p>
              </w:tc>
              <w:tc>
                <w:tcPr>
                  <w:tcW w:w="420" w:type="pct"/>
                  <w:shd w:val="clear" w:color="auto" w:fill="auto"/>
                  <w:vAlign w:val="center"/>
                </w:tcPr>
                <w:p>
                  <w:pPr>
                    <w:jc w:val="center"/>
                    <w:rPr>
                      <w:rFonts w:hint="eastAsia" w:ascii="Times New Roman" w:hAnsi="Times New Roman" w:cs="Times New Roman"/>
                      <w:color w:val="auto"/>
                      <w:kern w:val="2"/>
                      <w:sz w:val="18"/>
                      <w:szCs w:val="18"/>
                      <w:lang w:val="en-US" w:eastAsia="zh-CN" w:bidi="ar-SA"/>
                    </w:rPr>
                  </w:pPr>
                  <w:r>
                    <w:rPr>
                      <w:rFonts w:hint="eastAsia"/>
                      <w:sz w:val="18"/>
                      <w:szCs w:val="18"/>
                    </w:rPr>
                    <w:t>X338-1A</w:t>
                  </w:r>
                </w:p>
              </w:tc>
              <w:tc>
                <w:tcPr>
                  <w:tcW w:w="212" w:type="pct"/>
                  <w:shd w:val="clear" w:color="auto" w:fill="auto"/>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1</w:t>
                  </w:r>
                </w:p>
              </w:tc>
              <w:tc>
                <w:tcPr>
                  <w:tcW w:w="448"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80</w:t>
                  </w:r>
                </w:p>
              </w:tc>
              <w:tc>
                <w:tcPr>
                  <w:tcW w:w="219" w:type="pct"/>
                  <w:vMerge w:val="continue"/>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p>
              </w:tc>
              <w:tc>
                <w:tcPr>
                  <w:tcW w:w="224"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Calibri"/>
                      <w:color w:val="auto"/>
                      <w:kern w:val="0"/>
                      <w:sz w:val="18"/>
                      <w:szCs w:val="18"/>
                      <w:lang w:val="en-US" w:eastAsia="zh-CN" w:bidi="ar-SA"/>
                    </w:rPr>
                  </w:pPr>
                  <w:r>
                    <w:rPr>
                      <w:rFonts w:hint="eastAsia" w:ascii="Times New Roman"/>
                      <w:color w:val="auto"/>
                      <w:kern w:val="0"/>
                      <w:sz w:val="18"/>
                      <w:szCs w:val="18"/>
                      <w:lang w:val="en-US" w:eastAsia="zh-CN" w:bidi="ar-SA"/>
                    </w:rPr>
                    <w:t>-102</w:t>
                  </w:r>
                </w:p>
              </w:tc>
              <w:tc>
                <w:tcPr>
                  <w:tcW w:w="196"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193</w:t>
                  </w:r>
                </w:p>
              </w:tc>
              <w:tc>
                <w:tcPr>
                  <w:tcW w:w="155"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ascii="Times New Roman"/>
                      <w:color w:val="auto"/>
                      <w:sz w:val="18"/>
                      <w:szCs w:val="18"/>
                    </w:rPr>
                    <w:t>1</w:t>
                  </w:r>
                </w:p>
              </w:tc>
              <w:tc>
                <w:tcPr>
                  <w:tcW w:w="178"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37</w:t>
                  </w:r>
                </w:p>
              </w:tc>
              <w:tc>
                <w:tcPr>
                  <w:tcW w:w="17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10"/>
                      <w:kern w:val="0"/>
                      <w:sz w:val="18"/>
                      <w:szCs w:val="18"/>
                      <w:highlight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3</w:t>
                  </w:r>
                </w:p>
              </w:tc>
              <w:tc>
                <w:tcPr>
                  <w:tcW w:w="178"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96</w:t>
                  </w:r>
                </w:p>
              </w:tc>
              <w:tc>
                <w:tcPr>
                  <w:tcW w:w="173"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64</w:t>
                  </w:r>
                </w:p>
              </w:tc>
              <w:tc>
                <w:tcPr>
                  <w:tcW w:w="21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48.6</w:t>
                  </w:r>
                </w:p>
              </w:tc>
              <w:tc>
                <w:tcPr>
                  <w:tcW w:w="213"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70.5</w:t>
                  </w:r>
                </w:p>
              </w:tc>
              <w:tc>
                <w:tcPr>
                  <w:tcW w:w="213"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40.4</w:t>
                  </w:r>
                </w:p>
              </w:tc>
              <w:tc>
                <w:tcPr>
                  <w:tcW w:w="214"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43.9</w:t>
                  </w:r>
                </w:p>
              </w:tc>
              <w:tc>
                <w:tcPr>
                  <w:tcW w:w="269"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20</w:t>
                  </w:r>
                </w:p>
              </w:tc>
              <w:tc>
                <w:tcPr>
                  <w:tcW w:w="265" w:type="pct"/>
                  <w:vMerge w:val="continue"/>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p>
              </w:tc>
              <w:tc>
                <w:tcPr>
                  <w:tcW w:w="265" w:type="pct"/>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rPr>
                  </w:pPr>
                </w:p>
              </w:tc>
              <w:tc>
                <w:tcPr>
                  <w:tcW w:w="180" w:type="pct"/>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0" w:type="auto"/>
                  <w:shd w:val="clear" w:color="auto" w:fill="auto"/>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color w:val="auto"/>
                      <w:kern w:val="2"/>
                      <w:sz w:val="18"/>
                      <w:szCs w:val="18"/>
                      <w:lang w:val="en-US" w:eastAsia="zh-CN" w:bidi="ar-SA"/>
                    </w:rPr>
                    <w:t>37</w:t>
                  </w:r>
                </w:p>
              </w:tc>
              <w:tc>
                <w:tcPr>
                  <w:tcW w:w="420" w:type="pct"/>
                  <w:shd w:val="clear" w:color="auto" w:fill="auto"/>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龙门铣</w:t>
                  </w:r>
                </w:p>
              </w:tc>
              <w:tc>
                <w:tcPr>
                  <w:tcW w:w="420" w:type="pct"/>
                  <w:shd w:val="clear" w:color="auto" w:fill="auto"/>
                  <w:vAlign w:val="center"/>
                </w:tcPr>
                <w:p>
                  <w:pPr>
                    <w:jc w:val="center"/>
                    <w:rPr>
                      <w:rFonts w:hint="eastAsia" w:ascii="Times New Roman" w:hAnsi="Times New Roman" w:cs="Times New Roman"/>
                      <w:color w:val="auto"/>
                      <w:kern w:val="2"/>
                      <w:sz w:val="18"/>
                      <w:szCs w:val="18"/>
                      <w:lang w:val="en-US" w:eastAsia="zh-CN" w:bidi="ar-SA"/>
                    </w:rPr>
                  </w:pPr>
                  <w:r>
                    <w:rPr>
                      <w:rFonts w:hint="eastAsia"/>
                      <w:sz w:val="18"/>
                      <w:szCs w:val="18"/>
                    </w:rPr>
                    <w:t>X40 4000x2500x1200(mm)</w:t>
                  </w:r>
                </w:p>
              </w:tc>
              <w:tc>
                <w:tcPr>
                  <w:tcW w:w="212" w:type="pct"/>
                  <w:shd w:val="clear" w:color="auto" w:fill="auto"/>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1</w:t>
                  </w:r>
                </w:p>
              </w:tc>
              <w:tc>
                <w:tcPr>
                  <w:tcW w:w="448"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80</w:t>
                  </w:r>
                </w:p>
              </w:tc>
              <w:tc>
                <w:tcPr>
                  <w:tcW w:w="219" w:type="pct"/>
                  <w:vMerge w:val="continue"/>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p>
              </w:tc>
              <w:tc>
                <w:tcPr>
                  <w:tcW w:w="224"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Calibri"/>
                      <w:color w:val="auto"/>
                      <w:kern w:val="0"/>
                      <w:sz w:val="18"/>
                      <w:szCs w:val="18"/>
                      <w:lang w:val="en-US" w:eastAsia="zh-CN" w:bidi="ar-SA"/>
                    </w:rPr>
                  </w:pPr>
                  <w:r>
                    <w:rPr>
                      <w:rFonts w:hint="eastAsia" w:ascii="Times New Roman"/>
                      <w:color w:val="auto"/>
                      <w:kern w:val="0"/>
                      <w:sz w:val="18"/>
                      <w:szCs w:val="18"/>
                      <w:lang w:val="en-US" w:eastAsia="zh-CN" w:bidi="ar-SA"/>
                    </w:rPr>
                    <w:t>-115</w:t>
                  </w:r>
                </w:p>
              </w:tc>
              <w:tc>
                <w:tcPr>
                  <w:tcW w:w="196"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193</w:t>
                  </w:r>
                </w:p>
              </w:tc>
              <w:tc>
                <w:tcPr>
                  <w:tcW w:w="155"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w:t>
                  </w:r>
                </w:p>
              </w:tc>
              <w:tc>
                <w:tcPr>
                  <w:tcW w:w="178"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35</w:t>
                  </w:r>
                </w:p>
              </w:tc>
              <w:tc>
                <w:tcPr>
                  <w:tcW w:w="178" w:type="pct"/>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color w:val="auto"/>
                      <w:spacing w:val="-10"/>
                      <w:kern w:val="0"/>
                      <w:sz w:val="18"/>
                      <w:szCs w:val="18"/>
                      <w:highlight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5</w:t>
                  </w:r>
                </w:p>
              </w:tc>
              <w:tc>
                <w:tcPr>
                  <w:tcW w:w="178"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126</w:t>
                  </w:r>
                </w:p>
              </w:tc>
              <w:tc>
                <w:tcPr>
                  <w:tcW w:w="173"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34</w:t>
                  </w:r>
                </w:p>
              </w:tc>
              <w:tc>
                <w:tcPr>
                  <w:tcW w:w="21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49.1</w:t>
                  </w:r>
                </w:p>
              </w:tc>
              <w:tc>
                <w:tcPr>
                  <w:tcW w:w="213"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66.0</w:t>
                  </w:r>
                </w:p>
              </w:tc>
              <w:tc>
                <w:tcPr>
                  <w:tcW w:w="213"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38.0</w:t>
                  </w:r>
                </w:p>
              </w:tc>
              <w:tc>
                <w:tcPr>
                  <w:tcW w:w="214"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49.4</w:t>
                  </w:r>
                </w:p>
              </w:tc>
              <w:tc>
                <w:tcPr>
                  <w:tcW w:w="269"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20</w:t>
                  </w:r>
                </w:p>
              </w:tc>
              <w:tc>
                <w:tcPr>
                  <w:tcW w:w="265" w:type="pct"/>
                  <w:vMerge w:val="continue"/>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p>
              </w:tc>
              <w:tc>
                <w:tcPr>
                  <w:tcW w:w="265" w:type="pct"/>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rPr>
                  </w:pPr>
                </w:p>
              </w:tc>
              <w:tc>
                <w:tcPr>
                  <w:tcW w:w="180" w:type="pct"/>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0" w:type="auto"/>
                  <w:shd w:val="clear" w:color="auto" w:fill="auto"/>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color w:val="auto"/>
                      <w:kern w:val="2"/>
                      <w:sz w:val="18"/>
                      <w:szCs w:val="18"/>
                      <w:lang w:val="en-US" w:eastAsia="zh-CN" w:bidi="ar-SA"/>
                    </w:rPr>
                    <w:t>38</w:t>
                  </w:r>
                </w:p>
              </w:tc>
              <w:tc>
                <w:tcPr>
                  <w:tcW w:w="420" w:type="pct"/>
                  <w:shd w:val="clear" w:color="auto" w:fill="auto"/>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单梁桥式起重机</w:t>
                  </w:r>
                </w:p>
              </w:tc>
              <w:tc>
                <w:tcPr>
                  <w:tcW w:w="420" w:type="pct"/>
                  <w:shd w:val="clear" w:color="auto" w:fill="auto"/>
                  <w:vAlign w:val="center"/>
                </w:tcPr>
                <w:p>
                  <w:pPr>
                    <w:jc w:val="center"/>
                    <w:rPr>
                      <w:rFonts w:hint="eastAsia" w:ascii="Times New Roman" w:hAnsi="Times New Roman" w:cs="Times New Roman"/>
                      <w:color w:val="auto"/>
                      <w:kern w:val="2"/>
                      <w:sz w:val="18"/>
                      <w:szCs w:val="18"/>
                      <w:lang w:val="en-US" w:eastAsia="zh-CN" w:bidi="ar-SA"/>
                    </w:rPr>
                  </w:pPr>
                  <w:r>
                    <w:rPr>
                      <w:rFonts w:hint="eastAsia" w:cs="Times New Roman"/>
                      <w:color w:val="auto"/>
                      <w:sz w:val="18"/>
                      <w:szCs w:val="18"/>
                      <w:lang w:val="en-US" w:eastAsia="zh-CN"/>
                    </w:rPr>
                    <w:t>/</w:t>
                  </w:r>
                </w:p>
              </w:tc>
              <w:tc>
                <w:tcPr>
                  <w:tcW w:w="212" w:type="pct"/>
                  <w:shd w:val="clear" w:color="auto" w:fill="auto"/>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3</w:t>
                  </w:r>
                </w:p>
              </w:tc>
              <w:tc>
                <w:tcPr>
                  <w:tcW w:w="448"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lang w:val="en-US" w:eastAsia="zh-CN"/>
                    </w:rPr>
                    <w:t>单台</w:t>
                  </w:r>
                  <w:r>
                    <w:rPr>
                      <w:rFonts w:hint="eastAsia" w:ascii="Times New Roman" w:hAnsi="Times New Roman" w:eastAsia="宋体" w:cs="Times New Roman"/>
                      <w:color w:val="auto"/>
                      <w:sz w:val="18"/>
                      <w:szCs w:val="18"/>
                      <w:lang w:val="en-US" w:eastAsia="zh-CN"/>
                    </w:rPr>
                    <w:t>75</w:t>
                  </w:r>
                  <w:r>
                    <w:rPr>
                      <w:rFonts w:hint="eastAsia" w:cs="Times New Roman"/>
                      <w:color w:val="auto"/>
                      <w:sz w:val="18"/>
                      <w:szCs w:val="18"/>
                      <w:lang w:val="en-US" w:eastAsia="zh-CN"/>
                    </w:rPr>
                    <w:t>，叠加后79.8</w:t>
                  </w:r>
                </w:p>
              </w:tc>
              <w:tc>
                <w:tcPr>
                  <w:tcW w:w="219" w:type="pct"/>
                  <w:vMerge w:val="continue"/>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p>
              </w:tc>
              <w:tc>
                <w:tcPr>
                  <w:tcW w:w="224"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Calibri"/>
                      <w:color w:val="auto"/>
                      <w:kern w:val="0"/>
                      <w:sz w:val="18"/>
                      <w:szCs w:val="18"/>
                      <w:lang w:val="en-US" w:eastAsia="zh-CN" w:bidi="ar-SA"/>
                    </w:rPr>
                  </w:pPr>
                  <w:r>
                    <w:rPr>
                      <w:rFonts w:hint="eastAsia" w:ascii="Times New Roman"/>
                      <w:color w:val="auto"/>
                      <w:kern w:val="0"/>
                      <w:sz w:val="18"/>
                      <w:szCs w:val="18"/>
                      <w:lang w:val="en-US" w:eastAsia="zh-CN" w:bidi="ar-SA"/>
                    </w:rPr>
                    <w:t>-120</w:t>
                  </w:r>
                </w:p>
              </w:tc>
              <w:tc>
                <w:tcPr>
                  <w:tcW w:w="196"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196</w:t>
                  </w:r>
                </w:p>
              </w:tc>
              <w:tc>
                <w:tcPr>
                  <w:tcW w:w="155"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ascii="Times New Roman"/>
                      <w:color w:val="auto"/>
                      <w:sz w:val="18"/>
                      <w:szCs w:val="18"/>
                    </w:rPr>
                    <w:t>1</w:t>
                  </w:r>
                </w:p>
              </w:tc>
              <w:tc>
                <w:tcPr>
                  <w:tcW w:w="178"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4</w:t>
                  </w:r>
                </w:p>
              </w:tc>
              <w:tc>
                <w:tcPr>
                  <w:tcW w:w="178"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36</w:t>
                  </w:r>
                </w:p>
              </w:tc>
              <w:tc>
                <w:tcPr>
                  <w:tcW w:w="178"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108</w:t>
                  </w:r>
                </w:p>
              </w:tc>
              <w:tc>
                <w:tcPr>
                  <w:tcW w:w="173"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52</w:t>
                  </w:r>
                </w:p>
              </w:tc>
              <w:tc>
                <w:tcPr>
                  <w:tcW w:w="21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67.8</w:t>
                  </w:r>
                </w:p>
              </w:tc>
              <w:tc>
                <w:tcPr>
                  <w:tcW w:w="213"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48.7</w:t>
                  </w:r>
                </w:p>
              </w:tc>
              <w:tc>
                <w:tcPr>
                  <w:tcW w:w="213"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39.1</w:t>
                  </w:r>
                </w:p>
              </w:tc>
              <w:tc>
                <w:tcPr>
                  <w:tcW w:w="214"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45.5</w:t>
                  </w:r>
                </w:p>
              </w:tc>
              <w:tc>
                <w:tcPr>
                  <w:tcW w:w="269"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20</w:t>
                  </w:r>
                </w:p>
              </w:tc>
              <w:tc>
                <w:tcPr>
                  <w:tcW w:w="265" w:type="pct"/>
                  <w:vMerge w:val="continue"/>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p>
              </w:tc>
              <w:tc>
                <w:tcPr>
                  <w:tcW w:w="265" w:type="pct"/>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rPr>
                  </w:pPr>
                </w:p>
              </w:tc>
              <w:tc>
                <w:tcPr>
                  <w:tcW w:w="180" w:type="pct"/>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0" w:type="auto"/>
                  <w:shd w:val="clear" w:color="auto" w:fill="auto"/>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color w:val="auto"/>
                      <w:kern w:val="2"/>
                      <w:sz w:val="18"/>
                      <w:szCs w:val="18"/>
                      <w:lang w:val="en-US" w:eastAsia="zh-CN" w:bidi="ar-SA"/>
                    </w:rPr>
                    <w:t>39</w:t>
                  </w:r>
                </w:p>
              </w:tc>
              <w:tc>
                <w:tcPr>
                  <w:tcW w:w="420" w:type="pct"/>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eastAsia" w:ascii="宋体" w:hAnsi="宋体" w:eastAsia="宋体" w:cs="宋体"/>
                      <w:i w:val="0"/>
                      <w:iCs w:val="0"/>
                      <w:color w:val="000000"/>
                      <w:kern w:val="0"/>
                      <w:sz w:val="18"/>
                      <w:szCs w:val="18"/>
                      <w:u w:val="none"/>
                      <w:lang w:val="en-US" w:eastAsia="zh-CN" w:bidi="ar"/>
                    </w:rPr>
                    <w:t>双梁桥式起重机</w:t>
                  </w:r>
                </w:p>
              </w:tc>
              <w:tc>
                <w:tcPr>
                  <w:tcW w:w="42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cs="Times New Roman"/>
                      <w:color w:val="auto"/>
                      <w:sz w:val="18"/>
                      <w:szCs w:val="18"/>
                      <w:lang w:val="en-US" w:eastAsia="zh-CN"/>
                    </w:rPr>
                    <w:t>/</w:t>
                  </w:r>
                </w:p>
              </w:tc>
              <w:tc>
                <w:tcPr>
                  <w:tcW w:w="212" w:type="pct"/>
                  <w:shd w:val="clear" w:color="auto" w:fill="auto"/>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5</w:t>
                  </w:r>
                </w:p>
              </w:tc>
              <w:tc>
                <w:tcPr>
                  <w:tcW w:w="448"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lang w:val="en-US" w:eastAsia="zh-CN"/>
                    </w:rPr>
                    <w:t>单台</w:t>
                  </w:r>
                  <w:r>
                    <w:rPr>
                      <w:rFonts w:hint="eastAsia" w:ascii="Times New Roman" w:hAnsi="Times New Roman" w:eastAsia="宋体" w:cs="Times New Roman"/>
                      <w:color w:val="auto"/>
                      <w:sz w:val="18"/>
                      <w:szCs w:val="18"/>
                      <w:lang w:val="en-US" w:eastAsia="zh-CN"/>
                    </w:rPr>
                    <w:t>75</w:t>
                  </w:r>
                  <w:r>
                    <w:rPr>
                      <w:rFonts w:hint="eastAsia" w:cs="Times New Roman"/>
                      <w:color w:val="auto"/>
                      <w:sz w:val="18"/>
                      <w:szCs w:val="18"/>
                      <w:lang w:val="en-US" w:eastAsia="zh-CN"/>
                    </w:rPr>
                    <w:t>，叠加后82</w:t>
                  </w:r>
                </w:p>
              </w:tc>
              <w:tc>
                <w:tcPr>
                  <w:tcW w:w="219" w:type="pct"/>
                  <w:vMerge w:val="continue"/>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p>
              </w:tc>
              <w:tc>
                <w:tcPr>
                  <w:tcW w:w="224"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Calibri"/>
                      <w:color w:val="auto"/>
                      <w:kern w:val="0"/>
                      <w:sz w:val="18"/>
                      <w:szCs w:val="18"/>
                      <w:lang w:val="en-US" w:eastAsia="zh-CN" w:bidi="ar-SA"/>
                    </w:rPr>
                  </w:pPr>
                  <w:r>
                    <w:rPr>
                      <w:rFonts w:hint="eastAsia" w:ascii="Times New Roman"/>
                      <w:color w:val="auto"/>
                      <w:kern w:val="0"/>
                      <w:sz w:val="18"/>
                      <w:szCs w:val="18"/>
                      <w:lang w:val="en-US" w:eastAsia="zh-CN" w:bidi="ar-SA"/>
                    </w:rPr>
                    <w:t>-150</w:t>
                  </w:r>
                </w:p>
              </w:tc>
              <w:tc>
                <w:tcPr>
                  <w:tcW w:w="196"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201</w:t>
                  </w:r>
                </w:p>
              </w:tc>
              <w:tc>
                <w:tcPr>
                  <w:tcW w:w="155"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ascii="Times New Roman"/>
                      <w:color w:val="auto"/>
                      <w:sz w:val="18"/>
                      <w:szCs w:val="18"/>
                    </w:rPr>
                    <w:t>1</w:t>
                  </w:r>
                </w:p>
              </w:tc>
              <w:tc>
                <w:tcPr>
                  <w:tcW w:w="178"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3</w:t>
                  </w:r>
                </w:p>
              </w:tc>
              <w:tc>
                <w:tcPr>
                  <w:tcW w:w="178"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37</w:t>
                  </w:r>
                </w:p>
              </w:tc>
              <w:tc>
                <w:tcPr>
                  <w:tcW w:w="178"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126</w:t>
                  </w:r>
                </w:p>
              </w:tc>
              <w:tc>
                <w:tcPr>
                  <w:tcW w:w="173"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34</w:t>
                  </w:r>
                </w:p>
              </w:tc>
              <w:tc>
                <w:tcPr>
                  <w:tcW w:w="21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72.5</w:t>
                  </w:r>
                </w:p>
              </w:tc>
              <w:tc>
                <w:tcPr>
                  <w:tcW w:w="213"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50.6</w:t>
                  </w:r>
                </w:p>
              </w:tc>
              <w:tc>
                <w:tcPr>
                  <w:tcW w:w="213"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40.0</w:t>
                  </w:r>
                </w:p>
              </w:tc>
              <w:tc>
                <w:tcPr>
                  <w:tcW w:w="214"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51.4</w:t>
                  </w:r>
                </w:p>
              </w:tc>
              <w:tc>
                <w:tcPr>
                  <w:tcW w:w="269"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20</w:t>
                  </w:r>
                </w:p>
              </w:tc>
              <w:tc>
                <w:tcPr>
                  <w:tcW w:w="265" w:type="pct"/>
                  <w:vMerge w:val="continue"/>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p>
              </w:tc>
              <w:tc>
                <w:tcPr>
                  <w:tcW w:w="265" w:type="pct"/>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rPr>
                  </w:pPr>
                </w:p>
              </w:tc>
              <w:tc>
                <w:tcPr>
                  <w:tcW w:w="180" w:type="pct"/>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0" w:type="auto"/>
                  <w:shd w:val="clear" w:color="auto" w:fill="auto"/>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color w:val="auto"/>
                      <w:kern w:val="2"/>
                      <w:sz w:val="18"/>
                      <w:szCs w:val="18"/>
                      <w:lang w:val="en-US" w:eastAsia="zh-CN" w:bidi="ar-SA"/>
                    </w:rPr>
                    <w:t>40</w:t>
                  </w:r>
                </w:p>
              </w:tc>
              <w:tc>
                <w:tcPr>
                  <w:tcW w:w="420" w:type="pct"/>
                  <w:shd w:val="clear" w:color="auto" w:fill="auto"/>
                  <w:vAlign w:val="center"/>
                </w:tcPr>
                <w:p>
                  <w:pPr>
                    <w:jc w:val="center"/>
                    <w:rPr>
                      <w:rFonts w:hint="eastAsia" w:ascii="Times New Roman" w:hAnsi="Times New Roman" w:eastAsia="宋体" w:cs="Times New Roman"/>
                      <w:kern w:val="2"/>
                      <w:sz w:val="18"/>
                      <w:szCs w:val="18"/>
                      <w:lang w:val="en-US" w:eastAsia="zh-CN" w:bidi="ar-SA"/>
                    </w:rPr>
                  </w:pPr>
                  <w:r>
                    <w:rPr>
                      <w:rFonts w:hint="eastAsia" w:ascii="Times New Roman" w:hAnsi="Times New Roman" w:eastAsia="宋体" w:cs="Times New Roman"/>
                      <w:sz w:val="18"/>
                      <w:szCs w:val="18"/>
                      <w:lang w:val="en-US" w:eastAsia="zh-CN"/>
                    </w:rPr>
                    <w:t>双柱卧式带锯床</w:t>
                  </w:r>
                </w:p>
              </w:tc>
              <w:tc>
                <w:tcPr>
                  <w:tcW w:w="420" w:type="pct"/>
                  <w:shd w:val="clear" w:color="auto" w:fill="auto"/>
                  <w:vAlign w:val="center"/>
                </w:tcPr>
                <w:p>
                  <w:pPr>
                    <w:jc w:val="center"/>
                    <w:rPr>
                      <w:rFonts w:hint="eastAsia" w:ascii="Times New Roman" w:hAnsi="Times New Roman" w:eastAsia="宋体" w:cs="Times New Roman"/>
                      <w:sz w:val="18"/>
                      <w:szCs w:val="18"/>
                      <w:lang w:val="en-US" w:eastAsia="zh-CN"/>
                    </w:rPr>
                  </w:pPr>
                  <w:r>
                    <w:rPr>
                      <w:rFonts w:hint="eastAsia" w:cs="Times New Roman"/>
                      <w:color w:val="auto"/>
                      <w:sz w:val="18"/>
                      <w:szCs w:val="18"/>
                      <w:lang w:val="en-US" w:eastAsia="zh-CN"/>
                    </w:rPr>
                    <w:t>/</w:t>
                  </w:r>
                </w:p>
              </w:tc>
              <w:tc>
                <w:tcPr>
                  <w:tcW w:w="212" w:type="pct"/>
                  <w:shd w:val="clear" w:color="auto" w:fill="auto"/>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cs="Times New Roman"/>
                      <w:sz w:val="18"/>
                      <w:szCs w:val="18"/>
                      <w:lang w:val="en-US" w:eastAsia="zh-CN"/>
                    </w:rPr>
                    <w:t>5</w:t>
                  </w:r>
                </w:p>
              </w:tc>
              <w:tc>
                <w:tcPr>
                  <w:tcW w:w="448"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lang w:val="en-US" w:eastAsia="zh-CN"/>
                    </w:rPr>
                    <w:t>单台</w:t>
                  </w:r>
                  <w:r>
                    <w:rPr>
                      <w:rFonts w:hint="eastAsia" w:cs="Times New Roman"/>
                      <w:color w:val="auto"/>
                      <w:kern w:val="2"/>
                      <w:sz w:val="18"/>
                      <w:szCs w:val="18"/>
                      <w:highlight w:val="none"/>
                      <w:lang w:val="en-US" w:eastAsia="zh-CN" w:bidi="ar-SA"/>
                    </w:rPr>
                    <w:t>80，</w:t>
                  </w:r>
                  <w:r>
                    <w:rPr>
                      <w:rFonts w:hint="eastAsia" w:cs="Times New Roman"/>
                      <w:color w:val="auto"/>
                      <w:sz w:val="18"/>
                      <w:szCs w:val="18"/>
                      <w:lang w:val="en-US" w:eastAsia="zh-CN"/>
                    </w:rPr>
                    <w:t>叠加后87</w:t>
                  </w:r>
                </w:p>
              </w:tc>
              <w:tc>
                <w:tcPr>
                  <w:tcW w:w="219" w:type="pct"/>
                  <w:vMerge w:val="continue"/>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p>
              </w:tc>
              <w:tc>
                <w:tcPr>
                  <w:tcW w:w="224"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Calibri"/>
                      <w:color w:val="auto"/>
                      <w:kern w:val="0"/>
                      <w:sz w:val="18"/>
                      <w:szCs w:val="18"/>
                      <w:lang w:val="en-US" w:eastAsia="zh-CN" w:bidi="ar-SA"/>
                    </w:rPr>
                  </w:pPr>
                  <w:r>
                    <w:rPr>
                      <w:rFonts w:hint="eastAsia" w:ascii="Times New Roman"/>
                      <w:color w:val="auto"/>
                      <w:kern w:val="0"/>
                      <w:sz w:val="18"/>
                      <w:szCs w:val="18"/>
                      <w:lang w:val="en-US" w:eastAsia="zh-CN" w:bidi="ar-SA"/>
                    </w:rPr>
                    <w:t>-170</w:t>
                  </w:r>
                </w:p>
              </w:tc>
              <w:tc>
                <w:tcPr>
                  <w:tcW w:w="196"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205</w:t>
                  </w:r>
                </w:p>
              </w:tc>
              <w:tc>
                <w:tcPr>
                  <w:tcW w:w="155"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w:t>
                  </w:r>
                </w:p>
              </w:tc>
              <w:tc>
                <w:tcPr>
                  <w:tcW w:w="178"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4</w:t>
                  </w:r>
                </w:p>
              </w:tc>
              <w:tc>
                <w:tcPr>
                  <w:tcW w:w="178" w:type="pct"/>
                  <w:vAlign w:val="center"/>
                </w:tcPr>
                <w:p>
                  <w:pPr>
                    <w:keepNext w:val="0"/>
                    <w:keepLines w:val="0"/>
                    <w:widowControl/>
                    <w:suppressLineNumbers w:val="0"/>
                    <w:jc w:val="center"/>
                    <w:textAlignment w:val="center"/>
                    <w:rPr>
                      <w:rFonts w:hint="eastAsia"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36</w:t>
                  </w:r>
                </w:p>
              </w:tc>
              <w:tc>
                <w:tcPr>
                  <w:tcW w:w="178"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96</w:t>
                  </w:r>
                </w:p>
              </w:tc>
              <w:tc>
                <w:tcPr>
                  <w:tcW w:w="173" w:type="pct"/>
                  <w:vAlign w:val="center"/>
                </w:tcPr>
                <w:p>
                  <w:pPr>
                    <w:pStyle w:val="30"/>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64</w:t>
                  </w:r>
                </w:p>
              </w:tc>
              <w:tc>
                <w:tcPr>
                  <w:tcW w:w="21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75.0</w:t>
                  </w:r>
                </w:p>
              </w:tc>
              <w:tc>
                <w:tcPr>
                  <w:tcW w:w="213"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55.9</w:t>
                  </w:r>
                </w:p>
              </w:tc>
              <w:tc>
                <w:tcPr>
                  <w:tcW w:w="213"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47.4</w:t>
                  </w:r>
                </w:p>
              </w:tc>
              <w:tc>
                <w:tcPr>
                  <w:tcW w:w="214"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50.9</w:t>
                  </w:r>
                </w:p>
              </w:tc>
              <w:tc>
                <w:tcPr>
                  <w:tcW w:w="269"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20</w:t>
                  </w:r>
                </w:p>
              </w:tc>
              <w:tc>
                <w:tcPr>
                  <w:tcW w:w="265" w:type="pct"/>
                  <w:vMerge w:val="continue"/>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p>
              </w:tc>
              <w:tc>
                <w:tcPr>
                  <w:tcW w:w="265" w:type="pct"/>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rPr>
                  </w:pPr>
                </w:p>
              </w:tc>
              <w:tc>
                <w:tcPr>
                  <w:tcW w:w="180" w:type="pct"/>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18"/>
                      <w:szCs w:val="18"/>
                      <w:highlight w:val="none"/>
                    </w:rPr>
                  </w:pPr>
                </w:p>
              </w:tc>
            </w:tr>
          </w:tbl>
          <w:p>
            <w:pPr>
              <w:rPr>
                <w:b/>
                <w:bCs/>
                <w:sz w:val="18"/>
                <w:szCs w:val="21"/>
              </w:rPr>
            </w:pPr>
            <w:r>
              <w:rPr>
                <w:b/>
                <w:bCs/>
                <w:sz w:val="18"/>
                <w:szCs w:val="21"/>
              </w:rPr>
              <w:t>注：以厂界最南侧角为（0.0）点，正东向为X轴正方向，正北向为Y轴正方向；门窗吸声系数数据来源于《环境工程手册 环境噪声控制卷》（郑长聚主编，高等教育出版社，2000年）。</w:t>
            </w:r>
          </w:p>
          <w:p>
            <w:pPr>
              <w:pStyle w:val="7"/>
              <w:rPr>
                <w:b/>
                <w:bCs/>
                <w:sz w:val="18"/>
                <w:szCs w:val="21"/>
              </w:rPr>
            </w:pPr>
          </w:p>
          <w:p>
            <w:pPr>
              <w:rPr>
                <w:b/>
                <w:bCs/>
                <w:sz w:val="18"/>
                <w:szCs w:val="21"/>
              </w:rPr>
            </w:pPr>
          </w:p>
          <w:p>
            <w:pPr>
              <w:pStyle w:val="7"/>
              <w:rPr>
                <w:b/>
                <w:bCs/>
                <w:sz w:val="18"/>
                <w:szCs w:val="21"/>
              </w:rPr>
            </w:pPr>
          </w:p>
          <w:p>
            <w:pPr>
              <w:rPr>
                <w:b/>
                <w:bCs/>
                <w:sz w:val="18"/>
                <w:szCs w:val="21"/>
              </w:rPr>
            </w:pPr>
          </w:p>
          <w:p>
            <w:pPr>
              <w:pStyle w:val="7"/>
              <w:rPr>
                <w:b/>
                <w:bCs/>
                <w:sz w:val="18"/>
                <w:szCs w:val="21"/>
              </w:rPr>
            </w:pPr>
          </w:p>
          <w:p>
            <w:pPr>
              <w:rPr>
                <w:b/>
                <w:bCs/>
                <w:sz w:val="18"/>
                <w:szCs w:val="21"/>
              </w:rPr>
            </w:pPr>
          </w:p>
          <w:p>
            <w:pPr>
              <w:pStyle w:val="7"/>
              <w:rPr>
                <w:b/>
                <w:bCs/>
                <w:sz w:val="18"/>
                <w:szCs w:val="21"/>
              </w:rPr>
            </w:pPr>
          </w:p>
          <w:p>
            <w:pPr>
              <w:rPr>
                <w:b/>
                <w:bCs/>
                <w:sz w:val="18"/>
                <w:szCs w:val="21"/>
              </w:rPr>
            </w:pPr>
          </w:p>
          <w:p>
            <w:pPr>
              <w:rPr>
                <w:b/>
                <w:bCs/>
                <w:sz w:val="18"/>
                <w:szCs w:val="21"/>
              </w:rPr>
            </w:pPr>
          </w:p>
          <w:p>
            <w:pPr>
              <w:pStyle w:val="7"/>
              <w:rPr>
                <w:b/>
                <w:bCs/>
                <w:sz w:val="18"/>
                <w:szCs w:val="21"/>
              </w:rPr>
            </w:pPr>
          </w:p>
          <w:p>
            <w:pPr>
              <w:rPr>
                <w:b/>
                <w:bCs/>
                <w:sz w:val="18"/>
                <w:szCs w:val="21"/>
              </w:rPr>
            </w:pPr>
          </w:p>
          <w:p>
            <w:pPr>
              <w:pStyle w:val="7"/>
              <w:rPr>
                <w:b/>
                <w:bCs/>
                <w:sz w:val="18"/>
                <w:szCs w:val="21"/>
              </w:rPr>
            </w:pPr>
          </w:p>
          <w:p>
            <w:pPr>
              <w:pStyle w:val="7"/>
            </w:pPr>
          </w:p>
        </w:tc>
      </w:tr>
    </w:tbl>
    <w:p>
      <w:pPr>
        <w:pStyle w:val="7"/>
        <w:rPr>
          <w:rFonts w:ascii="Times New Roman" w:hAnsi="Times New Roman" w:eastAsia="楷体_GB2312"/>
          <w:sz w:val="36"/>
          <w:szCs w:val="36"/>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7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2" w:hRule="atLeast"/>
        </w:trPr>
        <w:tc>
          <w:tcPr>
            <w:tcW w:w="771" w:type="dxa"/>
          </w:tcPr>
          <w:p/>
        </w:tc>
        <w:tc>
          <w:tcPr>
            <w:tcW w:w="7745" w:type="dxa"/>
          </w:tcPr>
          <w:p>
            <w:pPr>
              <w:adjustRightInd w:val="0"/>
              <w:snapToGrid w:val="0"/>
              <w:spacing w:line="500" w:lineRule="exact"/>
              <w:ind w:firstLine="420" w:firstLineChars="200"/>
              <w:rPr>
                <w:rFonts w:hint="eastAsia"/>
                <w:color w:val="auto"/>
              </w:rPr>
            </w:pPr>
            <w:r>
              <w:rPr>
                <w:rFonts w:hint="eastAsia"/>
                <w:color w:val="auto"/>
                <w:lang w:val="en-US" w:eastAsia="zh-CN"/>
              </w:rPr>
              <w:t>2、</w:t>
            </w:r>
            <w:r>
              <w:rPr>
                <w:rFonts w:hint="eastAsia"/>
                <w:color w:val="auto"/>
              </w:rPr>
              <w:t>降噪措施</w:t>
            </w:r>
          </w:p>
          <w:p>
            <w:pPr>
              <w:adjustRightInd w:val="0"/>
              <w:snapToGrid w:val="0"/>
              <w:spacing w:line="500" w:lineRule="exact"/>
              <w:ind w:firstLine="420" w:firstLineChars="200"/>
              <w:rPr>
                <w:rFonts w:hint="eastAsia"/>
                <w:color w:val="auto"/>
              </w:rPr>
            </w:pPr>
            <w:r>
              <w:rPr>
                <w:rFonts w:hint="eastAsia"/>
                <w:color w:val="auto"/>
              </w:rPr>
              <w:t>为了减轻设备运行产生的噪声对周围环境的影响，建设方拟采取如下降噪措施：</w:t>
            </w:r>
          </w:p>
          <w:p>
            <w:pPr>
              <w:adjustRightInd w:val="0"/>
              <w:snapToGrid w:val="0"/>
              <w:spacing w:line="500" w:lineRule="exact"/>
              <w:ind w:firstLine="420" w:firstLineChars="200"/>
              <w:rPr>
                <w:rFonts w:hint="eastAsia"/>
                <w:color w:val="auto"/>
              </w:rPr>
            </w:pPr>
            <w:r>
              <w:rPr>
                <w:rFonts w:hint="eastAsia"/>
                <w:color w:val="auto"/>
              </w:rPr>
              <w:t>①</w:t>
            </w:r>
            <w:r>
              <w:rPr>
                <w:rFonts w:hint="eastAsia"/>
                <w:color w:val="auto"/>
                <w:lang w:val="en-US" w:eastAsia="zh-CN"/>
              </w:rPr>
              <w:t xml:space="preserve"> </w:t>
            </w:r>
            <w:r>
              <w:rPr>
                <w:rFonts w:hint="eastAsia"/>
                <w:color w:val="auto"/>
              </w:rPr>
              <w:t>合理安排生产车间平面布局，各类设备均设置在厂房内，使高噪声设备尽可能远离厂界；</w:t>
            </w:r>
          </w:p>
          <w:p>
            <w:pPr>
              <w:adjustRightInd w:val="0"/>
              <w:snapToGrid w:val="0"/>
              <w:spacing w:line="500" w:lineRule="exact"/>
              <w:ind w:firstLine="420" w:firstLineChars="200"/>
              <w:rPr>
                <w:rFonts w:hint="eastAsia"/>
                <w:color w:val="auto"/>
              </w:rPr>
            </w:pPr>
            <w:r>
              <w:rPr>
                <w:rFonts w:hint="eastAsia"/>
                <w:color w:val="auto"/>
              </w:rPr>
              <w:t>②</w:t>
            </w:r>
            <w:r>
              <w:rPr>
                <w:rFonts w:hint="eastAsia"/>
                <w:color w:val="auto"/>
                <w:lang w:val="en-US" w:eastAsia="zh-CN"/>
              </w:rPr>
              <w:t xml:space="preserve"> </w:t>
            </w:r>
            <w:r>
              <w:rPr>
                <w:rFonts w:hint="eastAsia"/>
                <w:color w:val="auto"/>
              </w:rPr>
              <w:t>对于高噪声的生产设备，底座设置减振、隔声垫，降低噪声影响；</w:t>
            </w:r>
          </w:p>
          <w:p>
            <w:pPr>
              <w:adjustRightInd w:val="0"/>
              <w:snapToGrid w:val="0"/>
              <w:spacing w:line="500" w:lineRule="exact"/>
              <w:ind w:firstLine="420" w:firstLineChars="200"/>
              <w:rPr>
                <w:rFonts w:hint="eastAsia"/>
                <w:color w:val="auto"/>
              </w:rPr>
            </w:pPr>
            <w:r>
              <w:rPr>
                <w:rFonts w:hint="eastAsia"/>
                <w:color w:val="auto"/>
              </w:rPr>
              <w:t>③</w:t>
            </w:r>
            <w:r>
              <w:rPr>
                <w:rFonts w:hint="eastAsia"/>
                <w:color w:val="auto"/>
                <w:lang w:val="en-US" w:eastAsia="zh-CN"/>
              </w:rPr>
              <w:t xml:space="preserve"> </w:t>
            </w:r>
            <w:r>
              <w:rPr>
                <w:rFonts w:hint="eastAsia"/>
                <w:color w:val="auto"/>
              </w:rPr>
              <w:t>加强管理，加强对企业操作人员的业务管理，加强设备的维护保养，确保设备处于良好的运转状态，杜绝设备不正常运转产生的高噪声现象。</w:t>
            </w:r>
          </w:p>
          <w:p>
            <w:pPr>
              <w:adjustRightInd w:val="0"/>
              <w:snapToGrid w:val="0"/>
              <w:spacing w:line="500" w:lineRule="exact"/>
              <w:ind w:firstLine="420" w:firstLineChars="200"/>
              <w:rPr>
                <w:rFonts w:hint="eastAsia"/>
                <w:color w:val="auto"/>
              </w:rPr>
            </w:pPr>
            <w:r>
              <w:rPr>
                <w:rFonts w:hint="eastAsia"/>
                <w:color w:val="auto"/>
              </w:rPr>
              <w:t>④</w:t>
            </w:r>
            <w:r>
              <w:rPr>
                <w:rFonts w:hint="eastAsia"/>
                <w:color w:val="auto"/>
                <w:lang w:val="en-US" w:eastAsia="zh-CN"/>
              </w:rPr>
              <w:t xml:space="preserve"> </w:t>
            </w:r>
            <w:r>
              <w:rPr>
                <w:rFonts w:hint="eastAsia"/>
                <w:color w:val="auto"/>
              </w:rPr>
              <w:t>搞好绿化：厂房围墙采用实心墙，厂区种植绿化带，以美化环境和降噪。</w:t>
            </w:r>
          </w:p>
          <w:p>
            <w:pPr>
              <w:adjustRightInd w:val="0"/>
              <w:snapToGrid w:val="0"/>
              <w:spacing w:line="500" w:lineRule="exact"/>
              <w:ind w:firstLine="420" w:firstLineChars="200"/>
              <w:rPr>
                <w:rFonts w:hint="eastAsia"/>
                <w:color w:val="auto"/>
              </w:rPr>
            </w:pPr>
            <w:r>
              <w:rPr>
                <w:rFonts w:hint="eastAsia"/>
                <w:color w:val="auto"/>
                <w:lang w:val="en-US" w:eastAsia="zh-CN"/>
              </w:rPr>
              <w:t>3、</w:t>
            </w:r>
            <w:r>
              <w:rPr>
                <w:rFonts w:hint="eastAsia"/>
                <w:color w:val="auto"/>
              </w:rPr>
              <w:t>厂界达标情况分析</w:t>
            </w:r>
          </w:p>
          <w:p>
            <w:pPr>
              <w:keepNext w:val="0"/>
              <w:keepLines w:val="0"/>
              <w:pageBreakBefore w:val="0"/>
              <w:widowControl w:val="0"/>
              <w:suppressLineNumbers w:val="0"/>
              <w:kinsoku/>
              <w:overflowPunct/>
              <w:topLinePunct w:val="0"/>
              <w:autoSpaceDE/>
              <w:autoSpaceDN/>
              <w:bidi w:val="0"/>
              <w:spacing w:before="0" w:beforeAutospacing="0" w:after="0" w:afterAutospacing="0" w:line="500" w:lineRule="exact"/>
              <w:ind w:left="0" w:right="0"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根据《环境影响评价技术导则声环境》（HJ2.4-2021）进行预测计算与评价。</w:t>
            </w:r>
          </w:p>
          <w:p>
            <w:pPr>
              <w:keepNext w:val="0"/>
              <w:keepLines w:val="0"/>
              <w:pageBreakBefore w:val="0"/>
              <w:widowControl w:val="0"/>
              <w:suppressLineNumbers w:val="0"/>
              <w:kinsoku/>
              <w:wordWrap w:val="0"/>
              <w:overflowPunct/>
              <w:topLinePunct w:val="0"/>
              <w:autoSpaceDE/>
              <w:autoSpaceDN/>
              <w:bidi w:val="0"/>
              <w:spacing w:before="0" w:beforeAutospacing="0" w:after="0" w:afterAutospacing="0" w:line="500" w:lineRule="exact"/>
              <w:ind w:left="0" w:right="0"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①室内声源等效室外声源声功率级计算</w:t>
            </w:r>
          </w:p>
          <w:p>
            <w:pPr>
              <w:keepNext w:val="0"/>
              <w:keepLines w:val="0"/>
              <w:pageBreakBefore w:val="0"/>
              <w:widowControl w:val="0"/>
              <w:suppressLineNumbers w:val="0"/>
              <w:kinsoku/>
              <w:wordWrap w:val="0"/>
              <w:overflowPunct/>
              <w:topLinePunct w:val="0"/>
              <w:autoSpaceDE/>
              <w:autoSpaceDN/>
              <w:bidi w:val="0"/>
              <w:spacing w:before="0" w:beforeAutospacing="0" w:after="0" w:afterAutospacing="0" w:line="500" w:lineRule="exact"/>
              <w:ind w:left="0" w:right="0"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本项目评价范围内无环境敏感目标，仅需预测厂界噪声值，按如下公式预测：</w:t>
            </w:r>
          </w:p>
          <w:p>
            <w:pPr>
              <w:keepNext w:val="0"/>
              <w:keepLines w:val="0"/>
              <w:pageBreakBefore w:val="0"/>
              <w:widowControl w:val="0"/>
              <w:suppressLineNumbers w:val="0"/>
              <w:kinsoku/>
              <w:wordWrap w:val="0"/>
              <w:overflowPunct/>
              <w:topLinePunct w:val="0"/>
              <w:autoSpaceDE/>
              <w:autoSpaceDN/>
              <w:bidi w:val="0"/>
              <w:spacing w:before="0" w:beforeAutospacing="0" w:after="0" w:afterAutospacing="0" w:line="500" w:lineRule="exact"/>
              <w:ind w:left="0" w:right="0" w:firstLine="420" w:firstLineChars="20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w:t>
            </w:r>
            <w:r>
              <w:rPr>
                <w:rFonts w:hint="default" w:ascii="Times New Roman" w:hAnsi="Times New Roman" w:cs="Times New Roman"/>
                <w:color w:val="auto"/>
                <w:sz w:val="21"/>
                <w:szCs w:val="21"/>
                <w:vertAlign w:val="subscript"/>
              </w:rPr>
              <w:t>p2</w:t>
            </w:r>
            <w:r>
              <w:rPr>
                <w:rFonts w:hint="default" w:ascii="Times New Roman" w:hAnsi="Times New Roman" w:cs="Times New Roman"/>
                <w:color w:val="auto"/>
                <w:sz w:val="21"/>
                <w:szCs w:val="21"/>
              </w:rPr>
              <w:t>=L</w:t>
            </w:r>
            <w:r>
              <w:rPr>
                <w:rFonts w:hint="default" w:ascii="Times New Roman" w:hAnsi="Times New Roman" w:cs="Times New Roman"/>
                <w:color w:val="auto"/>
                <w:sz w:val="21"/>
                <w:szCs w:val="21"/>
                <w:vertAlign w:val="subscript"/>
              </w:rPr>
              <w:t>p1</w:t>
            </w:r>
            <w:r>
              <w:rPr>
                <w:rFonts w:hint="default" w:ascii="Times New Roman" w:hAnsi="Times New Roman" w:cs="Times New Roman"/>
                <w:color w:val="auto"/>
                <w:sz w:val="21"/>
                <w:szCs w:val="21"/>
              </w:rPr>
              <w:t>-（TL+6）</w:t>
            </w:r>
          </w:p>
          <w:p>
            <w:pPr>
              <w:keepNext w:val="0"/>
              <w:keepLines w:val="0"/>
              <w:pageBreakBefore w:val="0"/>
              <w:widowControl w:val="0"/>
              <w:suppressLineNumbers w:val="0"/>
              <w:kinsoku/>
              <w:wordWrap w:val="0"/>
              <w:overflowPunct/>
              <w:topLinePunct w:val="0"/>
              <w:autoSpaceDE/>
              <w:autoSpaceDN/>
              <w:bidi w:val="0"/>
              <w:spacing w:before="0" w:beforeAutospacing="0" w:after="0" w:afterAutospacing="0" w:line="500" w:lineRule="exact"/>
              <w:ind w:left="0" w:right="0"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式中：L</w:t>
            </w:r>
            <w:r>
              <w:rPr>
                <w:rFonts w:hint="default" w:ascii="Times New Roman" w:hAnsi="Times New Roman" w:cs="Times New Roman"/>
                <w:color w:val="auto"/>
                <w:sz w:val="21"/>
                <w:szCs w:val="21"/>
                <w:vertAlign w:val="subscript"/>
              </w:rPr>
              <w:t>p2</w:t>
            </w:r>
            <w:r>
              <w:rPr>
                <w:rFonts w:hint="default" w:ascii="Times New Roman" w:hAnsi="Times New Roman" w:cs="Times New Roman"/>
                <w:color w:val="auto"/>
                <w:sz w:val="21"/>
                <w:szCs w:val="21"/>
              </w:rPr>
              <w:t>—靠近开口处（或窗户）室外A声级，dB；</w:t>
            </w:r>
          </w:p>
          <w:p>
            <w:pPr>
              <w:keepNext w:val="0"/>
              <w:keepLines w:val="0"/>
              <w:pageBreakBefore w:val="0"/>
              <w:widowControl w:val="0"/>
              <w:suppressLineNumbers w:val="0"/>
              <w:kinsoku/>
              <w:wordWrap w:val="0"/>
              <w:overflowPunct/>
              <w:topLinePunct w:val="0"/>
              <w:autoSpaceDE/>
              <w:autoSpaceDN/>
              <w:bidi w:val="0"/>
              <w:spacing w:before="0" w:beforeAutospacing="0" w:after="0" w:afterAutospacing="0" w:line="500" w:lineRule="exact"/>
              <w:ind w:left="0" w:right="0"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w:t>
            </w:r>
            <w:r>
              <w:rPr>
                <w:rFonts w:hint="default" w:ascii="Times New Roman" w:hAnsi="Times New Roman" w:cs="Times New Roman"/>
                <w:color w:val="auto"/>
                <w:sz w:val="21"/>
                <w:szCs w:val="21"/>
                <w:vertAlign w:val="subscript"/>
              </w:rPr>
              <w:t>p1</w:t>
            </w:r>
            <w:r>
              <w:rPr>
                <w:rFonts w:hint="default" w:ascii="Times New Roman" w:hAnsi="Times New Roman" w:cs="Times New Roman"/>
                <w:color w:val="auto"/>
                <w:sz w:val="21"/>
                <w:szCs w:val="21"/>
              </w:rPr>
              <w:t>—靠近开口处（或窗户）室内A声级，dB；</w:t>
            </w:r>
          </w:p>
          <w:p>
            <w:pPr>
              <w:keepNext w:val="0"/>
              <w:keepLines w:val="0"/>
              <w:pageBreakBefore w:val="0"/>
              <w:widowControl w:val="0"/>
              <w:suppressLineNumbers w:val="0"/>
              <w:kinsoku/>
              <w:wordWrap w:val="0"/>
              <w:overflowPunct/>
              <w:topLinePunct w:val="0"/>
              <w:autoSpaceDE/>
              <w:autoSpaceDN/>
              <w:bidi w:val="0"/>
              <w:spacing w:before="0" w:beforeAutospacing="0" w:after="0" w:afterAutospacing="0" w:line="500" w:lineRule="exact"/>
              <w:ind w:left="0" w:right="0"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TL—隔墙（或窗户）A声级的隔声量，dB；</w:t>
            </w:r>
          </w:p>
          <w:p>
            <w:pPr>
              <w:keepNext w:val="0"/>
              <w:keepLines w:val="0"/>
              <w:pageBreakBefore w:val="0"/>
              <w:widowControl w:val="0"/>
              <w:suppressLineNumbers w:val="0"/>
              <w:kinsoku/>
              <w:wordWrap w:val="0"/>
              <w:overflowPunct/>
              <w:topLinePunct w:val="0"/>
              <w:autoSpaceDE/>
              <w:autoSpaceDN/>
              <w:bidi w:val="0"/>
              <w:spacing w:before="0" w:beforeAutospacing="0" w:after="0" w:afterAutospacing="0" w:line="500" w:lineRule="exact"/>
              <w:ind w:left="0" w:right="0" w:firstLine="420" w:firstLineChars="200"/>
              <w:jc w:val="left"/>
              <w:textAlignment w:val="auto"/>
              <w:rPr>
                <w:rFonts w:hint="eastAsia" w:cs="Times New Roman"/>
                <w:color w:val="auto"/>
                <w:sz w:val="21"/>
                <w:szCs w:val="21"/>
                <w:lang w:eastAsia="zh-CN"/>
              </w:rPr>
            </w:pPr>
            <w:r>
              <w:rPr>
                <w:rFonts w:hint="default" w:ascii="Times New Roman" w:hAnsi="Times New Roman" w:cs="Times New Roman"/>
                <w:color w:val="auto"/>
                <w:sz w:val="21"/>
                <w:szCs w:val="21"/>
              </w:rPr>
              <w:drawing>
                <wp:anchor distT="0" distB="0" distL="114300" distR="114300" simplePos="0" relativeHeight="251664384" behindDoc="0" locked="0" layoutInCell="1" allowOverlap="1">
                  <wp:simplePos x="0" y="0"/>
                  <wp:positionH relativeFrom="column">
                    <wp:posOffset>1369695</wp:posOffset>
                  </wp:positionH>
                  <wp:positionV relativeFrom="paragraph">
                    <wp:posOffset>62865</wp:posOffset>
                  </wp:positionV>
                  <wp:extent cx="1829435" cy="227965"/>
                  <wp:effectExtent l="0" t="0" r="18415" b="635"/>
                  <wp:wrapSquare wrapText="bothSides"/>
                  <wp:docPr id="31" name="图片 16" descr="w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6" descr="wps1"/>
                          <pic:cNvPicPr>
                            <a:picLocks noChangeAspect="1"/>
                          </pic:cNvPicPr>
                        </pic:nvPicPr>
                        <pic:blipFill>
                          <a:blip r:embed="rId19"/>
                          <a:stretch>
                            <a:fillRect/>
                          </a:stretch>
                        </pic:blipFill>
                        <pic:spPr>
                          <a:xfrm>
                            <a:off x="0" y="0"/>
                            <a:ext cx="1829435" cy="227965"/>
                          </a:xfrm>
                          <a:prstGeom prst="rect">
                            <a:avLst/>
                          </a:prstGeom>
                          <a:noFill/>
                          <a:ln>
                            <a:noFill/>
                          </a:ln>
                        </pic:spPr>
                      </pic:pic>
                    </a:graphicData>
                  </a:graphic>
                </wp:anchor>
              </w:drawing>
            </w:r>
            <w:r>
              <w:rPr>
                <w:rFonts w:hint="default" w:ascii="Times New Roman" w:hAnsi="Times New Roman" w:cs="Times New Roman"/>
                <w:color w:val="auto"/>
                <w:sz w:val="21"/>
                <w:szCs w:val="21"/>
              </w:rPr>
              <w:t>其中</w:t>
            </w:r>
            <w:r>
              <w:rPr>
                <w:rFonts w:hint="eastAsia" w:cs="Times New Roman"/>
                <w:color w:val="auto"/>
                <w:sz w:val="21"/>
                <w:szCs w:val="21"/>
                <w:lang w:eastAsia="zh-CN"/>
              </w:rPr>
              <w:t>：</w:t>
            </w:r>
          </w:p>
          <w:p>
            <w:pPr>
              <w:keepNext w:val="0"/>
              <w:keepLines w:val="0"/>
              <w:pageBreakBefore w:val="0"/>
              <w:widowControl w:val="0"/>
              <w:suppressLineNumbers w:val="0"/>
              <w:kinsoku/>
              <w:wordWrap w:val="0"/>
              <w:overflowPunct/>
              <w:topLinePunct w:val="0"/>
              <w:autoSpaceDE/>
              <w:autoSpaceDN/>
              <w:bidi w:val="0"/>
              <w:spacing w:before="0" w:beforeAutospacing="0" w:after="0" w:afterAutospacing="0" w:line="500" w:lineRule="exact"/>
              <w:ind w:left="0" w:right="0" w:firstLine="420" w:firstLineChars="20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式中：L</w:t>
            </w:r>
            <w:r>
              <w:rPr>
                <w:rFonts w:hint="default" w:ascii="Times New Roman" w:hAnsi="Times New Roman" w:cs="Times New Roman"/>
                <w:color w:val="auto"/>
                <w:sz w:val="21"/>
                <w:szCs w:val="21"/>
                <w:vertAlign w:val="subscript"/>
              </w:rPr>
              <w:t>w</w:t>
            </w:r>
            <w:r>
              <w:rPr>
                <w:rFonts w:hint="default" w:ascii="Times New Roman" w:hAnsi="Times New Roman" w:cs="Times New Roman"/>
                <w:color w:val="auto"/>
                <w:sz w:val="21"/>
                <w:szCs w:val="21"/>
              </w:rPr>
              <w:t>—点声源声功率级，dB；</w:t>
            </w:r>
          </w:p>
          <w:p>
            <w:pPr>
              <w:keepNext w:val="0"/>
              <w:keepLines w:val="0"/>
              <w:pageBreakBefore w:val="0"/>
              <w:widowControl w:val="0"/>
              <w:suppressLineNumbers w:val="0"/>
              <w:kinsoku/>
              <w:wordWrap w:val="0"/>
              <w:overflowPunct/>
              <w:topLinePunct w:val="0"/>
              <w:autoSpaceDE/>
              <w:autoSpaceDN/>
              <w:bidi w:val="0"/>
              <w:spacing w:before="0" w:beforeAutospacing="0" w:after="0" w:afterAutospacing="0" w:line="500" w:lineRule="exact"/>
              <w:ind w:left="0" w:right="0"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Q—指向性因数；通常对无指向性声源，当声源放在房间中心时，Q=1；当放在一面墙的中心时，Q=2；当放在一面墙的中心时，Q=4；当放在三面墙夹角处时，Q=8。</w:t>
            </w:r>
          </w:p>
          <w:p>
            <w:pPr>
              <w:keepNext w:val="0"/>
              <w:keepLines w:val="0"/>
              <w:pageBreakBefore w:val="0"/>
              <w:widowControl w:val="0"/>
              <w:suppressLineNumbers w:val="0"/>
              <w:kinsoku/>
              <w:wordWrap w:val="0"/>
              <w:overflowPunct/>
              <w:topLinePunct w:val="0"/>
              <w:autoSpaceDE/>
              <w:autoSpaceDN/>
              <w:bidi w:val="0"/>
              <w:spacing w:before="0" w:beforeAutospacing="0" w:after="0" w:afterAutospacing="0" w:line="500" w:lineRule="exact"/>
              <w:ind w:left="0" w:right="0"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R—房间常数；R=Sα/（1-α），S为房间内表面面积，m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；α为平均吸声系数；</w:t>
            </w:r>
          </w:p>
          <w:p>
            <w:pPr>
              <w:keepNext w:val="0"/>
              <w:keepLines w:val="0"/>
              <w:pageBreakBefore w:val="0"/>
              <w:widowControl w:val="0"/>
              <w:suppressLineNumbers w:val="0"/>
              <w:kinsoku/>
              <w:overflowPunct/>
              <w:topLinePunct w:val="0"/>
              <w:autoSpaceDE/>
              <w:autoSpaceDN/>
              <w:bidi w:val="0"/>
              <w:spacing w:before="0" w:beforeAutospacing="0" w:after="0" w:afterAutospacing="0" w:line="500" w:lineRule="exact"/>
              <w:ind w:left="0" w:right="0"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r—声源到靠近围栏结构某点处的距离，m。</w:t>
            </w:r>
          </w:p>
          <w:p>
            <w:pPr>
              <w:keepNext w:val="0"/>
              <w:keepLines w:val="0"/>
              <w:pageBreakBefore w:val="0"/>
              <w:widowControl w:val="0"/>
              <w:suppressLineNumbers w:val="0"/>
              <w:kinsoku/>
              <w:overflowPunct/>
              <w:topLinePunct w:val="0"/>
              <w:autoSpaceDE/>
              <w:autoSpaceDN/>
              <w:bidi w:val="0"/>
              <w:spacing w:before="0" w:beforeAutospacing="0" w:after="0" w:afterAutospacing="0" w:line="500" w:lineRule="exact"/>
              <w:ind w:left="0" w:right="0"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②户外声传播衰减计算</w:t>
            </w:r>
          </w:p>
          <w:p>
            <w:pPr>
              <w:keepNext w:val="0"/>
              <w:keepLines w:val="0"/>
              <w:pageBreakBefore w:val="0"/>
              <w:widowControl w:val="0"/>
              <w:suppressLineNumbers w:val="0"/>
              <w:kinsoku/>
              <w:overflowPunct/>
              <w:topLinePunct w:val="0"/>
              <w:autoSpaceDE/>
              <w:autoSpaceDN/>
              <w:bidi w:val="0"/>
              <w:spacing w:before="0" w:beforeAutospacing="0" w:after="0" w:afterAutospacing="0" w:line="500" w:lineRule="exact"/>
              <w:ind w:left="0" w:right="0"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根据声源声功率级或靠近声源某一参考位置处的已知声级、户外声传播衰减，计算距离声源较远处的预测点的声级。在已知距离无指向性点声源参考点r</w:t>
            </w:r>
            <w:r>
              <w:rPr>
                <w:rFonts w:hint="default" w:ascii="Times New Roman" w:hAnsi="Times New Roman" w:cs="Times New Roman"/>
                <w:color w:val="auto"/>
                <w:sz w:val="21"/>
                <w:szCs w:val="21"/>
                <w:vertAlign w:val="subscript"/>
              </w:rPr>
              <w:t>0</w:t>
            </w:r>
            <w:r>
              <w:rPr>
                <w:rFonts w:hint="default" w:ascii="Times New Roman" w:hAnsi="Times New Roman" w:cs="Times New Roman"/>
                <w:color w:val="auto"/>
                <w:sz w:val="21"/>
                <w:szCs w:val="21"/>
              </w:rPr>
              <w:t>处的倍频带（用63Hz 到8KHz的8个标称倍频带中心频率）声压级和计算出参考点（r</w:t>
            </w:r>
            <w:r>
              <w:rPr>
                <w:rFonts w:hint="default" w:ascii="Times New Roman" w:hAnsi="Times New Roman" w:cs="Times New Roman"/>
                <w:color w:val="auto"/>
                <w:sz w:val="21"/>
                <w:szCs w:val="21"/>
                <w:vertAlign w:val="subscript"/>
              </w:rPr>
              <w:t>0</w:t>
            </w:r>
            <w:r>
              <w:rPr>
                <w:rFonts w:hint="default" w:ascii="Times New Roman" w:hAnsi="Times New Roman" w:cs="Times New Roman"/>
                <w:color w:val="auto"/>
                <w:sz w:val="21"/>
                <w:szCs w:val="21"/>
              </w:rPr>
              <w:t>）和预测点（r）处之间的户外声传播衰减后，预测点8个倍频带声压级公式：</w:t>
            </w:r>
          </w:p>
          <w:p>
            <w:pPr>
              <w:keepNext w:val="0"/>
              <w:keepLines w:val="0"/>
              <w:pageBreakBefore w:val="0"/>
              <w:widowControl w:val="0"/>
              <w:suppressLineNumbers w:val="0"/>
              <w:kinsoku/>
              <w:overflowPunct/>
              <w:topLinePunct w:val="0"/>
              <w:autoSpaceDE/>
              <w:autoSpaceDN/>
              <w:bidi w:val="0"/>
              <w:spacing w:before="0" w:beforeAutospacing="0" w:after="0" w:afterAutospacing="0" w:line="500" w:lineRule="exact"/>
              <w:ind w:left="0" w:right="0"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L</w:t>
            </w:r>
            <w:r>
              <w:rPr>
                <w:rFonts w:hint="default" w:ascii="Times New Roman" w:hAnsi="Times New Roman" w:cs="Times New Roman"/>
                <w:color w:val="auto"/>
                <w:sz w:val="21"/>
                <w:szCs w:val="21"/>
                <w:vertAlign w:val="subscript"/>
                <w:lang w:val="en-US" w:eastAsia="zh-CN"/>
              </w:rPr>
              <w:t>p</w:t>
            </w:r>
            <w:r>
              <w:rPr>
                <w:rFonts w:hint="default" w:ascii="Times New Roman" w:hAnsi="Times New Roman" w:cs="Times New Roman"/>
                <w:color w:val="auto"/>
                <w:sz w:val="21"/>
                <w:szCs w:val="21"/>
                <w:lang w:val="en-US" w:eastAsia="zh-CN"/>
              </w:rPr>
              <w:t>（r）=L</w:t>
            </w:r>
            <w:r>
              <w:rPr>
                <w:rFonts w:hint="default" w:ascii="Times New Roman" w:hAnsi="Times New Roman" w:cs="Times New Roman"/>
                <w:color w:val="auto"/>
                <w:sz w:val="21"/>
                <w:szCs w:val="21"/>
                <w:vertAlign w:val="subscript"/>
                <w:lang w:val="en-US" w:eastAsia="zh-CN"/>
              </w:rPr>
              <w:t>p</w:t>
            </w:r>
            <w:r>
              <w:rPr>
                <w:rFonts w:hint="default" w:ascii="Times New Roman" w:hAnsi="Times New Roman" w:cs="Times New Roman"/>
                <w:color w:val="auto"/>
                <w:sz w:val="21"/>
                <w:szCs w:val="21"/>
                <w:lang w:val="en-US" w:eastAsia="zh-CN"/>
              </w:rPr>
              <w:t>（r</w:t>
            </w:r>
            <w:r>
              <w:rPr>
                <w:rFonts w:hint="default" w:ascii="Times New Roman" w:hAnsi="Times New Roman" w:cs="Times New Roman"/>
                <w:color w:val="auto"/>
                <w:sz w:val="21"/>
                <w:szCs w:val="21"/>
                <w:vertAlign w:val="subscript"/>
                <w:lang w:val="en-US" w:eastAsia="zh-CN"/>
              </w:rPr>
              <w:t>0</w:t>
            </w:r>
            <w:r>
              <w:rPr>
                <w:rFonts w:hint="default" w:ascii="Times New Roman" w:hAnsi="Times New Roman" w:cs="Times New Roman"/>
                <w:color w:val="auto"/>
                <w:sz w:val="21"/>
                <w:szCs w:val="21"/>
                <w:lang w:val="en-US" w:eastAsia="zh-CN"/>
              </w:rPr>
              <w:t>）+D</w:t>
            </w:r>
            <w:r>
              <w:rPr>
                <w:rFonts w:hint="default" w:ascii="Times New Roman" w:hAnsi="Times New Roman" w:cs="Times New Roman"/>
                <w:color w:val="auto"/>
                <w:sz w:val="21"/>
                <w:szCs w:val="21"/>
                <w:vertAlign w:val="subscript"/>
                <w:lang w:val="en-US" w:eastAsia="zh-CN"/>
              </w:rPr>
              <w:t>C</w:t>
            </w:r>
            <w:r>
              <w:rPr>
                <w:rFonts w:hint="default" w:ascii="Times New Roman" w:hAnsi="Times New Roman" w:cs="Times New Roman"/>
                <w:color w:val="auto"/>
                <w:sz w:val="21"/>
                <w:szCs w:val="21"/>
                <w:lang w:val="en-US" w:eastAsia="zh-CN"/>
              </w:rPr>
              <w:t>+（A</w:t>
            </w:r>
            <w:r>
              <w:rPr>
                <w:rFonts w:hint="default" w:ascii="Times New Roman" w:hAnsi="Times New Roman" w:cs="Times New Roman"/>
                <w:color w:val="auto"/>
                <w:sz w:val="21"/>
                <w:szCs w:val="21"/>
                <w:vertAlign w:val="subscript"/>
                <w:lang w:val="en-US" w:eastAsia="zh-CN"/>
              </w:rPr>
              <w:t>div</w:t>
            </w:r>
            <w:r>
              <w:rPr>
                <w:rFonts w:hint="default" w:ascii="Times New Roman" w:hAnsi="Times New Roman" w:cs="Times New Roman"/>
                <w:color w:val="auto"/>
                <w:sz w:val="21"/>
                <w:szCs w:val="21"/>
                <w:lang w:val="en-US" w:eastAsia="zh-CN"/>
              </w:rPr>
              <w:t>+A</w:t>
            </w:r>
            <w:r>
              <w:rPr>
                <w:rFonts w:hint="default" w:ascii="Times New Roman" w:hAnsi="Times New Roman" w:cs="Times New Roman"/>
                <w:color w:val="auto"/>
                <w:sz w:val="21"/>
                <w:szCs w:val="21"/>
                <w:vertAlign w:val="subscript"/>
                <w:lang w:val="en-US" w:eastAsia="zh-CN"/>
              </w:rPr>
              <w:t>atm</w:t>
            </w:r>
            <w:r>
              <w:rPr>
                <w:rFonts w:hint="default" w:ascii="Times New Roman" w:hAnsi="Times New Roman" w:cs="Times New Roman"/>
                <w:color w:val="auto"/>
                <w:sz w:val="21"/>
                <w:szCs w:val="21"/>
                <w:lang w:val="en-US" w:eastAsia="zh-CN"/>
              </w:rPr>
              <w:t>+A</w:t>
            </w:r>
            <w:r>
              <w:rPr>
                <w:rFonts w:hint="default" w:ascii="Times New Roman" w:hAnsi="Times New Roman" w:cs="Times New Roman"/>
                <w:color w:val="auto"/>
                <w:sz w:val="21"/>
                <w:szCs w:val="21"/>
                <w:vertAlign w:val="subscript"/>
                <w:lang w:val="en-US" w:eastAsia="zh-CN"/>
              </w:rPr>
              <w:t>gr</w:t>
            </w:r>
            <w:r>
              <w:rPr>
                <w:rFonts w:hint="default" w:ascii="Times New Roman" w:hAnsi="Times New Roman" w:cs="Times New Roman"/>
                <w:color w:val="auto"/>
                <w:sz w:val="21"/>
                <w:szCs w:val="21"/>
                <w:lang w:val="en-US" w:eastAsia="zh-CN"/>
              </w:rPr>
              <w:t>+A</w:t>
            </w:r>
            <w:r>
              <w:rPr>
                <w:rFonts w:hint="default" w:ascii="Times New Roman" w:hAnsi="Times New Roman" w:cs="Times New Roman"/>
                <w:color w:val="auto"/>
                <w:sz w:val="21"/>
                <w:szCs w:val="21"/>
                <w:vertAlign w:val="subscript"/>
                <w:lang w:val="en-US" w:eastAsia="zh-CN"/>
              </w:rPr>
              <w:t>bar</w:t>
            </w:r>
            <w:r>
              <w:rPr>
                <w:rFonts w:hint="default" w:ascii="Times New Roman" w:hAnsi="Times New Roman" w:cs="Times New Roman"/>
                <w:color w:val="auto"/>
                <w:sz w:val="21"/>
                <w:szCs w:val="21"/>
                <w:lang w:val="en-US" w:eastAsia="zh-CN"/>
              </w:rPr>
              <w:t>+A</w:t>
            </w:r>
            <w:r>
              <w:rPr>
                <w:rFonts w:hint="default" w:ascii="Times New Roman" w:hAnsi="Times New Roman" w:cs="Times New Roman"/>
                <w:color w:val="auto"/>
                <w:sz w:val="21"/>
                <w:szCs w:val="21"/>
                <w:vertAlign w:val="subscript"/>
                <w:lang w:val="en-US" w:eastAsia="zh-CN"/>
              </w:rPr>
              <w:t>misc</w:t>
            </w:r>
            <w:r>
              <w:rPr>
                <w:rFonts w:hint="default" w:ascii="Times New Roman" w:hAnsi="Times New Roman" w:cs="Times New Roman"/>
                <w:color w:val="auto"/>
                <w:sz w:val="21"/>
                <w:szCs w:val="21"/>
                <w:lang w:val="en-US" w:eastAsia="zh-CN"/>
              </w:rPr>
              <w:t>）</w:t>
            </w:r>
          </w:p>
          <w:p>
            <w:pPr>
              <w:keepNext w:val="0"/>
              <w:keepLines w:val="0"/>
              <w:pageBreakBefore w:val="0"/>
              <w:widowControl w:val="0"/>
              <w:suppressLineNumbers w:val="0"/>
              <w:kinsoku/>
              <w:overflowPunct/>
              <w:topLinePunct w:val="0"/>
              <w:autoSpaceDE/>
              <w:autoSpaceDN/>
              <w:bidi w:val="0"/>
              <w:spacing w:before="0" w:beforeAutospacing="0" w:after="0" w:afterAutospacing="0" w:line="500" w:lineRule="exact"/>
              <w:ind w:left="0" w:right="0"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式中：L</w:t>
            </w:r>
            <w:r>
              <w:rPr>
                <w:rFonts w:hint="default" w:ascii="Times New Roman" w:hAnsi="Times New Roman" w:cs="Times New Roman"/>
                <w:color w:val="auto"/>
                <w:sz w:val="21"/>
                <w:szCs w:val="21"/>
                <w:vertAlign w:val="subscript"/>
              </w:rPr>
              <w:t>p</w:t>
            </w:r>
            <w:r>
              <w:rPr>
                <w:rFonts w:hint="default" w:ascii="Times New Roman" w:hAnsi="Times New Roman" w:cs="Times New Roman"/>
                <w:color w:val="auto"/>
                <w:sz w:val="21"/>
                <w:szCs w:val="21"/>
              </w:rPr>
              <w:t>（r）—预测点处声压级，dB；</w:t>
            </w:r>
          </w:p>
          <w:p>
            <w:pPr>
              <w:keepNext w:val="0"/>
              <w:keepLines w:val="0"/>
              <w:pageBreakBefore w:val="0"/>
              <w:widowControl w:val="0"/>
              <w:suppressLineNumbers w:val="0"/>
              <w:kinsoku/>
              <w:overflowPunct/>
              <w:topLinePunct w:val="0"/>
              <w:autoSpaceDE/>
              <w:autoSpaceDN/>
              <w:bidi w:val="0"/>
              <w:spacing w:before="0" w:beforeAutospacing="0" w:after="0" w:afterAutospacing="0" w:line="500" w:lineRule="exact"/>
              <w:ind w:left="0" w:right="0" w:firstLine="420" w:firstLineChars="200"/>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L</w:t>
            </w:r>
            <w:r>
              <w:rPr>
                <w:rFonts w:hint="default" w:ascii="Times New Roman" w:hAnsi="Times New Roman" w:cs="Times New Roman"/>
                <w:color w:val="auto"/>
                <w:sz w:val="21"/>
                <w:szCs w:val="21"/>
                <w:vertAlign w:val="subscript"/>
              </w:rPr>
              <w:t>p</w:t>
            </w:r>
            <w:r>
              <w:rPr>
                <w:rFonts w:hint="default" w:ascii="Times New Roman" w:hAnsi="Times New Roman" w:cs="Times New Roman"/>
                <w:color w:val="auto"/>
                <w:sz w:val="21"/>
                <w:szCs w:val="21"/>
              </w:rPr>
              <w:t>（r</w:t>
            </w:r>
            <w:r>
              <w:rPr>
                <w:rFonts w:hint="default" w:ascii="Times New Roman" w:hAnsi="Times New Roman" w:cs="Times New Roman"/>
                <w:color w:val="auto"/>
                <w:sz w:val="21"/>
                <w:szCs w:val="21"/>
                <w:vertAlign w:val="subscript"/>
              </w:rPr>
              <w:t>0</w:t>
            </w:r>
            <w:r>
              <w:rPr>
                <w:rFonts w:hint="default" w:ascii="Times New Roman" w:hAnsi="Times New Roman" w:cs="Times New Roman"/>
                <w:color w:val="auto"/>
                <w:sz w:val="21"/>
                <w:szCs w:val="21"/>
              </w:rPr>
              <w:t>）—参考位置r0处的声压级，dB；</w:t>
            </w:r>
          </w:p>
          <w:p>
            <w:pPr>
              <w:keepNext w:val="0"/>
              <w:keepLines w:val="0"/>
              <w:pageBreakBefore w:val="0"/>
              <w:widowControl w:val="0"/>
              <w:suppressLineNumbers w:val="0"/>
              <w:kinsoku/>
              <w:overflowPunct/>
              <w:topLinePunct w:val="0"/>
              <w:autoSpaceDE/>
              <w:autoSpaceDN/>
              <w:bidi w:val="0"/>
              <w:spacing w:before="0" w:beforeAutospacing="0" w:after="0" w:afterAutospacing="0" w:line="500" w:lineRule="exact"/>
              <w:ind w:left="0" w:right="0"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w:t>
            </w:r>
            <w:r>
              <w:rPr>
                <w:rFonts w:hint="default" w:ascii="Times New Roman" w:hAnsi="Times New Roman" w:cs="Times New Roman"/>
                <w:color w:val="auto"/>
                <w:sz w:val="21"/>
                <w:szCs w:val="21"/>
                <w:vertAlign w:val="subscript"/>
              </w:rPr>
              <w:t>c</w:t>
            </w:r>
            <w:r>
              <w:rPr>
                <w:rFonts w:hint="default" w:ascii="Times New Roman" w:hAnsi="Times New Roman" w:cs="Times New Roman"/>
                <w:color w:val="auto"/>
                <w:sz w:val="21"/>
                <w:szCs w:val="21"/>
              </w:rPr>
              <w:t>—指向性校正，它描述点声源的等效连续声压级与产生声功率级L</w:t>
            </w:r>
            <w:r>
              <w:rPr>
                <w:rFonts w:hint="default" w:ascii="Times New Roman" w:hAnsi="Times New Roman" w:cs="Times New Roman"/>
                <w:color w:val="auto"/>
                <w:sz w:val="21"/>
                <w:szCs w:val="21"/>
                <w:vertAlign w:val="subscript"/>
              </w:rPr>
              <w:t>w</w:t>
            </w:r>
            <w:r>
              <w:rPr>
                <w:rFonts w:hint="default" w:ascii="Times New Roman" w:hAnsi="Times New Roman" w:cs="Times New Roman"/>
                <w:color w:val="auto"/>
                <w:sz w:val="21"/>
                <w:szCs w:val="21"/>
              </w:rPr>
              <w:t>的全向点声源在规定方向的声级的偏差程度，dB；</w:t>
            </w:r>
          </w:p>
          <w:p>
            <w:pPr>
              <w:keepNext w:val="0"/>
              <w:keepLines w:val="0"/>
              <w:pageBreakBefore w:val="0"/>
              <w:widowControl w:val="0"/>
              <w:suppressLineNumbers w:val="0"/>
              <w:kinsoku/>
              <w:overflowPunct/>
              <w:topLinePunct w:val="0"/>
              <w:autoSpaceDE/>
              <w:autoSpaceDN/>
              <w:bidi w:val="0"/>
              <w:spacing w:before="0" w:beforeAutospacing="0" w:after="0" w:afterAutospacing="0" w:line="500" w:lineRule="exact"/>
              <w:ind w:left="0" w:right="0"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w:t>
            </w:r>
            <w:r>
              <w:rPr>
                <w:rFonts w:hint="default" w:ascii="Times New Roman" w:hAnsi="Times New Roman" w:cs="Times New Roman"/>
                <w:color w:val="auto"/>
                <w:sz w:val="21"/>
                <w:szCs w:val="21"/>
                <w:vertAlign w:val="subscript"/>
              </w:rPr>
              <w:t>div</w:t>
            </w:r>
            <w:r>
              <w:rPr>
                <w:rFonts w:hint="default" w:ascii="Times New Roman" w:hAnsi="Times New Roman" w:cs="Times New Roman"/>
                <w:color w:val="auto"/>
                <w:sz w:val="21"/>
                <w:szCs w:val="21"/>
              </w:rPr>
              <w:t>—几何发散引起的衰减，dB；</w:t>
            </w:r>
          </w:p>
          <w:p>
            <w:pPr>
              <w:keepNext w:val="0"/>
              <w:keepLines w:val="0"/>
              <w:pageBreakBefore w:val="0"/>
              <w:widowControl w:val="0"/>
              <w:suppressLineNumbers w:val="0"/>
              <w:kinsoku/>
              <w:overflowPunct/>
              <w:topLinePunct w:val="0"/>
              <w:autoSpaceDE/>
              <w:autoSpaceDN/>
              <w:bidi w:val="0"/>
              <w:spacing w:before="0" w:beforeAutospacing="0" w:after="0" w:afterAutospacing="0" w:line="500" w:lineRule="exact"/>
              <w:ind w:left="0" w:right="0"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w:t>
            </w:r>
            <w:r>
              <w:rPr>
                <w:rFonts w:hint="default" w:ascii="Times New Roman" w:hAnsi="Times New Roman" w:cs="Times New Roman"/>
                <w:color w:val="auto"/>
                <w:sz w:val="21"/>
                <w:szCs w:val="21"/>
                <w:vertAlign w:val="subscript"/>
              </w:rPr>
              <w:t>atm</w:t>
            </w:r>
            <w:r>
              <w:rPr>
                <w:rFonts w:hint="default" w:ascii="Times New Roman" w:hAnsi="Times New Roman" w:cs="Times New Roman"/>
                <w:color w:val="auto"/>
                <w:sz w:val="21"/>
                <w:szCs w:val="21"/>
              </w:rPr>
              <w:t>—空气吸收引起的衰减，dB；</w:t>
            </w:r>
          </w:p>
          <w:p>
            <w:pPr>
              <w:keepNext w:val="0"/>
              <w:keepLines w:val="0"/>
              <w:pageBreakBefore w:val="0"/>
              <w:widowControl w:val="0"/>
              <w:suppressLineNumbers w:val="0"/>
              <w:kinsoku/>
              <w:overflowPunct/>
              <w:topLinePunct w:val="0"/>
              <w:autoSpaceDE/>
              <w:autoSpaceDN/>
              <w:bidi w:val="0"/>
              <w:spacing w:before="0" w:beforeAutospacing="0" w:after="0" w:afterAutospacing="0" w:line="500" w:lineRule="exact"/>
              <w:ind w:left="0" w:right="0"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w:t>
            </w:r>
            <w:r>
              <w:rPr>
                <w:rFonts w:hint="default" w:ascii="Times New Roman" w:hAnsi="Times New Roman" w:cs="Times New Roman"/>
                <w:color w:val="auto"/>
                <w:sz w:val="21"/>
                <w:szCs w:val="21"/>
                <w:vertAlign w:val="subscript"/>
              </w:rPr>
              <w:t>gr</w:t>
            </w:r>
            <w:r>
              <w:rPr>
                <w:rFonts w:hint="default" w:ascii="Times New Roman" w:hAnsi="Times New Roman" w:cs="Times New Roman"/>
                <w:color w:val="auto"/>
                <w:sz w:val="21"/>
                <w:szCs w:val="21"/>
              </w:rPr>
              <w:t>—地面效应引起的衰减，dB；</w:t>
            </w:r>
          </w:p>
          <w:p>
            <w:pPr>
              <w:keepNext w:val="0"/>
              <w:keepLines w:val="0"/>
              <w:pageBreakBefore w:val="0"/>
              <w:widowControl w:val="0"/>
              <w:suppressLineNumbers w:val="0"/>
              <w:kinsoku/>
              <w:overflowPunct/>
              <w:topLinePunct w:val="0"/>
              <w:autoSpaceDE/>
              <w:autoSpaceDN/>
              <w:bidi w:val="0"/>
              <w:spacing w:before="0" w:beforeAutospacing="0" w:after="0" w:afterAutospacing="0" w:line="500" w:lineRule="exact"/>
              <w:ind w:left="0" w:right="0"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w:t>
            </w:r>
            <w:r>
              <w:rPr>
                <w:rFonts w:hint="default" w:ascii="Times New Roman" w:hAnsi="Times New Roman" w:cs="Times New Roman"/>
                <w:color w:val="auto"/>
                <w:sz w:val="21"/>
                <w:szCs w:val="21"/>
                <w:vertAlign w:val="subscript"/>
              </w:rPr>
              <w:t>bar</w:t>
            </w:r>
            <w:r>
              <w:rPr>
                <w:rFonts w:hint="default" w:ascii="Times New Roman" w:hAnsi="Times New Roman" w:cs="Times New Roman"/>
                <w:color w:val="auto"/>
                <w:sz w:val="21"/>
                <w:szCs w:val="21"/>
              </w:rPr>
              <w:t>—声屏障引起的衰减，dB；</w:t>
            </w:r>
          </w:p>
          <w:p>
            <w:pPr>
              <w:keepNext w:val="0"/>
              <w:keepLines w:val="0"/>
              <w:pageBreakBefore w:val="0"/>
              <w:widowControl w:val="0"/>
              <w:suppressLineNumbers w:val="0"/>
              <w:kinsoku/>
              <w:overflowPunct/>
              <w:topLinePunct w:val="0"/>
              <w:autoSpaceDE/>
              <w:autoSpaceDN/>
              <w:bidi w:val="0"/>
              <w:spacing w:before="0" w:beforeAutospacing="0" w:after="0" w:afterAutospacing="0" w:line="500" w:lineRule="exact"/>
              <w:ind w:left="0" w:right="0"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w:t>
            </w:r>
            <w:r>
              <w:rPr>
                <w:rFonts w:hint="default" w:ascii="Times New Roman" w:hAnsi="Times New Roman" w:cs="Times New Roman"/>
                <w:color w:val="auto"/>
                <w:sz w:val="21"/>
                <w:szCs w:val="21"/>
                <w:vertAlign w:val="subscript"/>
              </w:rPr>
              <w:t>misc</w:t>
            </w:r>
            <w:r>
              <w:rPr>
                <w:rFonts w:hint="default" w:ascii="Times New Roman" w:hAnsi="Times New Roman" w:cs="Times New Roman"/>
                <w:color w:val="auto"/>
                <w:sz w:val="21"/>
                <w:szCs w:val="21"/>
              </w:rPr>
              <w:t>—其他多方面效应引起的衰减，dB。</w:t>
            </w:r>
          </w:p>
          <w:p>
            <w:pPr>
              <w:keepNext w:val="0"/>
              <w:keepLines w:val="0"/>
              <w:pageBreakBefore w:val="0"/>
              <w:widowControl w:val="0"/>
              <w:suppressLineNumbers w:val="0"/>
              <w:kinsoku/>
              <w:overflowPunct/>
              <w:topLinePunct w:val="0"/>
              <w:autoSpaceDE/>
              <w:autoSpaceDN/>
              <w:bidi w:val="0"/>
              <w:spacing w:before="0" w:beforeAutospacing="0" w:after="0" w:afterAutospacing="0" w:line="500" w:lineRule="exact"/>
              <w:ind w:left="0" w:right="0"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③工业企业噪声贡献值计算</w:t>
            </w:r>
          </w:p>
          <w:p>
            <w:pPr>
              <w:keepNext w:val="0"/>
              <w:keepLines w:val="0"/>
              <w:pageBreakBefore w:val="0"/>
              <w:widowControl w:val="0"/>
              <w:suppressLineNumbers w:val="0"/>
              <w:kinsoku/>
              <w:overflowPunct/>
              <w:topLinePunct w:val="0"/>
              <w:autoSpaceDE/>
              <w:autoSpaceDN/>
              <w:bidi w:val="0"/>
              <w:spacing w:before="0" w:beforeAutospacing="0" w:after="0" w:afterAutospacing="0" w:line="500" w:lineRule="exact"/>
              <w:ind w:left="0" w:right="0" w:firstLine="420" w:firstLineChars="200"/>
              <w:textAlignment w:val="auto"/>
              <w:rPr>
                <w:rFonts w:hint="default" w:ascii="Times New Roman" w:hAnsi="Times New Roman" w:cs="Times New Roman"/>
                <w:i/>
                <w:color w:val="auto"/>
                <w:sz w:val="21"/>
                <w:szCs w:val="21"/>
              </w:rPr>
            </w:pPr>
            <w:r>
              <w:rPr>
                <w:rFonts w:hint="default" w:ascii="Times New Roman" w:hAnsi="Times New Roman" w:cs="Times New Roman"/>
                <w:color w:val="auto"/>
                <w:sz w:val="21"/>
                <w:szCs w:val="21"/>
              </w:rPr>
              <w:t>设第i个室外声源在预测点产生的A声级为L</w:t>
            </w:r>
            <w:r>
              <w:rPr>
                <w:rFonts w:hint="default" w:ascii="Times New Roman" w:hAnsi="Times New Roman" w:cs="Times New Roman"/>
                <w:color w:val="auto"/>
                <w:sz w:val="21"/>
                <w:szCs w:val="21"/>
                <w:vertAlign w:val="subscript"/>
              </w:rPr>
              <w:t>Ai</w:t>
            </w:r>
            <w:r>
              <w:rPr>
                <w:rFonts w:hint="default" w:ascii="Times New Roman" w:hAnsi="Times New Roman" w:cs="Times New Roman"/>
                <w:color w:val="auto"/>
                <w:sz w:val="21"/>
                <w:szCs w:val="21"/>
              </w:rPr>
              <w:t>，在T事件内该声源工作时间为t</w:t>
            </w:r>
            <w:r>
              <w:rPr>
                <w:rFonts w:hint="default" w:ascii="Times New Roman" w:hAnsi="Times New Roman" w:cs="Times New Roman"/>
                <w:color w:val="auto"/>
                <w:sz w:val="21"/>
                <w:szCs w:val="21"/>
                <w:vertAlign w:val="subscript"/>
              </w:rPr>
              <w:t>i</w:t>
            </w:r>
            <w:r>
              <w:rPr>
                <w:rFonts w:hint="default" w:ascii="Times New Roman" w:hAnsi="Times New Roman" w:cs="Times New Roman"/>
                <w:color w:val="auto"/>
                <w:sz w:val="21"/>
                <w:szCs w:val="21"/>
              </w:rPr>
              <w:t>；第j个等效室外声源在预测点产生的A声级为L</w:t>
            </w:r>
            <w:r>
              <w:rPr>
                <w:rFonts w:hint="default" w:ascii="Times New Roman" w:hAnsi="Times New Roman" w:cs="Times New Roman"/>
                <w:color w:val="auto"/>
                <w:sz w:val="21"/>
                <w:szCs w:val="21"/>
                <w:vertAlign w:val="subscript"/>
              </w:rPr>
              <w:t>Aj</w:t>
            </w:r>
            <w:r>
              <w:rPr>
                <w:rFonts w:hint="default" w:ascii="Times New Roman" w:hAnsi="Times New Roman" w:cs="Times New Roman"/>
                <w:color w:val="auto"/>
                <w:sz w:val="21"/>
                <w:szCs w:val="21"/>
              </w:rPr>
              <w:t>，在T时间内该声源工作时间为t</w:t>
            </w:r>
            <w:r>
              <w:rPr>
                <w:rFonts w:hint="default" w:ascii="Times New Roman" w:hAnsi="Times New Roman" w:cs="Times New Roman"/>
                <w:color w:val="auto"/>
                <w:sz w:val="21"/>
                <w:szCs w:val="21"/>
                <w:vertAlign w:val="subscript"/>
              </w:rPr>
              <w:t>j</w:t>
            </w:r>
            <w:r>
              <w:rPr>
                <w:rFonts w:hint="default" w:ascii="Times New Roman" w:hAnsi="Times New Roman" w:cs="Times New Roman"/>
                <w:color w:val="auto"/>
                <w:sz w:val="21"/>
                <w:szCs w:val="21"/>
              </w:rPr>
              <w:t>；则拟建工程声源对预测点产生的贡献值（L</w:t>
            </w:r>
            <w:r>
              <w:rPr>
                <w:rFonts w:hint="default" w:ascii="Times New Roman" w:hAnsi="Times New Roman" w:cs="Times New Roman"/>
                <w:color w:val="auto"/>
                <w:sz w:val="21"/>
                <w:szCs w:val="21"/>
                <w:vertAlign w:val="subscript"/>
              </w:rPr>
              <w:t>eqg</w:t>
            </w:r>
            <w:r>
              <w:rPr>
                <w:rFonts w:hint="default" w:ascii="Times New Roman" w:hAnsi="Times New Roman" w:cs="Times New Roman"/>
                <w:color w:val="auto"/>
                <w:sz w:val="21"/>
                <w:szCs w:val="21"/>
              </w:rPr>
              <w:t>）为：</w:t>
            </w:r>
          </w:p>
          <w:p>
            <w:pPr>
              <w:keepNext w:val="0"/>
              <w:keepLines w:val="0"/>
              <w:pageBreakBefore w:val="0"/>
              <w:widowControl w:val="0"/>
              <w:suppressLineNumbers w:val="0"/>
              <w:kinsoku/>
              <w:overflowPunct/>
              <w:topLinePunct w:val="0"/>
              <w:autoSpaceDE/>
              <w:autoSpaceDN/>
              <w:bidi w:val="0"/>
              <w:spacing w:before="0" w:beforeAutospacing="0" w:after="0" w:afterAutospacing="0" w:line="500" w:lineRule="exact"/>
              <w:ind w:left="0" w:right="0"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drawing>
                <wp:anchor distT="0" distB="0" distL="114300" distR="114300" simplePos="0" relativeHeight="251665408" behindDoc="0" locked="0" layoutInCell="1" allowOverlap="1">
                  <wp:simplePos x="0" y="0"/>
                  <wp:positionH relativeFrom="column">
                    <wp:posOffset>1259840</wp:posOffset>
                  </wp:positionH>
                  <wp:positionV relativeFrom="paragraph">
                    <wp:posOffset>48895</wp:posOffset>
                  </wp:positionV>
                  <wp:extent cx="2334260" cy="504825"/>
                  <wp:effectExtent l="0" t="0" r="8890" b="9525"/>
                  <wp:wrapTopAndBottom/>
                  <wp:docPr id="77" name="图片 102"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02" descr="wps2"/>
                          <pic:cNvPicPr>
                            <a:picLocks noChangeAspect="1"/>
                          </pic:cNvPicPr>
                        </pic:nvPicPr>
                        <pic:blipFill>
                          <a:blip r:embed="rId20"/>
                          <a:stretch>
                            <a:fillRect/>
                          </a:stretch>
                        </pic:blipFill>
                        <pic:spPr>
                          <a:xfrm>
                            <a:off x="0" y="0"/>
                            <a:ext cx="2334260" cy="504825"/>
                          </a:xfrm>
                          <a:prstGeom prst="rect">
                            <a:avLst/>
                          </a:prstGeom>
                          <a:noFill/>
                          <a:ln>
                            <a:noFill/>
                          </a:ln>
                        </pic:spPr>
                      </pic:pic>
                    </a:graphicData>
                  </a:graphic>
                </wp:anchor>
              </w:drawing>
            </w:r>
            <w:r>
              <w:rPr>
                <w:rFonts w:hint="default" w:ascii="Times New Roman" w:hAnsi="Times New Roman" w:cs="Times New Roman"/>
                <w:color w:val="auto"/>
                <w:sz w:val="21"/>
                <w:szCs w:val="21"/>
              </w:rPr>
              <w:t>式中：L</w:t>
            </w:r>
            <w:r>
              <w:rPr>
                <w:rFonts w:hint="default" w:ascii="Times New Roman" w:hAnsi="Times New Roman" w:cs="Times New Roman"/>
                <w:color w:val="auto"/>
                <w:sz w:val="21"/>
                <w:szCs w:val="21"/>
                <w:vertAlign w:val="subscript"/>
              </w:rPr>
              <w:t>eqg</w:t>
            </w:r>
            <w:r>
              <w:rPr>
                <w:rFonts w:hint="default" w:ascii="Times New Roman" w:hAnsi="Times New Roman" w:cs="Times New Roman"/>
                <w:color w:val="auto"/>
                <w:sz w:val="21"/>
                <w:szCs w:val="21"/>
              </w:rPr>
              <w:t>—建设项目声源在预测点产生的噪声贡献值，dB；</w:t>
            </w:r>
          </w:p>
          <w:p>
            <w:pPr>
              <w:keepNext w:val="0"/>
              <w:keepLines w:val="0"/>
              <w:pageBreakBefore w:val="0"/>
              <w:widowControl w:val="0"/>
              <w:suppressLineNumbers w:val="0"/>
              <w:kinsoku/>
              <w:overflowPunct/>
              <w:topLinePunct w:val="0"/>
              <w:autoSpaceDE/>
              <w:autoSpaceDN/>
              <w:bidi w:val="0"/>
              <w:spacing w:before="0" w:beforeAutospacing="0" w:after="0" w:afterAutospacing="0" w:line="500" w:lineRule="exact"/>
              <w:ind w:left="0" w:right="0"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T—用于计算等效声级的时间，s；</w:t>
            </w:r>
          </w:p>
          <w:p>
            <w:pPr>
              <w:keepNext w:val="0"/>
              <w:keepLines w:val="0"/>
              <w:pageBreakBefore w:val="0"/>
              <w:widowControl w:val="0"/>
              <w:suppressLineNumbers w:val="0"/>
              <w:kinsoku/>
              <w:overflowPunct/>
              <w:topLinePunct w:val="0"/>
              <w:autoSpaceDE/>
              <w:autoSpaceDN/>
              <w:bidi w:val="0"/>
              <w:spacing w:before="0" w:beforeAutospacing="0" w:after="0" w:afterAutospacing="0" w:line="500" w:lineRule="exact"/>
              <w:ind w:left="0" w:right="0"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N—室外声源个数；</w:t>
            </w:r>
          </w:p>
          <w:p>
            <w:pPr>
              <w:keepNext w:val="0"/>
              <w:keepLines w:val="0"/>
              <w:pageBreakBefore w:val="0"/>
              <w:widowControl w:val="0"/>
              <w:suppressLineNumbers w:val="0"/>
              <w:kinsoku/>
              <w:overflowPunct/>
              <w:topLinePunct w:val="0"/>
              <w:autoSpaceDE/>
              <w:autoSpaceDN/>
              <w:bidi w:val="0"/>
              <w:spacing w:before="0" w:beforeAutospacing="0" w:after="0" w:afterAutospacing="0" w:line="500" w:lineRule="exact"/>
              <w:ind w:left="0" w:right="0"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w:t>
            </w:r>
            <w:r>
              <w:rPr>
                <w:rFonts w:hint="default" w:ascii="Times New Roman" w:hAnsi="Times New Roman" w:cs="Times New Roman"/>
                <w:color w:val="auto"/>
                <w:sz w:val="21"/>
                <w:szCs w:val="21"/>
                <w:vertAlign w:val="subscript"/>
              </w:rPr>
              <w:t>i</w:t>
            </w:r>
            <w:r>
              <w:rPr>
                <w:rFonts w:hint="default" w:ascii="Times New Roman" w:hAnsi="Times New Roman" w:cs="Times New Roman"/>
                <w:color w:val="auto"/>
                <w:sz w:val="21"/>
                <w:szCs w:val="21"/>
              </w:rPr>
              <w:t>—在T时间内i声源工作时间，s；</w:t>
            </w:r>
          </w:p>
          <w:p>
            <w:pPr>
              <w:keepNext w:val="0"/>
              <w:keepLines w:val="0"/>
              <w:pageBreakBefore w:val="0"/>
              <w:widowControl w:val="0"/>
              <w:suppressLineNumbers w:val="0"/>
              <w:kinsoku/>
              <w:overflowPunct/>
              <w:topLinePunct w:val="0"/>
              <w:autoSpaceDE/>
              <w:autoSpaceDN/>
              <w:bidi w:val="0"/>
              <w:spacing w:before="0" w:beforeAutospacing="0" w:after="0" w:afterAutospacing="0" w:line="500" w:lineRule="exact"/>
              <w:ind w:left="0" w:right="0"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M—等效室外声源个数；</w:t>
            </w:r>
          </w:p>
          <w:p>
            <w:pPr>
              <w:keepNext w:val="0"/>
              <w:keepLines w:val="0"/>
              <w:pageBreakBefore w:val="0"/>
              <w:widowControl w:val="0"/>
              <w:suppressLineNumbers w:val="0"/>
              <w:kinsoku/>
              <w:overflowPunct/>
              <w:topLinePunct w:val="0"/>
              <w:autoSpaceDE/>
              <w:autoSpaceDN/>
              <w:bidi w:val="0"/>
              <w:spacing w:before="0" w:beforeAutospacing="0" w:after="0" w:afterAutospacing="0" w:line="500" w:lineRule="exact"/>
              <w:ind w:left="0" w:right="0"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w:t>
            </w:r>
            <w:r>
              <w:rPr>
                <w:rFonts w:hint="default" w:ascii="Times New Roman" w:hAnsi="Times New Roman" w:cs="Times New Roman"/>
                <w:color w:val="auto"/>
                <w:sz w:val="21"/>
                <w:szCs w:val="21"/>
                <w:vertAlign w:val="subscript"/>
              </w:rPr>
              <w:t>j</w:t>
            </w:r>
            <w:r>
              <w:rPr>
                <w:rFonts w:hint="default" w:ascii="Times New Roman" w:hAnsi="Times New Roman" w:cs="Times New Roman"/>
                <w:color w:val="auto"/>
                <w:sz w:val="21"/>
                <w:szCs w:val="21"/>
              </w:rPr>
              <w:t>—在T时间内j声源工作时间，s。</w:t>
            </w:r>
          </w:p>
          <w:p>
            <w:pPr>
              <w:keepNext w:val="0"/>
              <w:keepLines w:val="0"/>
              <w:pageBreakBefore w:val="0"/>
              <w:widowControl w:val="0"/>
              <w:suppressLineNumbers w:val="0"/>
              <w:kinsoku/>
              <w:overflowPunct/>
              <w:topLinePunct w:val="0"/>
              <w:autoSpaceDE/>
              <w:autoSpaceDN/>
              <w:bidi w:val="0"/>
              <w:spacing w:before="0" w:beforeAutospacing="0" w:after="0" w:afterAutospacing="0" w:line="500" w:lineRule="exact"/>
              <w:ind w:left="0" w:right="0"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④噪声预测值</w:t>
            </w:r>
          </w:p>
          <w:p>
            <w:pPr>
              <w:keepNext w:val="0"/>
              <w:keepLines w:val="0"/>
              <w:pageBreakBefore w:val="0"/>
              <w:widowControl w:val="0"/>
              <w:suppressLineNumbers w:val="0"/>
              <w:kinsoku/>
              <w:overflowPunct/>
              <w:topLinePunct w:val="0"/>
              <w:autoSpaceDE/>
              <w:autoSpaceDN/>
              <w:bidi w:val="0"/>
              <w:spacing w:before="0" w:beforeAutospacing="0" w:after="0" w:afterAutospacing="0" w:line="500" w:lineRule="exact"/>
              <w:ind w:left="0" w:right="0" w:firstLine="420" w:firstLineChars="200"/>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drawing>
                <wp:anchor distT="0" distB="0" distL="114300" distR="114300" simplePos="0" relativeHeight="251666432" behindDoc="0" locked="0" layoutInCell="1" allowOverlap="1">
                  <wp:simplePos x="0" y="0"/>
                  <wp:positionH relativeFrom="column">
                    <wp:posOffset>1443990</wp:posOffset>
                  </wp:positionH>
                  <wp:positionV relativeFrom="paragraph">
                    <wp:posOffset>366395</wp:posOffset>
                  </wp:positionV>
                  <wp:extent cx="1760855" cy="266065"/>
                  <wp:effectExtent l="0" t="0" r="10795" b="635"/>
                  <wp:wrapTopAndBottom/>
                  <wp:docPr id="78" name="图片 103" descr="wp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03" descr="wps3"/>
                          <pic:cNvPicPr>
                            <a:picLocks noChangeAspect="1"/>
                          </pic:cNvPicPr>
                        </pic:nvPicPr>
                        <pic:blipFill>
                          <a:blip r:embed="rId21"/>
                          <a:stretch>
                            <a:fillRect/>
                          </a:stretch>
                        </pic:blipFill>
                        <pic:spPr>
                          <a:xfrm>
                            <a:off x="0" y="0"/>
                            <a:ext cx="1760855" cy="266065"/>
                          </a:xfrm>
                          <a:prstGeom prst="rect">
                            <a:avLst/>
                          </a:prstGeom>
                          <a:noFill/>
                          <a:ln>
                            <a:noFill/>
                          </a:ln>
                        </pic:spPr>
                      </pic:pic>
                    </a:graphicData>
                  </a:graphic>
                </wp:anchor>
              </w:drawing>
            </w:r>
            <w:r>
              <w:rPr>
                <w:rFonts w:hint="default" w:ascii="Times New Roman" w:hAnsi="Times New Roman" w:cs="Times New Roman"/>
                <w:color w:val="auto"/>
                <w:sz w:val="21"/>
                <w:szCs w:val="21"/>
              </w:rPr>
              <w:t>噪声预测值（L</w:t>
            </w:r>
            <w:r>
              <w:rPr>
                <w:rFonts w:hint="default" w:ascii="Times New Roman" w:hAnsi="Times New Roman" w:cs="Times New Roman"/>
                <w:color w:val="auto"/>
                <w:sz w:val="21"/>
                <w:szCs w:val="21"/>
                <w:vertAlign w:val="subscript"/>
              </w:rPr>
              <w:t>eq</w:t>
            </w:r>
            <w:r>
              <w:rPr>
                <w:rFonts w:hint="default" w:ascii="Times New Roman" w:hAnsi="Times New Roman" w:cs="Times New Roman"/>
                <w:color w:val="auto"/>
                <w:sz w:val="21"/>
                <w:szCs w:val="21"/>
              </w:rPr>
              <w:t>）计算公式为：</w:t>
            </w:r>
          </w:p>
          <w:p>
            <w:pPr>
              <w:keepNext w:val="0"/>
              <w:keepLines w:val="0"/>
              <w:pageBreakBefore w:val="0"/>
              <w:widowControl w:val="0"/>
              <w:suppressLineNumbers w:val="0"/>
              <w:kinsoku/>
              <w:overflowPunct/>
              <w:topLinePunct w:val="0"/>
              <w:autoSpaceDE/>
              <w:autoSpaceDN/>
              <w:bidi w:val="0"/>
              <w:spacing w:before="0" w:beforeAutospacing="0" w:after="0" w:afterAutospacing="0" w:line="500" w:lineRule="exact"/>
              <w:ind w:left="0" w:right="0"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式中：L</w:t>
            </w:r>
            <w:r>
              <w:rPr>
                <w:rFonts w:hint="default" w:ascii="Times New Roman" w:hAnsi="Times New Roman" w:cs="Times New Roman"/>
                <w:color w:val="auto"/>
                <w:sz w:val="21"/>
                <w:szCs w:val="21"/>
                <w:vertAlign w:val="subscript"/>
              </w:rPr>
              <w:t>eq</w:t>
            </w:r>
            <w:r>
              <w:rPr>
                <w:rFonts w:hint="default" w:ascii="Times New Roman" w:hAnsi="Times New Roman" w:cs="Times New Roman"/>
                <w:color w:val="auto"/>
                <w:sz w:val="21"/>
                <w:szCs w:val="21"/>
              </w:rPr>
              <w:t>—预测点的噪声预测值；</w:t>
            </w:r>
          </w:p>
          <w:p>
            <w:pPr>
              <w:keepNext w:val="0"/>
              <w:keepLines w:val="0"/>
              <w:pageBreakBefore w:val="0"/>
              <w:widowControl w:val="0"/>
              <w:suppressLineNumbers w:val="0"/>
              <w:kinsoku/>
              <w:overflowPunct/>
              <w:topLinePunct w:val="0"/>
              <w:autoSpaceDE/>
              <w:autoSpaceDN/>
              <w:bidi w:val="0"/>
              <w:spacing w:before="0" w:beforeAutospacing="0" w:after="0" w:afterAutospacing="0" w:line="500" w:lineRule="exact"/>
              <w:ind w:left="0" w:right="0"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w:t>
            </w:r>
            <w:r>
              <w:rPr>
                <w:rFonts w:hint="default" w:ascii="Times New Roman" w:hAnsi="Times New Roman" w:cs="Times New Roman"/>
                <w:color w:val="auto"/>
                <w:sz w:val="21"/>
                <w:szCs w:val="21"/>
                <w:vertAlign w:val="subscript"/>
              </w:rPr>
              <w:t>eqg</w:t>
            </w:r>
            <w:r>
              <w:rPr>
                <w:rFonts w:hint="default" w:ascii="Times New Roman" w:hAnsi="Times New Roman" w:cs="Times New Roman"/>
                <w:color w:val="auto"/>
                <w:sz w:val="21"/>
                <w:szCs w:val="21"/>
              </w:rPr>
              <w:t>—建设项目声源在预测点产生的噪声贡献值，dB；</w:t>
            </w:r>
          </w:p>
          <w:p>
            <w:pPr>
              <w:keepNext w:val="0"/>
              <w:keepLines w:val="0"/>
              <w:pageBreakBefore w:val="0"/>
              <w:widowControl w:val="0"/>
              <w:suppressLineNumbers w:val="0"/>
              <w:kinsoku/>
              <w:overflowPunct/>
              <w:topLinePunct w:val="0"/>
              <w:autoSpaceDE/>
              <w:autoSpaceDN/>
              <w:bidi w:val="0"/>
              <w:spacing w:before="0" w:beforeAutospacing="0" w:after="0" w:afterAutospacing="0" w:line="500" w:lineRule="exact"/>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L</w:t>
            </w:r>
            <w:r>
              <w:rPr>
                <w:rFonts w:hint="default" w:ascii="Times New Roman" w:hAnsi="Times New Roman" w:cs="Times New Roman"/>
                <w:color w:val="auto"/>
                <w:sz w:val="21"/>
                <w:szCs w:val="21"/>
                <w:vertAlign w:val="subscript"/>
              </w:rPr>
              <w:t>eqb</w:t>
            </w:r>
            <w:r>
              <w:rPr>
                <w:rFonts w:hint="default" w:ascii="Times New Roman" w:hAnsi="Times New Roman" w:cs="Times New Roman"/>
                <w:color w:val="auto"/>
                <w:sz w:val="21"/>
                <w:szCs w:val="21"/>
              </w:rPr>
              <w:t>—预测点的背景噪声值，dB。</w:t>
            </w:r>
          </w:p>
          <w:p>
            <w:pPr>
              <w:keepNext w:val="0"/>
              <w:keepLines w:val="0"/>
              <w:pageBreakBefore w:val="0"/>
              <w:widowControl w:val="0"/>
              <w:kinsoku/>
              <w:overflowPunct/>
              <w:topLinePunct w:val="0"/>
              <w:autoSpaceDE/>
              <w:autoSpaceDN/>
              <w:bidi w:val="0"/>
              <w:adjustRightInd w:val="0"/>
              <w:snapToGrid w:val="0"/>
              <w:spacing w:line="500" w:lineRule="exact"/>
              <w:ind w:firstLine="420" w:firstLineChars="200"/>
              <w:textAlignment w:val="auto"/>
              <w:rPr>
                <w:rFonts w:hint="eastAsia"/>
                <w:color w:val="auto"/>
                <w:szCs w:val="21"/>
                <w:lang w:val="en-US" w:eastAsia="zh-CN"/>
              </w:rPr>
            </w:pPr>
            <w:r>
              <w:rPr>
                <w:color w:val="auto"/>
                <w:szCs w:val="21"/>
              </w:rPr>
              <w:t>考虑噪声距离衰减和隔声措施，预测其受到的影响，</w:t>
            </w:r>
            <w:r>
              <w:rPr>
                <w:rFonts w:hint="eastAsia"/>
                <w:color w:val="auto"/>
                <w:szCs w:val="21"/>
                <w:lang w:val="en-US" w:eastAsia="zh-CN"/>
              </w:rPr>
              <w:t>预测结果见下表。</w:t>
            </w:r>
          </w:p>
          <w:p>
            <w:pPr>
              <w:keepNext w:val="0"/>
              <w:keepLines w:val="0"/>
              <w:pageBreakBefore w:val="0"/>
              <w:widowControl w:val="0"/>
              <w:kinsoku/>
              <w:wordWrap/>
              <w:overflowPunct/>
              <w:topLinePunct w:val="0"/>
              <w:autoSpaceDE/>
              <w:autoSpaceDN/>
              <w:bidi w:val="0"/>
              <w:adjustRightInd w:val="0"/>
              <w:snapToGrid w:val="0"/>
              <w:spacing w:line="500" w:lineRule="exact"/>
              <w:ind w:firstLine="0" w:firstLineChars="0"/>
              <w:jc w:val="center"/>
              <w:textAlignment w:val="auto"/>
              <w:rPr>
                <w:rFonts w:hint="eastAsia" w:ascii="Times New Roman" w:hAnsi="Times New Roman" w:eastAsia="宋体" w:cs="Times New Roman"/>
                <w:b/>
                <w:bCs/>
                <w:color w:val="auto"/>
                <w:szCs w:val="21"/>
                <w:lang w:eastAsia="zh-CN"/>
              </w:rPr>
            </w:pPr>
            <w:r>
              <w:rPr>
                <w:rFonts w:ascii="Times New Roman" w:hAnsi="Times New Roman" w:eastAsia="宋体" w:cs="Times New Roman"/>
                <w:b/>
                <w:bCs/>
                <w:color w:val="auto"/>
                <w:szCs w:val="21"/>
              </w:rPr>
              <w:t>表</w:t>
            </w:r>
            <w:r>
              <w:rPr>
                <w:rFonts w:hint="eastAsia" w:ascii="Times New Roman" w:hAnsi="Times New Roman" w:eastAsia="宋体" w:cs="Times New Roman"/>
                <w:b/>
                <w:bCs/>
                <w:color w:val="auto"/>
                <w:szCs w:val="21"/>
              </w:rPr>
              <w:t>4-</w:t>
            </w:r>
            <w:r>
              <w:rPr>
                <w:rFonts w:hint="eastAsia" w:cs="Times New Roman"/>
                <w:b/>
                <w:bCs/>
                <w:color w:val="auto"/>
                <w:szCs w:val="21"/>
                <w:lang w:val="en-US" w:eastAsia="zh-CN"/>
              </w:rPr>
              <w:t>19</w:t>
            </w:r>
            <w:r>
              <w:rPr>
                <w:rFonts w:ascii="Times New Roman" w:hAnsi="Times New Roman" w:eastAsia="宋体" w:cs="Times New Roman"/>
                <w:b/>
                <w:bCs/>
                <w:color w:val="auto"/>
                <w:szCs w:val="21"/>
              </w:rPr>
              <w:t xml:space="preserve"> </w:t>
            </w:r>
            <w:r>
              <w:rPr>
                <w:rFonts w:hint="eastAsia" w:ascii="Times New Roman" w:hAnsi="Times New Roman" w:eastAsia="宋体" w:cs="Times New Roman"/>
                <w:b/>
                <w:bCs/>
                <w:color w:val="auto"/>
                <w:szCs w:val="21"/>
              </w:rPr>
              <w:t>工业企业厂界噪声预测结果与达标分析表</w:t>
            </w:r>
            <w:r>
              <w:rPr>
                <w:rFonts w:hint="eastAsia" w:ascii="Times New Roman" w:hAnsi="Times New Roman" w:eastAsia="宋体" w:cs="Times New Roman"/>
                <w:b/>
                <w:bCs/>
                <w:color w:val="auto"/>
                <w:szCs w:val="21"/>
                <w:lang w:eastAsia="zh-CN"/>
              </w:rPr>
              <w:t>（</w:t>
            </w:r>
            <w:r>
              <w:rPr>
                <w:rFonts w:ascii="Times New Roman" w:hAnsi="Times New Roman" w:eastAsia="宋体" w:cs="Times New Roman"/>
                <w:b/>
                <w:bCs/>
                <w:color w:val="auto"/>
                <w:szCs w:val="21"/>
              </w:rPr>
              <w:t>单位：dB(A)</w:t>
            </w:r>
            <w:r>
              <w:rPr>
                <w:rFonts w:hint="eastAsia" w:ascii="Times New Roman" w:hAnsi="Times New Roman" w:eastAsia="宋体" w:cs="Times New Roman"/>
                <w:b/>
                <w:bCs/>
                <w:color w:val="auto"/>
                <w:szCs w:val="21"/>
                <w:lang w:eastAsia="zh-CN"/>
              </w:rPr>
              <w:t>）</w:t>
            </w:r>
          </w:p>
          <w:tbl>
            <w:tblPr>
              <w:tblStyle w:val="21"/>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70"/>
              <w:gridCol w:w="750"/>
              <w:gridCol w:w="751"/>
              <w:gridCol w:w="628"/>
              <w:gridCol w:w="876"/>
              <w:gridCol w:w="1250"/>
              <w:gridCol w:w="1251"/>
              <w:gridCol w:w="10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44" w:type="pct"/>
                  <w:vMerge w:val="restart"/>
                  <w:noWrap w:val="0"/>
                  <w:vAlign w:val="center"/>
                </w:tcPr>
                <w:p>
                  <w:pPr>
                    <w:adjustRightInd w:val="0"/>
                    <w:snapToGrid w:val="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预测</w:t>
                  </w:r>
                </w:p>
                <w:p>
                  <w:pPr>
                    <w:adjustRightInd w:val="0"/>
                    <w:snapToGrid w:val="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方位</w:t>
                  </w:r>
                </w:p>
              </w:tc>
              <w:tc>
                <w:tcPr>
                  <w:tcW w:w="1414" w:type="pct"/>
                  <w:gridSpan w:val="3"/>
                  <w:noWrap w:val="0"/>
                  <w:vAlign w:val="center"/>
                </w:tcPr>
                <w:p>
                  <w:pPr>
                    <w:adjustRightInd w:val="0"/>
                    <w:snapToGrid w:val="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空间相对位置/m</w:t>
                  </w:r>
                </w:p>
              </w:tc>
              <w:tc>
                <w:tcPr>
                  <w:tcW w:w="582" w:type="pct"/>
                  <w:vMerge w:val="restart"/>
                  <w:noWrap w:val="0"/>
                  <w:vAlign w:val="center"/>
                </w:tcPr>
                <w:p>
                  <w:pPr>
                    <w:adjustRightInd w:val="0"/>
                    <w:snapToGrid w:val="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时段</w:t>
                  </w:r>
                </w:p>
              </w:tc>
              <w:tc>
                <w:tcPr>
                  <w:tcW w:w="830" w:type="pct"/>
                  <w:vMerge w:val="restart"/>
                  <w:noWrap w:val="0"/>
                  <w:vAlign w:val="center"/>
                </w:tcPr>
                <w:p>
                  <w:pPr>
                    <w:adjustRightInd w:val="0"/>
                    <w:snapToGrid w:val="0"/>
                    <w:jc w:val="center"/>
                    <w:rPr>
                      <w:rFonts w:hint="default" w:ascii="Times New Roman" w:hAnsi="Times New Roman" w:eastAsia="宋体" w:cs="Times New Roman"/>
                      <w:b/>
                      <w:bCs/>
                      <w:color w:val="auto"/>
                      <w:sz w:val="18"/>
                      <w:szCs w:val="18"/>
                      <w:highlight w:val="none"/>
                    </w:rPr>
                  </w:pPr>
                  <w:r>
                    <w:rPr>
                      <w:rFonts w:hint="eastAsia" w:cs="Times New Roman"/>
                      <w:b/>
                      <w:bCs/>
                      <w:color w:val="auto"/>
                      <w:sz w:val="18"/>
                      <w:szCs w:val="18"/>
                      <w:highlight w:val="none"/>
                      <w:lang w:eastAsia="zh-CN"/>
                    </w:rPr>
                    <w:t>贡献值</w:t>
                  </w:r>
                  <w:r>
                    <w:rPr>
                      <w:rFonts w:hint="default" w:ascii="Times New Roman" w:hAnsi="Times New Roman" w:eastAsia="宋体" w:cs="Times New Roman"/>
                      <w:b/>
                      <w:bCs/>
                      <w:color w:val="auto"/>
                      <w:sz w:val="18"/>
                      <w:szCs w:val="18"/>
                      <w:highlight w:val="none"/>
                    </w:rPr>
                    <w:t>（dB(A)）</w:t>
                  </w:r>
                </w:p>
              </w:tc>
              <w:tc>
                <w:tcPr>
                  <w:tcW w:w="831" w:type="pct"/>
                  <w:vMerge w:val="restart"/>
                  <w:noWrap w:val="0"/>
                  <w:vAlign w:val="center"/>
                </w:tcPr>
                <w:p>
                  <w:pPr>
                    <w:adjustRightInd w:val="0"/>
                    <w:snapToGrid w:val="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标准限值（dB(A)）</w:t>
                  </w:r>
                </w:p>
              </w:tc>
              <w:tc>
                <w:tcPr>
                  <w:tcW w:w="696" w:type="pct"/>
                  <w:vMerge w:val="restart"/>
                  <w:noWrap w:val="0"/>
                  <w:vAlign w:val="center"/>
                </w:tcPr>
                <w:p>
                  <w:pPr>
                    <w:adjustRightInd w:val="0"/>
                    <w:snapToGrid w:val="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44" w:type="pct"/>
                  <w:vMerge w:val="continue"/>
                  <w:shd w:val="clear" w:color="auto" w:fill="FFFFFF"/>
                  <w:noWrap w:val="0"/>
                  <w:vAlign w:val="center"/>
                </w:tcPr>
                <w:p>
                  <w:pPr>
                    <w:adjustRightInd w:val="0"/>
                    <w:snapToGrid w:val="0"/>
                    <w:jc w:val="center"/>
                    <w:rPr>
                      <w:rFonts w:hint="default" w:ascii="Times New Roman" w:hAnsi="Times New Roman" w:eastAsia="宋体" w:cs="Times New Roman"/>
                      <w:color w:val="auto"/>
                      <w:sz w:val="18"/>
                      <w:szCs w:val="18"/>
                      <w:highlight w:val="none"/>
                    </w:rPr>
                  </w:pPr>
                </w:p>
              </w:tc>
              <w:tc>
                <w:tcPr>
                  <w:tcW w:w="498" w:type="pct"/>
                  <w:shd w:val="clear" w:color="auto" w:fill="FFFFFF"/>
                  <w:noWrap w:val="0"/>
                  <w:vAlign w:val="center"/>
                </w:tcPr>
                <w:p>
                  <w:pPr>
                    <w:adjustRightInd w:val="0"/>
                    <w:snapToGrid w:val="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X</w:t>
                  </w:r>
                </w:p>
              </w:tc>
              <w:tc>
                <w:tcPr>
                  <w:tcW w:w="499" w:type="pct"/>
                  <w:shd w:val="clear" w:color="auto" w:fill="FFFFFF"/>
                  <w:noWrap w:val="0"/>
                  <w:vAlign w:val="center"/>
                </w:tcPr>
                <w:p>
                  <w:pPr>
                    <w:adjustRightInd w:val="0"/>
                    <w:snapToGrid w:val="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Y</w:t>
                  </w:r>
                </w:p>
              </w:tc>
              <w:tc>
                <w:tcPr>
                  <w:tcW w:w="416" w:type="pct"/>
                  <w:shd w:val="clear" w:color="auto" w:fill="FFFFFF"/>
                  <w:noWrap w:val="0"/>
                  <w:vAlign w:val="center"/>
                </w:tcPr>
                <w:p>
                  <w:pPr>
                    <w:adjustRightInd w:val="0"/>
                    <w:snapToGrid w:val="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Z</w:t>
                  </w:r>
                </w:p>
              </w:tc>
              <w:tc>
                <w:tcPr>
                  <w:tcW w:w="582" w:type="pct"/>
                  <w:vMerge w:val="continue"/>
                  <w:shd w:val="clear" w:color="auto" w:fill="FFFFFF"/>
                  <w:noWrap w:val="0"/>
                  <w:vAlign w:val="center"/>
                </w:tcPr>
                <w:p>
                  <w:pPr>
                    <w:adjustRightInd w:val="0"/>
                    <w:snapToGrid w:val="0"/>
                    <w:jc w:val="center"/>
                    <w:rPr>
                      <w:rFonts w:hint="default" w:ascii="Times New Roman" w:hAnsi="Times New Roman" w:eastAsia="宋体" w:cs="Times New Roman"/>
                      <w:color w:val="auto"/>
                      <w:sz w:val="18"/>
                      <w:szCs w:val="18"/>
                      <w:highlight w:val="none"/>
                    </w:rPr>
                  </w:pPr>
                </w:p>
              </w:tc>
              <w:tc>
                <w:tcPr>
                  <w:tcW w:w="830" w:type="pct"/>
                  <w:vMerge w:val="continue"/>
                  <w:shd w:val="clear" w:color="auto" w:fill="FFFFFF"/>
                  <w:noWrap w:val="0"/>
                  <w:vAlign w:val="center"/>
                </w:tcPr>
                <w:p>
                  <w:pPr>
                    <w:adjustRightInd w:val="0"/>
                    <w:snapToGrid w:val="0"/>
                    <w:jc w:val="center"/>
                    <w:rPr>
                      <w:rFonts w:hint="default" w:ascii="Times New Roman" w:hAnsi="Times New Roman" w:eastAsia="宋体" w:cs="Times New Roman"/>
                      <w:color w:val="auto"/>
                      <w:sz w:val="18"/>
                      <w:szCs w:val="18"/>
                      <w:highlight w:val="none"/>
                    </w:rPr>
                  </w:pPr>
                </w:p>
              </w:tc>
              <w:tc>
                <w:tcPr>
                  <w:tcW w:w="831" w:type="pct"/>
                  <w:vMerge w:val="continue"/>
                  <w:shd w:val="clear" w:color="auto" w:fill="FFFFFF"/>
                  <w:noWrap w:val="0"/>
                  <w:vAlign w:val="center"/>
                </w:tcPr>
                <w:p>
                  <w:pPr>
                    <w:adjustRightInd w:val="0"/>
                    <w:snapToGrid w:val="0"/>
                    <w:jc w:val="center"/>
                    <w:rPr>
                      <w:rFonts w:hint="default" w:ascii="Times New Roman" w:hAnsi="Times New Roman" w:eastAsia="宋体" w:cs="Times New Roman"/>
                      <w:color w:val="auto"/>
                      <w:sz w:val="18"/>
                      <w:szCs w:val="18"/>
                      <w:highlight w:val="none"/>
                    </w:rPr>
                  </w:pPr>
                </w:p>
              </w:tc>
              <w:tc>
                <w:tcPr>
                  <w:tcW w:w="696" w:type="pct"/>
                  <w:vMerge w:val="continue"/>
                  <w:shd w:val="clear" w:color="auto" w:fill="FFFFFF"/>
                  <w:noWrap w:val="0"/>
                  <w:vAlign w:val="center"/>
                </w:tcPr>
                <w:p>
                  <w:pPr>
                    <w:adjustRightInd w:val="0"/>
                    <w:snapToGrid w:val="0"/>
                    <w:jc w:val="center"/>
                    <w:rPr>
                      <w:rFonts w:hint="default" w:ascii="Times New Roman" w:hAnsi="Times New Roman" w:eastAsia="宋体" w:cs="Times New Roman"/>
                      <w:color w:val="auto"/>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44" w:type="pct"/>
                  <w:shd w:val="clear" w:color="auto" w:fill="FFFFFF"/>
                  <w:noWrap w:val="0"/>
                  <w:vAlign w:val="center"/>
                </w:tcPr>
                <w:p>
                  <w:pPr>
                    <w:adjustRightInd w:val="0"/>
                    <w:snapToGrid w:val="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厂界东侧</w:t>
                  </w:r>
                </w:p>
              </w:tc>
              <w:tc>
                <w:tcPr>
                  <w:tcW w:w="498" w:type="pct"/>
                  <w:shd w:val="clear" w:color="auto" w:fill="FFFFFF"/>
                  <w:noWrap w:val="0"/>
                  <w:vAlign w:val="center"/>
                </w:tcPr>
                <w:p>
                  <w:pPr>
                    <w:adjustRightInd w:val="0"/>
                    <w:snapToGrid w:val="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36</w:t>
                  </w:r>
                </w:p>
              </w:tc>
              <w:tc>
                <w:tcPr>
                  <w:tcW w:w="499" w:type="pct"/>
                  <w:shd w:val="clear" w:color="auto" w:fill="FFFFFF"/>
                  <w:noWrap w:val="0"/>
                  <w:vAlign w:val="center"/>
                </w:tcPr>
                <w:p>
                  <w:pPr>
                    <w:adjustRightInd w:val="0"/>
                    <w:snapToGrid w:val="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151</w:t>
                  </w:r>
                </w:p>
              </w:tc>
              <w:tc>
                <w:tcPr>
                  <w:tcW w:w="416" w:type="pct"/>
                  <w:shd w:val="clear" w:color="auto" w:fill="FFFFFF"/>
                  <w:noWrap w:val="0"/>
                  <w:vAlign w:val="center"/>
                </w:tcPr>
                <w:p>
                  <w:pPr>
                    <w:adjustRightInd w:val="0"/>
                    <w:snapToGrid w:val="0"/>
                    <w:jc w:val="center"/>
                    <w:rPr>
                      <w:rFonts w:hint="default"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1.5</w:t>
                  </w:r>
                </w:p>
              </w:tc>
              <w:tc>
                <w:tcPr>
                  <w:tcW w:w="582" w:type="pct"/>
                  <w:shd w:val="clear" w:color="auto" w:fill="FFFFFF"/>
                  <w:noWrap w:val="0"/>
                  <w:vAlign w:val="center"/>
                </w:tcPr>
                <w:p>
                  <w:pPr>
                    <w:adjustRightInd w:val="0"/>
                    <w:snapToGrid w:val="0"/>
                    <w:jc w:val="center"/>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昼夜</w:t>
                  </w:r>
                </w:p>
              </w:tc>
              <w:tc>
                <w:tcPr>
                  <w:tcW w:w="1250" w:type="dxa"/>
                  <w:shd w:val="clear" w:color="auto" w:fill="FFFFFF"/>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highlight w:val="none"/>
                      <w:lang w:val="en-US"/>
                    </w:rPr>
                  </w:pPr>
                  <w:r>
                    <w:rPr>
                      <w:rFonts w:hint="eastAsia" w:cs="Times New Roman"/>
                      <w:color w:val="auto"/>
                      <w:sz w:val="18"/>
                      <w:szCs w:val="18"/>
                      <w:lang w:val="en-US" w:eastAsia="zh-CN"/>
                    </w:rPr>
                    <w:t>44.7</w:t>
                  </w:r>
                </w:p>
              </w:tc>
              <w:tc>
                <w:tcPr>
                  <w:tcW w:w="831" w:type="pct"/>
                  <w:shd w:val="clear" w:color="auto" w:fill="FFFFFF"/>
                  <w:noWrap w:val="0"/>
                  <w:vAlign w:val="center"/>
                </w:tcPr>
                <w:p>
                  <w:pPr>
                    <w:adjustRightInd w:val="0"/>
                    <w:snapToGrid w:val="0"/>
                    <w:jc w:val="center"/>
                    <w:rPr>
                      <w:rFonts w:hint="default"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65/55</w:t>
                  </w:r>
                </w:p>
              </w:tc>
              <w:tc>
                <w:tcPr>
                  <w:tcW w:w="696" w:type="pct"/>
                  <w:shd w:val="clear" w:color="auto" w:fill="FFFFFF"/>
                  <w:noWrap w:val="0"/>
                  <w:vAlign w:val="center"/>
                </w:tcPr>
                <w:p>
                  <w:pPr>
                    <w:adjustRightInd w:val="0"/>
                    <w:snapToGrid w:val="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44" w:type="pct"/>
                  <w:shd w:val="clear" w:color="auto" w:fill="FFFFFF"/>
                  <w:noWrap w:val="0"/>
                  <w:vAlign w:val="center"/>
                </w:tcPr>
                <w:p>
                  <w:pPr>
                    <w:adjustRightInd w:val="0"/>
                    <w:snapToGrid w:val="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厂界南侧</w:t>
                  </w:r>
                </w:p>
              </w:tc>
              <w:tc>
                <w:tcPr>
                  <w:tcW w:w="498" w:type="pct"/>
                  <w:shd w:val="clear" w:color="auto" w:fill="FFFFFF"/>
                  <w:noWrap w:val="0"/>
                  <w:vAlign w:val="center"/>
                </w:tcPr>
                <w:p>
                  <w:pPr>
                    <w:adjustRightInd w:val="0"/>
                    <w:snapToGrid w:val="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-215</w:t>
                  </w:r>
                </w:p>
              </w:tc>
              <w:tc>
                <w:tcPr>
                  <w:tcW w:w="499" w:type="pct"/>
                  <w:shd w:val="clear" w:color="auto" w:fill="FFFFFF"/>
                  <w:noWrap w:val="0"/>
                  <w:vAlign w:val="center"/>
                </w:tcPr>
                <w:p>
                  <w:pPr>
                    <w:adjustRightInd w:val="0"/>
                    <w:snapToGrid w:val="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100</w:t>
                  </w:r>
                </w:p>
              </w:tc>
              <w:tc>
                <w:tcPr>
                  <w:tcW w:w="416" w:type="pct"/>
                  <w:shd w:val="clear" w:color="auto" w:fill="FFFFFF"/>
                  <w:noWrap w:val="0"/>
                  <w:vAlign w:val="center"/>
                </w:tcPr>
                <w:p>
                  <w:pPr>
                    <w:adjustRightInd w:val="0"/>
                    <w:snapToGrid w:val="0"/>
                    <w:jc w:val="center"/>
                    <w:rPr>
                      <w:rFonts w:hint="default"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1.5</w:t>
                  </w:r>
                </w:p>
              </w:tc>
              <w:tc>
                <w:tcPr>
                  <w:tcW w:w="582" w:type="pct"/>
                  <w:shd w:val="clear" w:color="auto" w:fill="FFFFFF"/>
                  <w:noWrap w:val="0"/>
                  <w:vAlign w:val="center"/>
                </w:tcPr>
                <w:p>
                  <w:pPr>
                    <w:adjustRightInd w:val="0"/>
                    <w:snapToGrid w:val="0"/>
                    <w:jc w:val="center"/>
                    <w:rPr>
                      <w:rFonts w:hint="default"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昼夜</w:t>
                  </w:r>
                </w:p>
              </w:tc>
              <w:tc>
                <w:tcPr>
                  <w:tcW w:w="1250" w:type="dxa"/>
                  <w:shd w:val="clear" w:color="auto" w:fill="FFFFFF"/>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highlight w:val="none"/>
                      <w:lang w:val="en-US"/>
                    </w:rPr>
                  </w:pPr>
                  <w:r>
                    <w:rPr>
                      <w:rFonts w:hint="eastAsia" w:cs="Times New Roman"/>
                      <w:b w:val="0"/>
                      <w:bCs w:val="0"/>
                      <w:color w:val="auto"/>
                      <w:sz w:val="18"/>
                      <w:szCs w:val="18"/>
                      <w:lang w:val="en-US" w:eastAsia="zh-CN"/>
                    </w:rPr>
                    <w:t>24.2</w:t>
                  </w:r>
                </w:p>
              </w:tc>
              <w:tc>
                <w:tcPr>
                  <w:tcW w:w="831" w:type="pct"/>
                  <w:shd w:val="clear" w:color="auto" w:fill="FFFFFF"/>
                  <w:noWrap w:val="0"/>
                  <w:vAlign w:val="center"/>
                </w:tcPr>
                <w:p>
                  <w:pPr>
                    <w:adjustRightInd w:val="0"/>
                    <w:snapToGrid w:val="0"/>
                    <w:jc w:val="center"/>
                    <w:rPr>
                      <w:rFonts w:hint="default"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65/55</w:t>
                  </w:r>
                </w:p>
              </w:tc>
              <w:tc>
                <w:tcPr>
                  <w:tcW w:w="696" w:type="pct"/>
                  <w:shd w:val="clear" w:color="auto" w:fill="FFFFFF"/>
                  <w:noWrap w:val="0"/>
                  <w:vAlign w:val="center"/>
                </w:tcPr>
                <w:p>
                  <w:pPr>
                    <w:adjustRightInd w:val="0"/>
                    <w:snapToGrid w:val="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44" w:type="pct"/>
                  <w:shd w:val="clear" w:color="auto" w:fill="FFFFFF"/>
                  <w:noWrap w:val="0"/>
                  <w:vAlign w:val="center"/>
                </w:tcPr>
                <w:p>
                  <w:pPr>
                    <w:adjustRightInd w:val="0"/>
                    <w:snapToGrid w:val="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厂界西侧</w:t>
                  </w:r>
                </w:p>
              </w:tc>
              <w:tc>
                <w:tcPr>
                  <w:tcW w:w="498" w:type="pct"/>
                  <w:shd w:val="clear" w:color="auto" w:fill="FFFFFF"/>
                  <w:noWrap w:val="0"/>
                  <w:vAlign w:val="center"/>
                </w:tcPr>
                <w:p>
                  <w:pPr>
                    <w:adjustRightInd w:val="0"/>
                    <w:snapToGrid w:val="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-250</w:t>
                  </w:r>
                </w:p>
              </w:tc>
              <w:tc>
                <w:tcPr>
                  <w:tcW w:w="499" w:type="pct"/>
                  <w:shd w:val="clear" w:color="auto" w:fill="FFFFFF"/>
                  <w:noWrap w:val="0"/>
                  <w:vAlign w:val="center"/>
                </w:tcPr>
                <w:p>
                  <w:pPr>
                    <w:adjustRightInd w:val="0"/>
                    <w:snapToGrid w:val="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260</w:t>
                  </w:r>
                </w:p>
              </w:tc>
              <w:tc>
                <w:tcPr>
                  <w:tcW w:w="416" w:type="pct"/>
                  <w:shd w:val="clear" w:color="auto" w:fill="FFFFFF"/>
                  <w:noWrap w:val="0"/>
                  <w:vAlign w:val="center"/>
                </w:tcPr>
                <w:p>
                  <w:pPr>
                    <w:adjustRightInd w:val="0"/>
                    <w:snapToGrid w:val="0"/>
                    <w:jc w:val="center"/>
                    <w:rPr>
                      <w:rFonts w:hint="default"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1.5</w:t>
                  </w:r>
                </w:p>
              </w:tc>
              <w:tc>
                <w:tcPr>
                  <w:tcW w:w="582" w:type="pct"/>
                  <w:shd w:val="clear" w:color="auto" w:fill="FFFFFF"/>
                  <w:noWrap w:val="0"/>
                  <w:vAlign w:val="center"/>
                </w:tcPr>
                <w:p>
                  <w:pPr>
                    <w:adjustRightInd w:val="0"/>
                    <w:snapToGrid w:val="0"/>
                    <w:jc w:val="center"/>
                    <w:rPr>
                      <w:rFonts w:hint="default"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昼夜</w:t>
                  </w:r>
                </w:p>
              </w:tc>
              <w:tc>
                <w:tcPr>
                  <w:tcW w:w="1250" w:type="dxa"/>
                  <w:shd w:val="clear" w:color="auto" w:fill="FFFFFF"/>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highlight w:val="none"/>
                    </w:rPr>
                  </w:pPr>
                  <w:r>
                    <w:rPr>
                      <w:rFonts w:hint="eastAsia" w:cs="Times New Roman"/>
                      <w:b w:val="0"/>
                      <w:bCs w:val="0"/>
                      <w:color w:val="auto"/>
                      <w:sz w:val="18"/>
                      <w:szCs w:val="18"/>
                      <w:lang w:val="en-US" w:eastAsia="zh-CN"/>
                    </w:rPr>
                    <w:t>44.9</w:t>
                  </w:r>
                </w:p>
              </w:tc>
              <w:tc>
                <w:tcPr>
                  <w:tcW w:w="831" w:type="pct"/>
                  <w:shd w:val="clear" w:color="auto" w:fill="FFFFFF"/>
                  <w:noWrap w:val="0"/>
                  <w:vAlign w:val="center"/>
                </w:tcPr>
                <w:p>
                  <w:pPr>
                    <w:adjustRightInd w:val="0"/>
                    <w:snapToGrid w:val="0"/>
                    <w:jc w:val="center"/>
                    <w:rPr>
                      <w:rFonts w:hint="default"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65/55</w:t>
                  </w:r>
                </w:p>
              </w:tc>
              <w:tc>
                <w:tcPr>
                  <w:tcW w:w="696" w:type="pct"/>
                  <w:shd w:val="clear" w:color="auto" w:fill="FFFFFF"/>
                  <w:noWrap w:val="0"/>
                  <w:vAlign w:val="center"/>
                </w:tcPr>
                <w:p>
                  <w:pPr>
                    <w:adjustRightInd w:val="0"/>
                    <w:snapToGrid w:val="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44" w:type="pct"/>
                  <w:shd w:val="clear" w:color="auto" w:fill="FFFFFF"/>
                  <w:noWrap w:val="0"/>
                  <w:vAlign w:val="center"/>
                </w:tcPr>
                <w:p>
                  <w:pPr>
                    <w:adjustRightInd w:val="0"/>
                    <w:snapToGrid w:val="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厂界北侧</w:t>
                  </w:r>
                </w:p>
              </w:tc>
              <w:tc>
                <w:tcPr>
                  <w:tcW w:w="750" w:type="dxa"/>
                  <w:shd w:val="clear" w:color="auto" w:fill="FFFFFF"/>
                  <w:noWrap w:val="0"/>
                  <w:vAlign w:val="center"/>
                </w:tcPr>
                <w:p>
                  <w:pPr>
                    <w:adjustRightInd w:val="0"/>
                    <w:snapToGrid w:val="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rPr>
                    <w:t>-</w:t>
                  </w:r>
                  <w:r>
                    <w:rPr>
                      <w:rFonts w:hint="eastAsia" w:cs="Times New Roman"/>
                      <w:color w:val="auto"/>
                      <w:sz w:val="18"/>
                      <w:szCs w:val="18"/>
                      <w:highlight w:val="none"/>
                      <w:lang w:val="en-US" w:eastAsia="zh-CN"/>
                    </w:rPr>
                    <w:t>60</w:t>
                  </w:r>
                </w:p>
              </w:tc>
              <w:tc>
                <w:tcPr>
                  <w:tcW w:w="751" w:type="dxa"/>
                  <w:shd w:val="clear" w:color="auto" w:fill="FFFFFF"/>
                  <w:noWrap w:val="0"/>
                  <w:vAlign w:val="center"/>
                </w:tcPr>
                <w:p>
                  <w:pPr>
                    <w:adjustRightInd w:val="0"/>
                    <w:snapToGrid w:val="0"/>
                    <w:jc w:val="center"/>
                    <w:rPr>
                      <w:rFonts w:hint="default" w:ascii="Times New Roman" w:hAnsi="Times New Roman" w:eastAsia="宋体" w:cs="Times New Roman"/>
                      <w:color w:val="auto"/>
                      <w:sz w:val="18"/>
                      <w:szCs w:val="18"/>
                      <w:highlight w:val="none"/>
                    </w:rPr>
                  </w:pPr>
                  <w:r>
                    <w:rPr>
                      <w:rFonts w:hint="eastAsia" w:cs="Times New Roman"/>
                      <w:color w:val="auto"/>
                      <w:sz w:val="18"/>
                      <w:szCs w:val="18"/>
                      <w:highlight w:val="none"/>
                      <w:lang w:val="en-US" w:eastAsia="zh-CN"/>
                    </w:rPr>
                    <w:t>300</w:t>
                  </w:r>
                </w:p>
              </w:tc>
              <w:tc>
                <w:tcPr>
                  <w:tcW w:w="416" w:type="pct"/>
                  <w:shd w:val="clear" w:color="auto" w:fill="FFFFFF"/>
                  <w:noWrap w:val="0"/>
                  <w:vAlign w:val="center"/>
                </w:tcPr>
                <w:p>
                  <w:pPr>
                    <w:adjustRightInd w:val="0"/>
                    <w:snapToGrid w:val="0"/>
                    <w:jc w:val="center"/>
                    <w:rPr>
                      <w:rFonts w:hint="default"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1.5</w:t>
                  </w:r>
                </w:p>
              </w:tc>
              <w:tc>
                <w:tcPr>
                  <w:tcW w:w="582" w:type="pct"/>
                  <w:shd w:val="clear" w:color="auto" w:fill="FFFFFF"/>
                  <w:noWrap w:val="0"/>
                  <w:vAlign w:val="center"/>
                </w:tcPr>
                <w:p>
                  <w:pPr>
                    <w:adjustRightInd w:val="0"/>
                    <w:snapToGrid w:val="0"/>
                    <w:jc w:val="center"/>
                    <w:rPr>
                      <w:rFonts w:hint="default"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昼夜</w:t>
                  </w:r>
                </w:p>
              </w:tc>
              <w:tc>
                <w:tcPr>
                  <w:tcW w:w="1250" w:type="dxa"/>
                  <w:shd w:val="clear" w:color="auto" w:fill="FFFFFF"/>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highlight w:val="none"/>
                      <w:lang w:val="en-US"/>
                    </w:rPr>
                  </w:pPr>
                  <w:r>
                    <w:rPr>
                      <w:rFonts w:hint="eastAsia" w:cs="Times New Roman"/>
                      <w:b w:val="0"/>
                      <w:bCs w:val="0"/>
                      <w:color w:val="auto"/>
                      <w:sz w:val="18"/>
                      <w:szCs w:val="18"/>
                      <w:lang w:val="en-US" w:eastAsia="zh-CN"/>
                    </w:rPr>
                    <w:t>21.1</w:t>
                  </w:r>
                </w:p>
              </w:tc>
              <w:tc>
                <w:tcPr>
                  <w:tcW w:w="831" w:type="pct"/>
                  <w:shd w:val="clear" w:color="auto" w:fill="FFFFFF"/>
                  <w:noWrap w:val="0"/>
                  <w:vAlign w:val="center"/>
                </w:tcPr>
                <w:p>
                  <w:pPr>
                    <w:adjustRightInd w:val="0"/>
                    <w:snapToGrid w:val="0"/>
                    <w:jc w:val="center"/>
                    <w:rPr>
                      <w:rFonts w:hint="default"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65/55</w:t>
                  </w:r>
                </w:p>
              </w:tc>
              <w:tc>
                <w:tcPr>
                  <w:tcW w:w="696" w:type="pct"/>
                  <w:shd w:val="clear" w:color="auto" w:fill="FFFFFF"/>
                  <w:noWrap w:val="0"/>
                  <w:vAlign w:val="center"/>
                </w:tcPr>
                <w:p>
                  <w:pPr>
                    <w:adjustRightInd w:val="0"/>
                    <w:snapToGrid w:val="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达标</w:t>
                  </w:r>
                </w:p>
              </w:tc>
            </w:tr>
          </w:tbl>
          <w:p>
            <w:pPr>
              <w:keepNext w:val="0"/>
              <w:keepLines w:val="0"/>
              <w:pageBreakBefore w:val="0"/>
              <w:widowControl w:val="0"/>
              <w:kinsoku/>
              <w:wordWrap w:val="0"/>
              <w:overflowPunct/>
              <w:topLinePunct w:val="0"/>
              <w:autoSpaceDE/>
              <w:autoSpaceDN/>
              <w:bidi w:val="0"/>
              <w:adjustRightInd w:val="0"/>
              <w:snapToGrid w:val="0"/>
              <w:spacing w:line="500" w:lineRule="exact"/>
              <w:ind w:firstLine="420" w:firstLineChars="200"/>
              <w:textAlignment w:val="auto"/>
              <w:rPr>
                <w:rFonts w:hint="eastAsia" w:eastAsia="宋体"/>
                <w:color w:val="auto"/>
                <w:lang w:eastAsia="zh-CN"/>
              </w:rPr>
            </w:pPr>
            <w:r>
              <w:rPr>
                <w:rFonts w:hint="eastAsia"/>
                <w:color w:val="auto"/>
              </w:rPr>
              <w:t>由上表可见，</w:t>
            </w:r>
            <w:r>
              <w:rPr>
                <w:rFonts w:hint="eastAsia"/>
                <w:color w:val="auto"/>
                <w:lang w:val="en-US" w:eastAsia="zh-CN"/>
              </w:rPr>
              <w:t>项目</w:t>
            </w:r>
            <w:r>
              <w:rPr>
                <w:rFonts w:hint="eastAsia"/>
                <w:color w:val="auto"/>
              </w:rPr>
              <w:t>噪声设备经距离衰减和厂房隔声后，</w:t>
            </w:r>
            <w:r>
              <w:rPr>
                <w:rFonts w:hint="eastAsia"/>
                <w:color w:val="auto"/>
                <w:lang w:val="en-US" w:eastAsia="zh-CN"/>
              </w:rPr>
              <w:t>各</w:t>
            </w:r>
            <w:r>
              <w:rPr>
                <w:rFonts w:hint="eastAsia"/>
                <w:color w:val="auto"/>
              </w:rPr>
              <w:t>厂界预测值在</w:t>
            </w:r>
            <w:r>
              <w:rPr>
                <w:rFonts w:hint="eastAsia"/>
                <w:color w:val="auto"/>
                <w:highlight w:val="none"/>
                <w:lang w:val="en-US" w:eastAsia="zh-CN"/>
              </w:rPr>
              <w:t>48.11~53.55</w:t>
            </w:r>
            <w:r>
              <w:rPr>
                <w:rFonts w:hint="eastAsia"/>
                <w:color w:val="auto"/>
                <w:highlight w:val="none"/>
              </w:rPr>
              <w:t>dB(A)之间</w:t>
            </w:r>
            <w:r>
              <w:rPr>
                <w:rFonts w:hint="eastAsia"/>
                <w:color w:val="auto"/>
                <w:highlight w:val="none"/>
                <w:lang w:eastAsia="zh-CN"/>
              </w:rPr>
              <w:t>，</w:t>
            </w:r>
            <w:r>
              <w:rPr>
                <w:rFonts w:hint="eastAsia"/>
                <w:color w:val="auto"/>
              </w:rPr>
              <w:t>各厂界噪声能满足《工业企业厂界环境噪声排放标准》（GB12348-2008）表1中</w:t>
            </w:r>
            <w:r>
              <w:rPr>
                <w:rFonts w:hint="eastAsia"/>
                <w:color w:val="auto"/>
                <w:lang w:val="en-US" w:eastAsia="zh-CN"/>
              </w:rPr>
              <w:t>3</w:t>
            </w:r>
            <w:r>
              <w:rPr>
                <w:rFonts w:hint="eastAsia"/>
                <w:color w:val="auto"/>
              </w:rPr>
              <w:t>类标准，即厂界昼间低于</w:t>
            </w:r>
            <w:r>
              <w:rPr>
                <w:rFonts w:hint="eastAsia"/>
                <w:color w:val="auto"/>
                <w:lang w:val="en-US" w:eastAsia="zh-CN"/>
              </w:rPr>
              <w:t>65</w:t>
            </w:r>
            <w:r>
              <w:rPr>
                <w:rFonts w:hint="eastAsia"/>
                <w:color w:val="auto"/>
              </w:rPr>
              <w:t>dB(A)</w:t>
            </w:r>
            <w:r>
              <w:rPr>
                <w:rFonts w:hint="eastAsia"/>
                <w:color w:val="auto"/>
                <w:lang w:eastAsia="zh-CN"/>
              </w:rPr>
              <w:t>，夜</w:t>
            </w:r>
            <w:r>
              <w:rPr>
                <w:rFonts w:hint="eastAsia"/>
                <w:color w:val="auto"/>
              </w:rPr>
              <w:t>间低于</w:t>
            </w:r>
            <w:r>
              <w:rPr>
                <w:rFonts w:hint="eastAsia"/>
                <w:color w:val="auto"/>
                <w:lang w:val="en-US" w:eastAsia="zh-CN"/>
              </w:rPr>
              <w:t>55</w:t>
            </w:r>
            <w:r>
              <w:rPr>
                <w:rFonts w:hint="eastAsia"/>
                <w:color w:val="auto"/>
              </w:rPr>
              <w:t>dB(A)。</w:t>
            </w:r>
          </w:p>
          <w:p>
            <w:pPr>
              <w:adjustRightInd w:val="0"/>
              <w:snapToGrid w:val="0"/>
              <w:spacing w:line="500" w:lineRule="exact"/>
              <w:ind w:firstLine="420" w:firstLineChars="200"/>
              <w:rPr>
                <w:rFonts w:hint="eastAsia"/>
                <w:color w:val="auto"/>
              </w:rPr>
            </w:pPr>
            <w:r>
              <w:rPr>
                <w:rFonts w:hint="eastAsia"/>
                <w:color w:val="auto"/>
                <w:lang w:val="en-US" w:eastAsia="zh-CN"/>
              </w:rPr>
              <w:t>4、</w:t>
            </w:r>
            <w:r>
              <w:rPr>
                <w:rFonts w:hint="eastAsia"/>
                <w:color w:val="auto"/>
              </w:rPr>
              <w:t>自行监测要求</w:t>
            </w:r>
          </w:p>
          <w:p>
            <w:pPr>
              <w:adjustRightInd w:val="0"/>
              <w:snapToGrid w:val="0"/>
              <w:spacing w:line="500" w:lineRule="exact"/>
              <w:ind w:firstLine="420" w:firstLineChars="200"/>
              <w:rPr>
                <w:rFonts w:hint="eastAsia"/>
                <w:color w:val="auto"/>
              </w:rPr>
            </w:pPr>
            <w:r>
              <w:rPr>
                <w:rFonts w:hint="eastAsia"/>
                <w:color w:val="auto"/>
              </w:rPr>
              <w:t>根据《排污单位自行监测技术指南 总则》（HJ819-2017），厂界噪声最低监测频次为季度，厂界噪声监测频次为一季度开展一次，并在噪声监测点附近醒目处设置环境保护图形标志牌，噪声自行监测要求见</w:t>
            </w:r>
            <w:r>
              <w:rPr>
                <w:rFonts w:hint="eastAsia"/>
                <w:color w:val="auto"/>
                <w:lang w:val="en-US" w:eastAsia="zh-CN"/>
              </w:rPr>
              <w:t>下</w:t>
            </w:r>
            <w:r>
              <w:rPr>
                <w:rFonts w:hint="eastAsia"/>
                <w:color w:val="auto"/>
              </w:rPr>
              <w:t>表。</w:t>
            </w:r>
          </w:p>
          <w:p>
            <w:pPr>
              <w:autoSpaceDE w:val="0"/>
              <w:autoSpaceDN w:val="0"/>
              <w:adjustRightInd w:val="0"/>
              <w:spacing w:line="500" w:lineRule="exact"/>
              <w:jc w:val="center"/>
              <w:rPr>
                <w:rFonts w:hint="eastAsia"/>
                <w:b/>
                <w:bCs/>
                <w:color w:val="auto"/>
                <w:szCs w:val="21"/>
              </w:rPr>
            </w:pPr>
            <w:r>
              <w:rPr>
                <w:b/>
                <w:bCs/>
                <w:color w:val="auto"/>
                <w:szCs w:val="21"/>
              </w:rPr>
              <w:t>表</w:t>
            </w:r>
            <w:r>
              <w:rPr>
                <w:rFonts w:hint="eastAsia"/>
                <w:b/>
                <w:bCs/>
                <w:color w:val="auto"/>
                <w:szCs w:val="21"/>
              </w:rPr>
              <w:t>4-</w:t>
            </w:r>
            <w:r>
              <w:rPr>
                <w:rFonts w:hint="eastAsia"/>
                <w:b/>
                <w:bCs/>
                <w:color w:val="auto"/>
                <w:szCs w:val="21"/>
                <w:lang w:val="en-US" w:eastAsia="zh-CN"/>
              </w:rPr>
              <w:t>20</w:t>
            </w:r>
            <w:r>
              <w:rPr>
                <w:rFonts w:hint="eastAsia"/>
                <w:b/>
                <w:bCs/>
                <w:color w:val="auto"/>
                <w:szCs w:val="21"/>
                <w:lang w:eastAsia="zh-CN"/>
              </w:rPr>
              <w:t xml:space="preserve">  </w:t>
            </w:r>
            <w:r>
              <w:rPr>
                <w:b/>
                <w:bCs/>
                <w:color w:val="auto"/>
                <w:szCs w:val="21"/>
              </w:rPr>
              <w:t>噪声监测要求</w:t>
            </w:r>
          </w:p>
          <w:tbl>
            <w:tblPr>
              <w:tblStyle w:val="2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09"/>
              <w:gridCol w:w="1877"/>
              <w:gridCol w:w="1688"/>
              <w:gridCol w:w="205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68" w:type="pct"/>
                  <w:noWrap w:val="0"/>
                  <w:vAlign w:val="center"/>
                </w:tcPr>
                <w:p>
                  <w:pPr>
                    <w:jc w:val="center"/>
                    <w:rPr>
                      <w:b/>
                      <w:bCs/>
                      <w:color w:val="auto"/>
                      <w:sz w:val="18"/>
                      <w:szCs w:val="18"/>
                    </w:rPr>
                  </w:pPr>
                  <w:r>
                    <w:rPr>
                      <w:b/>
                      <w:bCs/>
                      <w:color w:val="auto"/>
                      <w:sz w:val="18"/>
                      <w:szCs w:val="18"/>
                    </w:rPr>
                    <w:t>监测点位</w:t>
                  </w:r>
                </w:p>
              </w:tc>
              <w:tc>
                <w:tcPr>
                  <w:tcW w:w="1247" w:type="pct"/>
                  <w:noWrap w:val="0"/>
                  <w:vAlign w:val="center"/>
                </w:tcPr>
                <w:p>
                  <w:pPr>
                    <w:jc w:val="center"/>
                    <w:rPr>
                      <w:b/>
                      <w:bCs/>
                      <w:color w:val="auto"/>
                      <w:sz w:val="18"/>
                      <w:szCs w:val="18"/>
                    </w:rPr>
                  </w:pPr>
                  <w:r>
                    <w:rPr>
                      <w:b/>
                      <w:bCs/>
                      <w:color w:val="auto"/>
                      <w:sz w:val="18"/>
                      <w:szCs w:val="18"/>
                    </w:rPr>
                    <w:t>监测指标</w:t>
                  </w:r>
                </w:p>
              </w:tc>
              <w:tc>
                <w:tcPr>
                  <w:tcW w:w="1121" w:type="pct"/>
                  <w:noWrap w:val="0"/>
                  <w:vAlign w:val="center"/>
                </w:tcPr>
                <w:p>
                  <w:pPr>
                    <w:jc w:val="center"/>
                    <w:rPr>
                      <w:b/>
                      <w:bCs/>
                      <w:color w:val="auto"/>
                      <w:sz w:val="18"/>
                      <w:szCs w:val="18"/>
                    </w:rPr>
                  </w:pPr>
                  <w:r>
                    <w:rPr>
                      <w:b/>
                      <w:bCs/>
                      <w:color w:val="auto"/>
                      <w:sz w:val="18"/>
                      <w:szCs w:val="18"/>
                    </w:rPr>
                    <w:t>监测频次</w:t>
                  </w:r>
                </w:p>
              </w:tc>
              <w:tc>
                <w:tcPr>
                  <w:tcW w:w="1363" w:type="pct"/>
                  <w:noWrap w:val="0"/>
                  <w:vAlign w:val="center"/>
                </w:tcPr>
                <w:p>
                  <w:pPr>
                    <w:jc w:val="center"/>
                    <w:rPr>
                      <w:b/>
                      <w:bCs/>
                      <w:color w:val="auto"/>
                      <w:sz w:val="18"/>
                      <w:szCs w:val="18"/>
                    </w:rPr>
                  </w:pPr>
                  <w:r>
                    <w:rPr>
                      <w:b/>
                      <w:bCs/>
                      <w:color w:val="auto"/>
                      <w:sz w:val="18"/>
                      <w:szCs w:val="18"/>
                    </w:rPr>
                    <w:t>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68" w:type="pct"/>
                  <w:noWrap w:val="0"/>
                  <w:vAlign w:val="center"/>
                </w:tcPr>
                <w:p>
                  <w:pPr>
                    <w:adjustRightInd w:val="0"/>
                    <w:snapToGrid w:val="0"/>
                    <w:jc w:val="center"/>
                    <w:rPr>
                      <w:color w:val="auto"/>
                      <w:sz w:val="18"/>
                      <w:szCs w:val="18"/>
                    </w:rPr>
                  </w:pPr>
                  <w:r>
                    <w:rPr>
                      <w:rFonts w:hint="eastAsia"/>
                      <w:color w:val="auto"/>
                      <w:sz w:val="18"/>
                      <w:szCs w:val="18"/>
                    </w:rPr>
                    <w:t>厂界四周外1m</w:t>
                  </w:r>
                </w:p>
              </w:tc>
              <w:tc>
                <w:tcPr>
                  <w:tcW w:w="1247" w:type="pct"/>
                  <w:noWrap w:val="0"/>
                  <w:vAlign w:val="center"/>
                </w:tcPr>
                <w:p>
                  <w:pPr>
                    <w:jc w:val="center"/>
                    <w:rPr>
                      <w:color w:val="auto"/>
                      <w:sz w:val="18"/>
                      <w:szCs w:val="18"/>
                    </w:rPr>
                  </w:pPr>
                  <w:r>
                    <w:rPr>
                      <w:rFonts w:hint="eastAsia"/>
                      <w:color w:val="auto"/>
                      <w:sz w:val="18"/>
                      <w:szCs w:val="18"/>
                    </w:rPr>
                    <w:t>等效连续A声级</w:t>
                  </w:r>
                </w:p>
              </w:tc>
              <w:tc>
                <w:tcPr>
                  <w:tcW w:w="1121" w:type="pct"/>
                  <w:noWrap w:val="0"/>
                  <w:vAlign w:val="center"/>
                </w:tcPr>
                <w:p>
                  <w:pPr>
                    <w:jc w:val="center"/>
                    <w:rPr>
                      <w:color w:val="auto"/>
                      <w:sz w:val="18"/>
                      <w:szCs w:val="18"/>
                    </w:rPr>
                  </w:pPr>
                  <w:r>
                    <w:rPr>
                      <w:rFonts w:hint="eastAsia"/>
                      <w:color w:val="auto"/>
                      <w:sz w:val="18"/>
                      <w:szCs w:val="18"/>
                    </w:rPr>
                    <w:t>1次/季度</w:t>
                  </w:r>
                </w:p>
              </w:tc>
              <w:tc>
                <w:tcPr>
                  <w:tcW w:w="1363" w:type="pct"/>
                  <w:noWrap w:val="0"/>
                  <w:vAlign w:val="center"/>
                </w:tcPr>
                <w:p>
                  <w:pPr>
                    <w:jc w:val="center"/>
                    <w:rPr>
                      <w:color w:val="auto"/>
                      <w:sz w:val="18"/>
                      <w:szCs w:val="18"/>
                    </w:rPr>
                  </w:pPr>
                  <w:r>
                    <w:rPr>
                      <w:color w:val="auto"/>
                      <w:sz w:val="18"/>
                      <w:szCs w:val="18"/>
                    </w:rPr>
                    <w:t>昼间：</w:t>
                  </w:r>
                  <w:r>
                    <w:rPr>
                      <w:rFonts w:hint="eastAsia"/>
                      <w:color w:val="auto"/>
                      <w:sz w:val="18"/>
                      <w:szCs w:val="18"/>
                    </w:rPr>
                    <w:t>6</w:t>
                  </w:r>
                  <w:r>
                    <w:rPr>
                      <w:rFonts w:hint="eastAsia"/>
                      <w:color w:val="auto"/>
                      <w:sz w:val="18"/>
                      <w:szCs w:val="18"/>
                      <w:lang w:val="en-US" w:eastAsia="zh-CN"/>
                    </w:rPr>
                    <w:t>5</w:t>
                  </w:r>
                  <w:r>
                    <w:rPr>
                      <w:color w:val="auto"/>
                      <w:sz w:val="18"/>
                      <w:szCs w:val="18"/>
                    </w:rPr>
                    <w:t>dB</w:t>
                  </w:r>
                </w:p>
                <w:p>
                  <w:pPr>
                    <w:jc w:val="center"/>
                    <w:rPr>
                      <w:rFonts w:hint="default" w:eastAsia="宋体"/>
                      <w:color w:val="auto"/>
                      <w:sz w:val="18"/>
                      <w:szCs w:val="18"/>
                      <w:lang w:val="en-US" w:eastAsia="zh-CN"/>
                    </w:rPr>
                  </w:pPr>
                  <w:r>
                    <w:rPr>
                      <w:rFonts w:hint="eastAsia"/>
                      <w:color w:val="auto"/>
                      <w:sz w:val="18"/>
                      <w:szCs w:val="18"/>
                      <w:lang w:eastAsia="zh-CN"/>
                    </w:rPr>
                    <w:t>夜间：</w:t>
                  </w:r>
                  <w:r>
                    <w:rPr>
                      <w:rFonts w:hint="eastAsia"/>
                      <w:color w:val="auto"/>
                      <w:sz w:val="18"/>
                      <w:szCs w:val="18"/>
                      <w:lang w:val="en-US" w:eastAsia="zh-CN"/>
                    </w:rPr>
                    <w:t>55</w:t>
                  </w:r>
                  <w:r>
                    <w:rPr>
                      <w:color w:val="auto"/>
                      <w:sz w:val="18"/>
                      <w:szCs w:val="18"/>
                    </w:rPr>
                    <w:t>dB</w:t>
                  </w:r>
                </w:p>
              </w:tc>
            </w:tr>
          </w:tbl>
          <w:p>
            <w:pPr>
              <w:adjustRightInd w:val="0"/>
              <w:snapToGrid w:val="0"/>
              <w:spacing w:line="500" w:lineRule="exact"/>
              <w:ind w:firstLine="42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5、声环境影响评价结论：</w:t>
            </w:r>
          </w:p>
          <w:p>
            <w:pPr>
              <w:spacing w:line="500" w:lineRule="exact"/>
              <w:ind w:firstLine="420" w:firstLineChars="200"/>
              <w:rPr>
                <w:rFonts w:hint="eastAsia"/>
                <w:color w:val="auto"/>
              </w:rPr>
            </w:pPr>
            <w:r>
              <w:rPr>
                <w:rFonts w:hint="eastAsia"/>
                <w:color w:val="auto"/>
              </w:rPr>
              <w:t>综上所述，项目采取合理布局、厂房隔声、距离衰减等降噪措施后，厂界噪声可确保达标，建设单位采用的工业布局和噪声污染防治措施可行，对周围环境影响较小。</w:t>
            </w:r>
          </w:p>
          <w:p>
            <w:pPr>
              <w:spacing w:line="500" w:lineRule="exact"/>
              <w:ind w:firstLine="422" w:firstLineChars="200"/>
              <w:rPr>
                <w:b/>
                <w:bCs/>
              </w:rPr>
            </w:pPr>
            <w:r>
              <w:rPr>
                <w:b/>
                <w:bCs/>
              </w:rPr>
              <w:t>四、固体废物</w:t>
            </w:r>
          </w:p>
          <w:p>
            <w:pPr>
              <w:spacing w:line="500" w:lineRule="exact"/>
              <w:ind w:firstLine="210" w:firstLineChars="100"/>
            </w:pPr>
            <w:r>
              <w:t>1、固体废物种类</w:t>
            </w:r>
          </w:p>
          <w:p>
            <w:pPr>
              <w:spacing w:line="500" w:lineRule="exact"/>
              <w:ind w:firstLine="420" w:firstLineChars="200"/>
            </w:pPr>
            <w:r>
              <w:t>（1）生活垃圾</w:t>
            </w:r>
          </w:p>
          <w:p>
            <w:pPr>
              <w:spacing w:line="500" w:lineRule="exact"/>
              <w:ind w:firstLine="420" w:firstLineChars="200"/>
            </w:pPr>
            <w:r>
              <w:rPr>
                <w:rFonts w:hint="eastAsia"/>
                <w:lang w:eastAsia="zh-CN"/>
              </w:rPr>
              <w:t>①</w:t>
            </w:r>
            <w:r>
              <w:t>本项目运营期生活垃圾</w:t>
            </w:r>
            <w:r>
              <w:rPr>
                <w:rFonts w:hint="eastAsia"/>
                <w:lang w:eastAsia="zh-CN"/>
              </w:rPr>
              <w:t>新增</w:t>
            </w:r>
            <w:r>
              <w:t>产生量按每人每天0.25kg计，员工</w:t>
            </w:r>
            <w:r>
              <w:rPr>
                <w:rFonts w:hint="eastAsia"/>
                <w:lang w:eastAsia="zh-CN"/>
              </w:rPr>
              <w:t>新增</w:t>
            </w:r>
            <w:r>
              <w:rPr>
                <w:rFonts w:hint="eastAsia"/>
                <w:lang w:val="en-US" w:eastAsia="zh-CN"/>
              </w:rPr>
              <w:t>8</w:t>
            </w:r>
            <w:r>
              <w:t>0人，年工作日以300d计算，年产生垃圾量为</w:t>
            </w:r>
            <w:r>
              <w:rPr>
                <w:rFonts w:hint="eastAsia"/>
                <w:lang w:val="en-US" w:eastAsia="zh-CN"/>
              </w:rPr>
              <w:t>6</w:t>
            </w:r>
            <w:r>
              <w:t>t/a，厂区收集后，统一交由环卫部门及时清理。</w:t>
            </w:r>
          </w:p>
          <w:p>
            <w:pPr>
              <w:adjustRightInd w:val="0"/>
              <w:snapToGrid w:val="0"/>
              <w:spacing w:line="500" w:lineRule="exact"/>
              <w:ind w:firstLine="420" w:firstLineChars="200"/>
              <w:rPr>
                <w:rFonts w:hint="default" w:ascii="Times New Roman" w:hAnsi="Times New Roman" w:eastAsia="宋体" w:cs="Times New Roman"/>
                <w:color w:val="auto"/>
                <w:kern w:val="2"/>
                <w:sz w:val="21"/>
                <w:szCs w:val="24"/>
                <w:lang w:val="en-US" w:eastAsia="zh-CN" w:bidi="ar-SA"/>
              </w:rPr>
            </w:pPr>
            <w:r>
              <w:rPr>
                <w:rFonts w:hint="eastAsia"/>
                <w:lang w:eastAsia="zh-CN"/>
              </w:rPr>
              <w:t>②</w:t>
            </w:r>
            <w:r>
              <w:rPr>
                <w:rFonts w:hint="eastAsia" w:ascii="Times New Roman" w:hAnsi="Times New Roman" w:eastAsia="宋体" w:cs="Times New Roman"/>
                <w:color w:val="auto"/>
                <w:kern w:val="2"/>
                <w:sz w:val="21"/>
                <w:szCs w:val="24"/>
                <w:lang w:val="en-US" w:eastAsia="zh-CN" w:bidi="ar-SA"/>
              </w:rPr>
              <w:t>餐厨垃圾：包括餐饮过程产生的废食物</w:t>
            </w:r>
            <w:r>
              <w:rPr>
                <w:rFonts w:hint="eastAsia" w:ascii="Times New Roman" w:hAnsi="Times New Roman" w:cs="Times New Roman"/>
                <w:color w:val="auto"/>
                <w:kern w:val="2"/>
                <w:sz w:val="21"/>
                <w:szCs w:val="24"/>
                <w:lang w:val="en-US" w:eastAsia="zh-CN" w:bidi="ar-SA"/>
              </w:rPr>
              <w:t>、</w:t>
            </w:r>
            <w:r>
              <w:rPr>
                <w:rFonts w:hint="eastAsia" w:ascii="Times New Roman" w:hAnsi="Times New Roman" w:eastAsia="宋体" w:cs="Times New Roman"/>
                <w:color w:val="auto"/>
                <w:kern w:val="2"/>
                <w:sz w:val="21"/>
                <w:szCs w:val="24"/>
                <w:lang w:val="en-US" w:eastAsia="zh-CN" w:bidi="ar-SA"/>
              </w:rPr>
              <w:t>隔油池收集的食堂废油</w:t>
            </w:r>
            <w:r>
              <w:rPr>
                <w:rFonts w:hint="eastAsia" w:ascii="Times New Roman" w:hAnsi="Times New Roman" w:cs="Times New Roman"/>
                <w:color w:val="auto"/>
                <w:kern w:val="2"/>
                <w:sz w:val="21"/>
                <w:szCs w:val="24"/>
                <w:lang w:val="en-US" w:eastAsia="zh-CN" w:bidi="ar-SA"/>
              </w:rPr>
              <w:t>等</w:t>
            </w:r>
            <w:r>
              <w:rPr>
                <w:rFonts w:hint="eastAsia" w:ascii="Times New Roman" w:hAnsi="Times New Roman" w:eastAsia="宋体" w:cs="Times New Roman"/>
                <w:color w:val="auto"/>
                <w:kern w:val="2"/>
                <w:sz w:val="21"/>
                <w:szCs w:val="24"/>
                <w:lang w:val="en-US" w:eastAsia="zh-CN" w:bidi="ar-SA"/>
              </w:rPr>
              <w:t>，预计产生量约30t/a，收集后委托专业的餐厨垃圾处置公司处置。</w:t>
            </w:r>
          </w:p>
          <w:p>
            <w:pPr>
              <w:spacing w:line="500" w:lineRule="exact"/>
              <w:ind w:firstLine="420" w:firstLineChars="200"/>
            </w:pPr>
            <w:r>
              <w:t>（2）一般生产固废</w:t>
            </w:r>
          </w:p>
          <w:p>
            <w:pPr>
              <w:spacing w:line="500" w:lineRule="exact"/>
              <w:ind w:firstLine="420" w:firstLineChars="200"/>
              <w:rPr>
                <w:rFonts w:hint="eastAsia" w:ascii="Times New Roman" w:hAnsi="Times New Roman" w:eastAsia="宋体" w:cs="Times New Roman"/>
                <w:color w:val="auto"/>
                <w:lang w:val="en-US" w:eastAsia="zh-CN"/>
              </w:rPr>
            </w:pPr>
            <w:r>
              <w:t>①</w:t>
            </w:r>
            <w:r>
              <w:rPr>
                <w:rFonts w:hint="eastAsia"/>
                <w:lang w:val="en-US" w:eastAsia="zh-CN"/>
              </w:rPr>
              <w:t>废</w:t>
            </w:r>
            <w:r>
              <w:rPr>
                <w:rFonts w:hint="eastAsia" w:ascii="Times New Roman" w:hAnsi="Times New Roman" w:eastAsia="宋体" w:cs="Times New Roman"/>
                <w:lang w:val="en-US" w:eastAsia="zh-CN"/>
              </w:rPr>
              <w:t>氧化皮：</w:t>
            </w:r>
            <w:r>
              <w:rPr>
                <w:rFonts w:hint="default" w:ascii="Times New Roman" w:hAnsi="Times New Roman" w:eastAsia="宋体" w:cs="Times New Roman"/>
                <w:lang w:val="en-US" w:eastAsia="zh-CN"/>
              </w:rPr>
              <w:t>本项目</w:t>
            </w:r>
            <w:r>
              <w:rPr>
                <w:rFonts w:hint="eastAsia" w:ascii="Times New Roman" w:hAnsi="Times New Roman" w:eastAsia="宋体" w:cs="Times New Roman"/>
                <w:lang w:val="en-US" w:eastAsia="zh-CN"/>
              </w:rPr>
              <w:t>金属加工、镦拔</w:t>
            </w:r>
            <w:r>
              <w:rPr>
                <w:rFonts w:hint="default" w:ascii="Times New Roman" w:hAnsi="Times New Roman" w:eastAsia="宋体" w:cs="Times New Roman"/>
                <w:lang w:val="en-US" w:eastAsia="zh-CN"/>
              </w:rPr>
              <w:t>过</w:t>
            </w:r>
            <w:r>
              <w:rPr>
                <w:rFonts w:hint="default" w:ascii="Times New Roman" w:hAnsi="Times New Roman" w:eastAsia="宋体" w:cs="Times New Roman"/>
                <w:color w:val="auto"/>
                <w:lang w:val="en-US" w:eastAsia="zh-CN"/>
              </w:rPr>
              <w:t>程中会产生</w:t>
            </w:r>
            <w:r>
              <w:rPr>
                <w:rFonts w:hint="eastAsia" w:ascii="Times New Roman" w:hAnsi="Times New Roman" w:eastAsia="宋体" w:cs="Times New Roman"/>
                <w:color w:val="auto"/>
                <w:lang w:val="en-US" w:eastAsia="zh-CN"/>
              </w:rPr>
              <w:t>废氧化皮，</w:t>
            </w:r>
            <w:r>
              <w:rPr>
                <w:rFonts w:hint="default" w:ascii="Times New Roman" w:hAnsi="Times New Roman" w:cs="Times New Roman"/>
                <w:color w:val="auto"/>
                <w:lang w:val="en-US" w:eastAsia="zh-CN"/>
              </w:rPr>
              <w:t>根据建设单位提供资料，</w:t>
            </w:r>
            <w:r>
              <w:rPr>
                <w:color w:val="auto"/>
                <w:szCs w:val="21"/>
              </w:rPr>
              <w:t>类比</w:t>
            </w:r>
            <w:r>
              <w:rPr>
                <w:rFonts w:hint="eastAsia"/>
                <w:color w:val="auto"/>
                <w:szCs w:val="21"/>
                <w:lang w:eastAsia="zh-CN"/>
              </w:rPr>
              <w:t>现有</w:t>
            </w:r>
            <w:r>
              <w:rPr>
                <w:color w:val="auto"/>
                <w:szCs w:val="21"/>
              </w:rPr>
              <w:t>《</w:t>
            </w:r>
            <w:r>
              <w:rPr>
                <w:rFonts w:hint="eastAsia" w:ascii="Times New Roman" w:hAnsi="Times New Roman" w:eastAsia="宋体" w:cs="Times New Roman"/>
                <w:color w:val="auto"/>
                <w:szCs w:val="21"/>
                <w:lang w:val="en-US" w:eastAsia="zh-CN"/>
              </w:rPr>
              <w:t>新建5000T快锻机组生产线项目</w:t>
            </w:r>
            <w:r>
              <w:rPr>
                <w:color w:val="auto"/>
                <w:szCs w:val="21"/>
              </w:rPr>
              <w:t>》验收数据</w:t>
            </w:r>
            <w:r>
              <w:rPr>
                <w:rFonts w:hint="eastAsia"/>
                <w:color w:val="auto"/>
                <w:szCs w:val="21"/>
                <w:lang w:eastAsia="zh-CN"/>
              </w:rPr>
              <w:t>，</w:t>
            </w:r>
            <w:r>
              <w:rPr>
                <w:color w:val="auto"/>
                <w:szCs w:val="21"/>
              </w:rPr>
              <w:t>推算至本项目</w:t>
            </w:r>
            <w:r>
              <w:rPr>
                <w:rFonts w:hint="eastAsia"/>
                <w:color w:val="auto"/>
                <w:lang w:val="en-US" w:eastAsia="zh-CN"/>
              </w:rPr>
              <w:t>废</w:t>
            </w:r>
            <w:r>
              <w:rPr>
                <w:rFonts w:hint="eastAsia" w:ascii="Times New Roman" w:hAnsi="Times New Roman" w:eastAsia="宋体" w:cs="Times New Roman"/>
                <w:color w:val="auto"/>
                <w:lang w:val="en-US" w:eastAsia="zh-CN"/>
              </w:rPr>
              <w:t>氧化皮</w:t>
            </w:r>
            <w:r>
              <w:rPr>
                <w:rFonts w:hint="default" w:ascii="Times New Roman" w:hAnsi="Times New Roman" w:cs="Times New Roman"/>
                <w:color w:val="auto"/>
                <w:lang w:val="en-US" w:eastAsia="zh-CN"/>
              </w:rPr>
              <w:t>产生量</w:t>
            </w:r>
            <w:r>
              <w:rPr>
                <w:rFonts w:hint="default" w:ascii="Times New Roman" w:hAnsi="Times New Roman" w:cs="Times New Roman"/>
                <w:color w:val="auto"/>
              </w:rPr>
              <w:t>约</w:t>
            </w:r>
            <w:r>
              <w:rPr>
                <w:rFonts w:hint="default" w:ascii="Times New Roman" w:hAnsi="Times New Roman" w:cs="Times New Roman"/>
                <w:color w:val="auto"/>
                <w:lang w:val="en-US" w:eastAsia="zh-CN"/>
              </w:rPr>
              <w:t>为原料用量的</w:t>
            </w:r>
            <w:r>
              <w:rPr>
                <w:rFonts w:hint="eastAsia" w:ascii="Times New Roman" w:hAnsi="Times New Roman" w:cs="Times New Roman"/>
                <w:color w:val="auto"/>
                <w:lang w:val="en-US" w:eastAsia="zh-CN"/>
              </w:rPr>
              <w:t>0.1</w:t>
            </w:r>
            <w:r>
              <w:rPr>
                <w:rFonts w:hint="default" w:ascii="Times New Roman" w:hAnsi="Times New Roman" w:cs="Times New Roman"/>
                <w:color w:val="auto"/>
                <w:lang w:val="en-US" w:eastAsia="zh-CN"/>
              </w:rPr>
              <w:t>%，</w:t>
            </w:r>
            <w:r>
              <w:rPr>
                <w:rFonts w:hint="default" w:ascii="Times New Roman" w:hAnsi="Times New Roman" w:eastAsia="宋体" w:cs="Times New Roman"/>
                <w:color w:val="auto"/>
                <w:lang w:val="en-US" w:eastAsia="zh-CN"/>
              </w:rPr>
              <w:t>产生量约</w:t>
            </w:r>
            <w:r>
              <w:rPr>
                <w:rFonts w:hint="eastAsia" w:cs="Times New Roman"/>
                <w:color w:val="auto"/>
                <w:lang w:val="en-US" w:eastAsia="zh-CN"/>
              </w:rPr>
              <w:t>99.36</w:t>
            </w:r>
            <w:r>
              <w:rPr>
                <w:rFonts w:hint="default" w:ascii="Times New Roman" w:hAnsi="Times New Roman" w:eastAsia="宋体" w:cs="Times New Roman"/>
                <w:color w:val="auto"/>
                <w:lang w:val="en-US" w:eastAsia="zh-CN"/>
              </w:rPr>
              <w:t>t/a</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收集后外售</w:t>
            </w:r>
            <w:r>
              <w:rPr>
                <w:rFonts w:hint="eastAsia" w:ascii="Times New Roman" w:hAnsi="Times New Roman" w:eastAsia="宋体" w:cs="Times New Roman"/>
                <w:color w:val="auto"/>
                <w:lang w:val="en-US" w:eastAsia="zh-CN"/>
              </w:rPr>
              <w:t>。</w:t>
            </w:r>
          </w:p>
          <w:p>
            <w:pPr>
              <w:spacing w:line="500" w:lineRule="exact"/>
              <w:ind w:firstLine="42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②废边角料：</w:t>
            </w:r>
            <w:r>
              <w:rPr>
                <w:rFonts w:hint="default" w:ascii="Times New Roman" w:hAnsi="Times New Roman" w:eastAsia="宋体" w:cs="Times New Roman"/>
                <w:color w:val="auto"/>
                <w:lang w:val="en-US" w:eastAsia="zh-CN"/>
              </w:rPr>
              <w:t>本项目</w:t>
            </w:r>
            <w:r>
              <w:rPr>
                <w:rFonts w:hint="eastAsia" w:ascii="Times New Roman" w:hAnsi="Times New Roman" w:eastAsia="宋体" w:cs="Times New Roman"/>
                <w:color w:val="auto"/>
                <w:lang w:val="en-US" w:eastAsia="zh-CN"/>
              </w:rPr>
              <w:t>金属加工、制坯</w:t>
            </w:r>
            <w:r>
              <w:rPr>
                <w:rFonts w:hint="default" w:ascii="Times New Roman" w:hAnsi="Times New Roman" w:eastAsia="宋体" w:cs="Times New Roman"/>
                <w:color w:val="auto"/>
                <w:lang w:val="en-US" w:eastAsia="zh-CN"/>
              </w:rPr>
              <w:t>过程中会产生</w:t>
            </w:r>
            <w:r>
              <w:rPr>
                <w:rFonts w:hint="eastAsia" w:ascii="Times New Roman" w:hAnsi="Times New Roman" w:eastAsia="宋体" w:cs="Times New Roman"/>
                <w:color w:val="auto"/>
                <w:lang w:val="en-US" w:eastAsia="zh-CN"/>
              </w:rPr>
              <w:t>金属</w:t>
            </w:r>
            <w:r>
              <w:rPr>
                <w:rFonts w:hint="default" w:ascii="Times New Roman" w:hAnsi="Times New Roman" w:eastAsia="宋体" w:cs="Times New Roman"/>
                <w:color w:val="auto"/>
                <w:lang w:val="en-US" w:eastAsia="zh-CN"/>
              </w:rPr>
              <w:t>边角料，</w:t>
            </w:r>
            <w:r>
              <w:rPr>
                <w:rFonts w:hint="default" w:ascii="Times New Roman" w:hAnsi="Times New Roman" w:cs="Times New Roman"/>
                <w:color w:val="auto"/>
                <w:lang w:val="en-US" w:eastAsia="zh-CN"/>
              </w:rPr>
              <w:t>根据建设单位提供资料，</w:t>
            </w:r>
            <w:r>
              <w:rPr>
                <w:color w:val="auto"/>
                <w:szCs w:val="21"/>
              </w:rPr>
              <w:t>类比</w:t>
            </w:r>
            <w:r>
              <w:rPr>
                <w:rFonts w:hint="eastAsia"/>
                <w:color w:val="auto"/>
                <w:szCs w:val="21"/>
                <w:lang w:eastAsia="zh-CN"/>
              </w:rPr>
              <w:t>现有</w:t>
            </w:r>
            <w:r>
              <w:rPr>
                <w:color w:val="auto"/>
                <w:szCs w:val="21"/>
              </w:rPr>
              <w:t>《</w:t>
            </w:r>
            <w:r>
              <w:rPr>
                <w:rFonts w:hint="eastAsia" w:ascii="Times New Roman" w:hAnsi="Times New Roman" w:eastAsia="宋体" w:cs="Times New Roman"/>
                <w:color w:val="auto"/>
                <w:szCs w:val="21"/>
                <w:lang w:val="en-US" w:eastAsia="zh-CN"/>
              </w:rPr>
              <w:t>新建5000T快锻机组生产线项目</w:t>
            </w:r>
            <w:r>
              <w:rPr>
                <w:color w:val="auto"/>
                <w:szCs w:val="21"/>
              </w:rPr>
              <w:t>》验收数据</w:t>
            </w:r>
            <w:r>
              <w:rPr>
                <w:rFonts w:hint="eastAsia"/>
                <w:color w:val="auto"/>
                <w:szCs w:val="21"/>
                <w:lang w:eastAsia="zh-CN"/>
              </w:rPr>
              <w:t>，</w:t>
            </w:r>
            <w:r>
              <w:rPr>
                <w:color w:val="auto"/>
                <w:szCs w:val="21"/>
              </w:rPr>
              <w:t>推算至本项目</w:t>
            </w:r>
            <w:r>
              <w:rPr>
                <w:rFonts w:hint="eastAsia" w:ascii="Times New Roman" w:hAnsi="Times New Roman" w:eastAsia="宋体" w:cs="Times New Roman"/>
                <w:color w:val="auto"/>
                <w:lang w:val="en-US" w:eastAsia="zh-CN"/>
              </w:rPr>
              <w:t>废边角料</w:t>
            </w:r>
            <w:r>
              <w:rPr>
                <w:rFonts w:hint="default" w:ascii="Times New Roman" w:hAnsi="Times New Roman" w:cs="Times New Roman"/>
                <w:color w:val="auto"/>
                <w:lang w:val="en-US" w:eastAsia="zh-CN"/>
              </w:rPr>
              <w:t>产生量</w:t>
            </w:r>
            <w:r>
              <w:rPr>
                <w:rFonts w:hint="default" w:ascii="Times New Roman" w:hAnsi="Times New Roman" w:cs="Times New Roman"/>
                <w:color w:val="auto"/>
              </w:rPr>
              <w:t>约</w:t>
            </w:r>
            <w:r>
              <w:rPr>
                <w:rFonts w:hint="default" w:ascii="Times New Roman" w:hAnsi="Times New Roman" w:cs="Times New Roman"/>
                <w:color w:val="auto"/>
                <w:lang w:val="en-US" w:eastAsia="zh-CN"/>
              </w:rPr>
              <w:t>为原料用量的</w:t>
            </w:r>
            <w:r>
              <w:rPr>
                <w:rFonts w:hint="eastAsia" w:ascii="Times New Roman" w:hAnsi="Times New Roman" w:cs="Times New Roman"/>
                <w:color w:val="auto"/>
                <w:lang w:val="en-US" w:eastAsia="zh-CN"/>
              </w:rPr>
              <w:t>0.1</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w:t>
            </w:r>
            <w:r>
              <w:rPr>
                <w:rFonts w:hint="default" w:ascii="Times New Roman" w:hAnsi="Times New Roman" w:eastAsia="宋体" w:cs="Times New Roman"/>
                <w:color w:val="auto"/>
                <w:lang w:val="en-US" w:eastAsia="zh-CN"/>
              </w:rPr>
              <w:t>产生量约</w:t>
            </w:r>
            <w:r>
              <w:rPr>
                <w:rFonts w:hint="eastAsia" w:cs="Times New Roman"/>
                <w:color w:val="auto"/>
                <w:lang w:val="en-US" w:eastAsia="zh-CN"/>
              </w:rPr>
              <w:t>99.36</w:t>
            </w:r>
            <w:r>
              <w:rPr>
                <w:rFonts w:hint="default" w:ascii="Times New Roman" w:hAnsi="Times New Roman" w:eastAsia="宋体" w:cs="Times New Roman"/>
                <w:color w:val="auto"/>
                <w:lang w:val="en-US" w:eastAsia="zh-CN"/>
              </w:rPr>
              <w:t>t/a，收集后外售。</w:t>
            </w:r>
          </w:p>
          <w:p>
            <w:pPr>
              <w:spacing w:line="500" w:lineRule="exact"/>
              <w:ind w:firstLine="420" w:firstLineChars="200"/>
              <w:rPr>
                <w:rFonts w:hint="eastAsia" w:eastAsia="宋体"/>
                <w:color w:val="auto"/>
                <w:lang w:eastAsia="zh-CN"/>
              </w:rPr>
            </w:pPr>
            <w:r>
              <w:rPr>
                <w:rFonts w:hint="eastAsia" w:eastAsia="宋体"/>
                <w:color w:val="auto"/>
                <w:lang w:eastAsia="zh-CN"/>
              </w:rPr>
              <w:t>③沉渣：</w:t>
            </w:r>
            <w:r>
              <w:rPr>
                <w:rFonts w:hint="default" w:eastAsia="宋体"/>
                <w:color w:val="auto"/>
                <w:lang w:val="en-US" w:eastAsia="zh-CN"/>
              </w:rPr>
              <w:t>本项目</w:t>
            </w:r>
            <w:r>
              <w:rPr>
                <w:rFonts w:eastAsia="宋体"/>
                <w:color w:val="auto"/>
              </w:rPr>
              <w:t>水介质淬火过程中，因工件表面氧化及冷却水高温蒸发</w:t>
            </w:r>
            <w:r>
              <w:rPr>
                <w:rFonts w:hint="eastAsia" w:eastAsia="宋体"/>
                <w:color w:val="auto"/>
                <w:lang w:eastAsia="zh-CN"/>
              </w:rPr>
              <w:t>会形成</w:t>
            </w:r>
            <w:r>
              <w:rPr>
                <w:rFonts w:eastAsia="宋体"/>
                <w:color w:val="auto"/>
              </w:rPr>
              <w:t>沉渣</w:t>
            </w:r>
            <w:r>
              <w:rPr>
                <w:rFonts w:hint="eastAsia" w:eastAsia="宋体"/>
                <w:color w:val="auto"/>
                <w:lang w:eastAsia="zh-CN"/>
              </w:rPr>
              <w:t>，</w:t>
            </w:r>
            <w:r>
              <w:rPr>
                <w:rFonts w:hint="default" w:eastAsia="宋体"/>
                <w:color w:val="auto"/>
                <w:lang w:val="en-US" w:eastAsia="zh-CN"/>
              </w:rPr>
              <w:t>根据建设单位提供资料，</w:t>
            </w:r>
            <w:r>
              <w:rPr>
                <w:rFonts w:hint="default" w:ascii="Times New Roman" w:hAnsi="Times New Roman" w:cs="Times New Roman"/>
                <w:color w:val="auto"/>
                <w:lang w:val="en-US" w:eastAsia="zh-CN"/>
              </w:rPr>
              <w:t>根据建设单位提供资料，</w:t>
            </w:r>
            <w:r>
              <w:rPr>
                <w:color w:val="auto"/>
                <w:szCs w:val="21"/>
              </w:rPr>
              <w:t>类比</w:t>
            </w:r>
            <w:r>
              <w:rPr>
                <w:rFonts w:hint="eastAsia"/>
                <w:color w:val="auto"/>
                <w:szCs w:val="21"/>
                <w:lang w:eastAsia="zh-CN"/>
              </w:rPr>
              <w:t>现有</w:t>
            </w:r>
            <w:r>
              <w:rPr>
                <w:color w:val="auto"/>
                <w:szCs w:val="21"/>
              </w:rPr>
              <w:t>《</w:t>
            </w:r>
            <w:r>
              <w:rPr>
                <w:rFonts w:hint="eastAsia" w:ascii="Times New Roman" w:hAnsi="Times New Roman" w:eastAsia="宋体" w:cs="Times New Roman"/>
                <w:color w:val="auto"/>
                <w:szCs w:val="21"/>
                <w:lang w:val="en-US" w:eastAsia="zh-CN"/>
              </w:rPr>
              <w:t>新建5000T快锻机组生产线项目</w:t>
            </w:r>
            <w:r>
              <w:rPr>
                <w:color w:val="auto"/>
                <w:szCs w:val="21"/>
              </w:rPr>
              <w:t>》验收数据</w:t>
            </w:r>
            <w:r>
              <w:rPr>
                <w:rFonts w:hint="eastAsia"/>
                <w:color w:val="auto"/>
                <w:szCs w:val="21"/>
                <w:lang w:eastAsia="zh-CN"/>
              </w:rPr>
              <w:t>，</w:t>
            </w:r>
            <w:r>
              <w:rPr>
                <w:color w:val="auto"/>
                <w:szCs w:val="21"/>
              </w:rPr>
              <w:t>推算至本项目</w:t>
            </w:r>
            <w:r>
              <w:rPr>
                <w:rFonts w:hint="eastAsia" w:eastAsia="宋体"/>
                <w:color w:val="auto"/>
                <w:lang w:eastAsia="zh-CN"/>
              </w:rPr>
              <w:t>沉渣</w:t>
            </w:r>
            <w:r>
              <w:rPr>
                <w:rFonts w:hint="default" w:ascii="Times New Roman" w:hAnsi="Times New Roman" w:cs="Times New Roman"/>
                <w:color w:val="auto"/>
                <w:lang w:val="en-US" w:eastAsia="zh-CN"/>
              </w:rPr>
              <w:t>产生量</w:t>
            </w:r>
            <w:r>
              <w:rPr>
                <w:rFonts w:hint="default" w:ascii="Times New Roman" w:hAnsi="Times New Roman" w:cs="Times New Roman"/>
                <w:color w:val="auto"/>
              </w:rPr>
              <w:t>约</w:t>
            </w:r>
            <w:r>
              <w:rPr>
                <w:rFonts w:hint="default" w:ascii="Times New Roman" w:hAnsi="Times New Roman" w:cs="Times New Roman"/>
                <w:color w:val="auto"/>
                <w:lang w:val="en-US" w:eastAsia="zh-CN"/>
              </w:rPr>
              <w:t>为原料用量的</w:t>
            </w:r>
            <w:r>
              <w:rPr>
                <w:rFonts w:hint="eastAsia" w:ascii="Times New Roman" w:hAnsi="Times New Roman" w:cs="Times New Roman"/>
                <w:color w:val="auto"/>
                <w:lang w:val="en-US" w:eastAsia="zh-CN"/>
              </w:rPr>
              <w:t>0.1</w:t>
            </w:r>
            <w:r>
              <w:rPr>
                <w:rFonts w:hint="default" w:ascii="Times New Roman" w:hAnsi="Times New Roman" w:cs="Times New Roman"/>
                <w:color w:val="auto"/>
                <w:lang w:val="en-US" w:eastAsia="zh-CN"/>
              </w:rPr>
              <w:t>%</w:t>
            </w:r>
            <w:r>
              <w:rPr>
                <w:rFonts w:hint="default" w:eastAsia="宋体"/>
                <w:color w:val="auto"/>
                <w:lang w:val="en-US" w:eastAsia="zh-CN"/>
              </w:rPr>
              <w:t>，产生量约</w:t>
            </w:r>
            <w:r>
              <w:rPr>
                <w:rFonts w:hint="eastAsia" w:eastAsia="宋体"/>
                <w:color w:val="auto"/>
                <w:lang w:val="en-US" w:eastAsia="zh-CN"/>
              </w:rPr>
              <w:t>99.36</w:t>
            </w:r>
            <w:r>
              <w:rPr>
                <w:rFonts w:hint="default" w:eastAsia="宋体"/>
                <w:color w:val="auto"/>
                <w:lang w:val="en-US" w:eastAsia="zh-CN"/>
              </w:rPr>
              <w:t>t/a，收集后外售。</w:t>
            </w:r>
          </w:p>
          <w:p>
            <w:pPr>
              <w:spacing w:line="500" w:lineRule="exact"/>
              <w:ind w:firstLine="420" w:firstLineChars="200"/>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④除尘灰：</w:t>
            </w:r>
            <w:r>
              <w:rPr>
                <w:rFonts w:hint="eastAsia" w:ascii="Times New Roman" w:hAnsi="Times New Roman" w:eastAsia="宋体" w:cs="Times New Roman"/>
                <w:color w:val="auto"/>
                <w:lang w:eastAsia="zh-CN"/>
              </w:rPr>
              <w:t>根据废气处理设施去除效率，除尘器收尘量约</w:t>
            </w:r>
            <w:r>
              <w:rPr>
                <w:rFonts w:hint="eastAsia" w:ascii="Times New Roman" w:hAnsi="Times New Roman" w:eastAsia="宋体" w:cs="Times New Roman"/>
                <w:color w:val="auto"/>
                <w:lang w:val="en-US" w:eastAsia="zh-CN"/>
              </w:rPr>
              <w:t>25.8124t/a</w:t>
            </w:r>
            <w:r>
              <w:rPr>
                <w:rFonts w:hint="eastAsia" w:ascii="Times New Roman" w:hAnsi="Times New Roman" w:eastAsia="宋体" w:cs="Times New Roman"/>
                <w:color w:val="auto"/>
                <w:lang w:eastAsia="zh-CN"/>
              </w:rPr>
              <w:t>，普通除尘灰收集后外售处置。</w:t>
            </w:r>
          </w:p>
          <w:p>
            <w:pPr>
              <w:widowControl/>
              <w:spacing w:line="500" w:lineRule="exact"/>
              <w:ind w:left="420"/>
              <w:jc w:val="left"/>
              <w:rPr>
                <w:color w:val="auto"/>
              </w:rPr>
            </w:pPr>
            <w:r>
              <w:rPr>
                <w:color w:val="auto"/>
              </w:rPr>
              <w:t>（3）危险废物</w:t>
            </w:r>
          </w:p>
          <w:p>
            <w:pPr>
              <w:spacing w:line="500" w:lineRule="exact"/>
              <w:ind w:firstLine="420" w:firstLineChars="200"/>
              <w:rPr>
                <w:color w:val="auto"/>
              </w:rPr>
            </w:pPr>
            <w:r>
              <w:rPr>
                <w:rFonts w:hint="eastAsia"/>
                <w:color w:val="auto"/>
                <w:lang w:eastAsia="zh-CN"/>
              </w:rPr>
              <w:t>①</w:t>
            </w:r>
            <w:r>
              <w:rPr>
                <w:color w:val="auto"/>
              </w:rPr>
              <w:t>废机油：本项目</w:t>
            </w:r>
            <w:r>
              <w:rPr>
                <w:rFonts w:hint="eastAsia" w:ascii="Times New Roman" w:hAnsi="Times New Roman" w:eastAsia="宋体" w:cs="Times New Roman"/>
                <w:color w:val="auto"/>
                <w:lang w:val="en-US" w:eastAsia="zh-CN"/>
              </w:rPr>
              <w:t>锯床</w:t>
            </w:r>
            <w:r>
              <w:rPr>
                <w:color w:val="auto"/>
              </w:rPr>
              <w:t>等机</w:t>
            </w:r>
            <w:r>
              <w:rPr>
                <w:rFonts w:ascii="Times New Roman" w:hAnsi="Times New Roman" w:eastAsia="宋体" w:cs="Times New Roman"/>
                <w:color w:val="auto"/>
              </w:rPr>
              <w:t>护产生的废机油和废油</w:t>
            </w:r>
            <w:r>
              <w:rPr>
                <w:rFonts w:hint="eastAsia" w:ascii="Times New Roman" w:hAnsi="Times New Roman" w:eastAsia="宋体" w:cs="Times New Roman"/>
                <w:color w:val="auto"/>
                <w:lang w:eastAsia="zh-CN"/>
              </w:rPr>
              <w:t>桶，</w:t>
            </w:r>
            <w:r>
              <w:rPr>
                <w:rFonts w:ascii="Times New Roman" w:hAnsi="Times New Roman" w:eastAsia="宋体" w:cs="Times New Roman"/>
                <w:color w:val="auto"/>
              </w:rPr>
              <w:t>按照本项目的</w:t>
            </w:r>
            <w:r>
              <w:rPr>
                <w:rFonts w:hint="eastAsia" w:ascii="Times New Roman" w:hAnsi="Times New Roman" w:eastAsia="宋体" w:cs="Times New Roman"/>
                <w:color w:val="auto"/>
                <w:lang w:val="en-US" w:eastAsia="zh-CN"/>
              </w:rPr>
              <w:t>锯床</w:t>
            </w:r>
            <w:r>
              <w:rPr>
                <w:rFonts w:ascii="Times New Roman" w:hAnsi="Times New Roman" w:eastAsia="宋体" w:cs="Times New Roman"/>
                <w:color w:val="auto"/>
              </w:rPr>
              <w:t>等设备的维修保养</w:t>
            </w:r>
            <w:r>
              <w:rPr>
                <w:rFonts w:hint="eastAsia" w:ascii="Times New Roman" w:hAnsi="Times New Roman" w:eastAsia="宋体" w:cs="Times New Roman"/>
                <w:color w:val="auto"/>
                <w:lang w:eastAsia="zh-CN"/>
              </w:rPr>
              <w:t>，</w:t>
            </w:r>
            <w:r>
              <w:rPr>
                <w:rFonts w:ascii="Times New Roman" w:hAnsi="Times New Roman" w:eastAsia="宋体" w:cs="Times New Roman"/>
                <w:color w:val="auto"/>
              </w:rPr>
              <w:t>本项目产生的废机油约0.</w:t>
            </w:r>
            <w:r>
              <w:rPr>
                <w:rFonts w:hint="eastAsia" w:ascii="Times New Roman" w:hAnsi="Times New Roman" w:eastAsia="宋体" w:cs="Times New Roman"/>
                <w:color w:val="auto"/>
                <w:lang w:val="en-US" w:eastAsia="zh-CN"/>
              </w:rPr>
              <w:t>1</w:t>
            </w:r>
            <w:r>
              <w:rPr>
                <w:rFonts w:ascii="Times New Roman" w:hAnsi="Times New Roman" w:eastAsia="宋体" w:cs="Times New Roman"/>
                <w:color w:val="auto"/>
              </w:rPr>
              <w:t>t/a，</w:t>
            </w:r>
            <w:r>
              <w:rPr>
                <w:rFonts w:hint="eastAsia" w:cs="Times New Roman"/>
                <w:color w:val="auto"/>
                <w:lang w:eastAsia="zh-CN"/>
              </w:rPr>
              <w:t>机油使用过程中会产生</w:t>
            </w:r>
            <w:r>
              <w:rPr>
                <w:rFonts w:ascii="Times New Roman" w:hAnsi="Times New Roman" w:eastAsia="宋体" w:cs="Times New Roman"/>
                <w:color w:val="auto"/>
              </w:rPr>
              <w:t>废油桶</w:t>
            </w:r>
            <w:r>
              <w:rPr>
                <w:rFonts w:hint="eastAsia" w:cs="Times New Roman"/>
                <w:color w:val="auto"/>
                <w:lang w:eastAsia="zh-CN"/>
              </w:rPr>
              <w:t>，机油桶</w:t>
            </w:r>
            <w:r>
              <w:rPr>
                <w:rFonts w:hint="eastAsia" w:cs="Times New Roman"/>
                <w:color w:val="auto"/>
                <w:lang w:val="en-US" w:eastAsia="zh-CN"/>
              </w:rPr>
              <w:t>6个</w:t>
            </w:r>
            <w:r>
              <w:rPr>
                <w:color w:val="auto"/>
                <w:szCs w:val="21"/>
              </w:rPr>
              <w:t>（单个桶约2</w:t>
            </w:r>
            <w:r>
              <w:rPr>
                <w:rFonts w:hint="eastAsia"/>
                <w:color w:val="auto"/>
                <w:szCs w:val="21"/>
                <w:lang w:val="en-US" w:eastAsia="zh-CN"/>
              </w:rPr>
              <w:t>5</w:t>
            </w:r>
            <w:r>
              <w:rPr>
                <w:color w:val="auto"/>
                <w:szCs w:val="21"/>
              </w:rPr>
              <w:t>kg），产生废油桶约0.</w:t>
            </w:r>
            <w:r>
              <w:rPr>
                <w:rFonts w:hint="eastAsia"/>
                <w:color w:val="auto"/>
                <w:szCs w:val="21"/>
                <w:lang w:val="en-US" w:eastAsia="zh-CN"/>
              </w:rPr>
              <w:t>15</w:t>
            </w:r>
            <w:r>
              <w:rPr>
                <w:color w:val="auto"/>
                <w:szCs w:val="21"/>
              </w:rPr>
              <w:t>t/a，考虑桶内少量原料残余，则主要产生废原料桶约0.</w:t>
            </w:r>
            <w:r>
              <w:rPr>
                <w:rFonts w:hint="eastAsia"/>
                <w:color w:val="auto"/>
                <w:szCs w:val="21"/>
                <w:lang w:val="en-US" w:eastAsia="zh-CN"/>
              </w:rPr>
              <w:t>2</w:t>
            </w:r>
            <w:r>
              <w:rPr>
                <w:color w:val="auto"/>
                <w:szCs w:val="21"/>
              </w:rPr>
              <w:t>t/a</w:t>
            </w:r>
            <w:r>
              <w:rPr>
                <w:rFonts w:ascii="Times New Roman" w:hAnsi="Times New Roman" w:eastAsia="宋体" w:cs="Times New Roman"/>
                <w:color w:val="auto"/>
              </w:rPr>
              <w:t>，属于危险废物，收集后交由有危废资质单位收集处置。</w:t>
            </w:r>
          </w:p>
          <w:p>
            <w:pPr>
              <w:spacing w:line="500" w:lineRule="exact"/>
              <w:ind w:firstLine="420" w:firstLineChars="200"/>
              <w:rPr>
                <w:color w:val="auto"/>
              </w:rPr>
            </w:pPr>
            <w:r>
              <w:rPr>
                <w:rFonts w:hint="eastAsia" w:ascii="Times New Roman" w:hAnsi="Times New Roman" w:eastAsia="宋体" w:cs="Times New Roman"/>
                <w:color w:val="auto"/>
                <w:lang w:val="en-US" w:eastAsia="zh-CN"/>
              </w:rPr>
              <w:t>②</w:t>
            </w:r>
            <w:r>
              <w:rPr>
                <w:color w:val="auto"/>
              </w:rPr>
              <w:t>废</w:t>
            </w:r>
            <w:r>
              <w:rPr>
                <w:rFonts w:hint="eastAsia"/>
                <w:color w:val="auto"/>
                <w:lang w:eastAsia="zh-CN"/>
              </w:rPr>
              <w:t>液压油</w:t>
            </w:r>
            <w:r>
              <w:rPr>
                <w:color w:val="auto"/>
              </w:rPr>
              <w:t>：本项目</w:t>
            </w:r>
            <w:r>
              <w:rPr>
                <w:rFonts w:hint="eastAsia" w:ascii="Times New Roman" w:hAnsi="Times New Roman" w:eastAsia="宋体" w:cs="Times New Roman"/>
                <w:color w:val="auto"/>
                <w:lang w:val="en-US" w:eastAsia="zh-CN"/>
              </w:rPr>
              <w:t>压机</w:t>
            </w:r>
            <w:r>
              <w:rPr>
                <w:rFonts w:ascii="Times New Roman" w:hAnsi="Times New Roman" w:eastAsia="宋体" w:cs="Times New Roman"/>
                <w:color w:val="auto"/>
              </w:rPr>
              <w:t>产生的</w:t>
            </w:r>
            <w:r>
              <w:rPr>
                <w:rFonts w:hint="eastAsia"/>
                <w:color w:val="auto"/>
                <w:lang w:eastAsia="zh-CN"/>
              </w:rPr>
              <w:t>废液压油</w:t>
            </w:r>
            <w:r>
              <w:rPr>
                <w:rFonts w:ascii="Times New Roman" w:hAnsi="Times New Roman" w:eastAsia="宋体" w:cs="Times New Roman"/>
                <w:color w:val="auto"/>
              </w:rPr>
              <w:t>和废油</w:t>
            </w:r>
            <w:r>
              <w:rPr>
                <w:rFonts w:hint="eastAsia" w:ascii="Times New Roman" w:hAnsi="Times New Roman" w:eastAsia="宋体" w:cs="Times New Roman"/>
                <w:color w:val="auto"/>
                <w:lang w:eastAsia="zh-CN"/>
              </w:rPr>
              <w:t>桶，</w:t>
            </w:r>
            <w:r>
              <w:rPr>
                <w:rFonts w:ascii="Times New Roman" w:hAnsi="Times New Roman" w:eastAsia="宋体" w:cs="Times New Roman"/>
                <w:color w:val="auto"/>
              </w:rPr>
              <w:t>按照本项目的</w:t>
            </w:r>
            <w:r>
              <w:rPr>
                <w:rFonts w:hint="eastAsia" w:ascii="Times New Roman" w:hAnsi="Times New Roman" w:eastAsia="宋体" w:cs="Times New Roman"/>
                <w:color w:val="auto"/>
                <w:lang w:val="en-US" w:eastAsia="zh-CN"/>
              </w:rPr>
              <w:t>压机</w:t>
            </w:r>
            <w:r>
              <w:rPr>
                <w:rFonts w:ascii="Times New Roman" w:hAnsi="Times New Roman" w:eastAsia="宋体" w:cs="Times New Roman"/>
                <w:color w:val="auto"/>
              </w:rPr>
              <w:t>等设备的维修保养</w:t>
            </w:r>
            <w:r>
              <w:rPr>
                <w:rFonts w:hint="eastAsia" w:ascii="Times New Roman" w:hAnsi="Times New Roman" w:eastAsia="宋体" w:cs="Times New Roman"/>
                <w:color w:val="auto"/>
                <w:lang w:eastAsia="zh-CN"/>
              </w:rPr>
              <w:t>，</w:t>
            </w:r>
            <w:r>
              <w:rPr>
                <w:rFonts w:ascii="Times New Roman" w:hAnsi="Times New Roman" w:eastAsia="宋体" w:cs="Times New Roman"/>
                <w:color w:val="auto"/>
              </w:rPr>
              <w:t>本项目产生的</w:t>
            </w:r>
            <w:r>
              <w:rPr>
                <w:rFonts w:hint="eastAsia"/>
                <w:color w:val="auto"/>
                <w:lang w:eastAsia="zh-CN"/>
              </w:rPr>
              <w:t>废液压油</w:t>
            </w:r>
            <w:r>
              <w:rPr>
                <w:rFonts w:ascii="Times New Roman" w:hAnsi="Times New Roman" w:eastAsia="宋体" w:cs="Times New Roman"/>
                <w:color w:val="auto"/>
              </w:rPr>
              <w:t>约</w:t>
            </w:r>
            <w:r>
              <w:rPr>
                <w:rFonts w:hint="eastAsia" w:cs="Times New Roman"/>
                <w:color w:val="auto"/>
                <w:lang w:val="en-US" w:eastAsia="zh-CN"/>
              </w:rPr>
              <w:t>2</w:t>
            </w:r>
            <w:r>
              <w:rPr>
                <w:rFonts w:ascii="Times New Roman" w:hAnsi="Times New Roman" w:eastAsia="宋体" w:cs="Times New Roman"/>
                <w:color w:val="auto"/>
              </w:rPr>
              <w:t>t/a，</w:t>
            </w:r>
            <w:r>
              <w:rPr>
                <w:rFonts w:hint="eastAsia" w:cs="Times New Roman"/>
                <w:color w:val="auto"/>
                <w:lang w:eastAsia="zh-CN"/>
              </w:rPr>
              <w:t>液压油使用过程中会产生</w:t>
            </w:r>
            <w:r>
              <w:rPr>
                <w:rFonts w:ascii="Times New Roman" w:hAnsi="Times New Roman" w:eastAsia="宋体" w:cs="Times New Roman"/>
                <w:color w:val="auto"/>
              </w:rPr>
              <w:t>废油桶</w:t>
            </w:r>
            <w:r>
              <w:rPr>
                <w:rFonts w:hint="eastAsia" w:cs="Times New Roman"/>
                <w:color w:val="auto"/>
                <w:lang w:eastAsia="zh-CN"/>
              </w:rPr>
              <w:t>，液压油桶</w:t>
            </w:r>
            <w:r>
              <w:rPr>
                <w:rFonts w:hint="eastAsia" w:cs="Times New Roman"/>
                <w:color w:val="auto"/>
                <w:lang w:val="en-US" w:eastAsia="zh-CN"/>
              </w:rPr>
              <w:t>15个</w:t>
            </w:r>
            <w:r>
              <w:rPr>
                <w:color w:val="auto"/>
                <w:szCs w:val="21"/>
              </w:rPr>
              <w:t>（单个桶约</w:t>
            </w:r>
            <w:r>
              <w:rPr>
                <w:rFonts w:hint="eastAsia"/>
                <w:color w:val="auto"/>
                <w:szCs w:val="21"/>
                <w:lang w:val="en-US" w:eastAsia="zh-CN"/>
              </w:rPr>
              <w:t>50</w:t>
            </w:r>
            <w:r>
              <w:rPr>
                <w:color w:val="auto"/>
                <w:szCs w:val="21"/>
              </w:rPr>
              <w:t>kg），产生废油桶约0.</w:t>
            </w:r>
            <w:r>
              <w:rPr>
                <w:rFonts w:hint="eastAsia"/>
                <w:color w:val="auto"/>
                <w:szCs w:val="21"/>
                <w:lang w:val="en-US" w:eastAsia="zh-CN"/>
              </w:rPr>
              <w:t>75</w:t>
            </w:r>
            <w:r>
              <w:rPr>
                <w:color w:val="auto"/>
                <w:szCs w:val="21"/>
              </w:rPr>
              <w:t>t/a，考虑桶内少量原料残余，则主要产生废原料桶约0.</w:t>
            </w:r>
            <w:r>
              <w:rPr>
                <w:rFonts w:hint="eastAsia"/>
                <w:color w:val="auto"/>
                <w:szCs w:val="21"/>
                <w:lang w:val="en-US" w:eastAsia="zh-CN"/>
              </w:rPr>
              <w:t>8</w:t>
            </w:r>
            <w:r>
              <w:rPr>
                <w:color w:val="auto"/>
                <w:szCs w:val="21"/>
              </w:rPr>
              <w:t>t/a</w:t>
            </w:r>
            <w:r>
              <w:rPr>
                <w:rFonts w:ascii="Times New Roman" w:hAnsi="Times New Roman" w:eastAsia="宋体" w:cs="Times New Roman"/>
                <w:color w:val="auto"/>
              </w:rPr>
              <w:t>，属于危险废物，收集后交由有危废资质单位收集处置。</w:t>
            </w:r>
          </w:p>
          <w:p>
            <w:pPr>
              <w:spacing w:line="500" w:lineRule="exact"/>
              <w:ind w:firstLine="420" w:firstLineChars="20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③废金属屑：</w:t>
            </w:r>
            <w:r>
              <w:rPr>
                <w:color w:val="auto"/>
              </w:rPr>
              <w:t>本项目</w:t>
            </w:r>
            <w:r>
              <w:rPr>
                <w:rFonts w:hint="eastAsia"/>
                <w:color w:val="auto"/>
                <w:lang w:eastAsia="zh-CN"/>
              </w:rPr>
              <w:t>金属加工</w:t>
            </w:r>
            <w:r>
              <w:rPr>
                <w:rFonts w:hint="eastAsia" w:eastAsia="宋体"/>
                <w:color w:val="auto"/>
                <w:szCs w:val="21"/>
                <w:lang w:val="en-US" w:eastAsia="zh-CN"/>
              </w:rPr>
              <w:t>生产过程中产生含油</w:t>
            </w:r>
            <w:r>
              <w:rPr>
                <w:rFonts w:hint="eastAsia" w:ascii="Times New Roman" w:hAnsi="Times New Roman" w:eastAsia="宋体" w:cs="Times New Roman"/>
                <w:color w:val="auto"/>
                <w:szCs w:val="21"/>
                <w:lang w:val="en-US" w:eastAsia="zh-CN"/>
              </w:rPr>
              <w:t>废金属屑</w:t>
            </w:r>
            <w:r>
              <w:rPr>
                <w:rFonts w:hint="eastAsia" w:cs="Times New Roman"/>
                <w:color w:val="auto"/>
                <w:szCs w:val="21"/>
                <w:lang w:val="en-US" w:eastAsia="zh-CN"/>
              </w:rPr>
              <w:t>，</w:t>
            </w:r>
            <w:r>
              <w:rPr>
                <w:rFonts w:hint="default" w:ascii="Times New Roman" w:hAnsi="Times New Roman" w:cs="Times New Roman"/>
                <w:color w:val="auto"/>
                <w:lang w:val="en-US" w:eastAsia="zh-CN"/>
              </w:rPr>
              <w:t>根据建设单位提供资料，</w:t>
            </w:r>
            <w:r>
              <w:rPr>
                <w:rFonts w:hint="eastAsia" w:ascii="Times New Roman" w:hAnsi="Times New Roman" w:eastAsia="宋体" w:cs="Times New Roman"/>
                <w:color w:val="auto"/>
                <w:szCs w:val="21"/>
                <w:lang w:val="en-US" w:eastAsia="zh-CN"/>
              </w:rPr>
              <w:t>废金属屑</w:t>
            </w:r>
            <w:r>
              <w:rPr>
                <w:rFonts w:hint="default" w:ascii="Times New Roman" w:hAnsi="Times New Roman" w:cs="Times New Roman"/>
                <w:color w:val="auto"/>
                <w:lang w:val="en-US" w:eastAsia="zh-CN"/>
              </w:rPr>
              <w:t>产生量</w:t>
            </w:r>
            <w:r>
              <w:rPr>
                <w:rFonts w:hint="default" w:ascii="Times New Roman" w:hAnsi="Times New Roman" w:cs="Times New Roman"/>
                <w:color w:val="auto"/>
              </w:rPr>
              <w:t>约</w:t>
            </w:r>
            <w:r>
              <w:rPr>
                <w:rFonts w:hint="default" w:ascii="Times New Roman" w:hAnsi="Times New Roman" w:cs="Times New Roman"/>
                <w:color w:val="auto"/>
                <w:lang w:val="en-US" w:eastAsia="zh-CN"/>
              </w:rPr>
              <w:t>为原料用量的</w:t>
            </w:r>
            <w:r>
              <w:rPr>
                <w:rFonts w:hint="eastAsia" w:ascii="Times New Roman" w:hAnsi="Times New Roman" w:cs="Times New Roman"/>
                <w:color w:val="auto"/>
                <w:lang w:val="en-US" w:eastAsia="zh-CN"/>
              </w:rPr>
              <w:t>0.01</w:t>
            </w:r>
            <w:r>
              <w:rPr>
                <w:rFonts w:hint="default" w:ascii="Times New Roman" w:hAnsi="Times New Roman" w:cs="Times New Roman"/>
                <w:color w:val="auto"/>
                <w:lang w:val="en-US" w:eastAsia="zh-CN"/>
              </w:rPr>
              <w:t>%，</w:t>
            </w:r>
            <w:r>
              <w:rPr>
                <w:rFonts w:hint="default" w:ascii="Times New Roman" w:hAnsi="Times New Roman" w:eastAsia="宋体" w:cs="Times New Roman"/>
                <w:color w:val="auto"/>
                <w:lang w:val="en-US" w:eastAsia="zh-CN"/>
              </w:rPr>
              <w:t>产生量约</w:t>
            </w:r>
            <w:r>
              <w:rPr>
                <w:rFonts w:hint="eastAsia" w:cs="Times New Roman"/>
                <w:color w:val="auto"/>
                <w:szCs w:val="21"/>
                <w:lang w:val="en-US" w:eastAsia="zh-CN"/>
              </w:rPr>
              <w:t>9.94</w:t>
            </w:r>
            <w:r>
              <w:rPr>
                <w:rFonts w:hint="eastAsia" w:eastAsia="宋体"/>
                <w:color w:val="auto"/>
                <w:szCs w:val="21"/>
                <w:lang w:val="en-US" w:eastAsia="zh-CN"/>
              </w:rPr>
              <w:t>t/a，</w:t>
            </w:r>
            <w:r>
              <w:rPr>
                <w:rFonts w:ascii="Times New Roman" w:hAnsi="Times New Roman" w:eastAsia="宋体" w:cs="Times New Roman"/>
                <w:color w:val="auto"/>
              </w:rPr>
              <w:t>属于危险废物，收集后交由有危废资质单位收集处置。</w:t>
            </w:r>
          </w:p>
          <w:p>
            <w:pPr>
              <w:spacing w:line="500" w:lineRule="exact"/>
              <w:ind w:firstLine="420" w:firstLineChars="20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④废切削液：</w:t>
            </w:r>
            <w:r>
              <w:rPr>
                <w:color w:val="auto"/>
              </w:rPr>
              <w:t>本项目</w:t>
            </w:r>
            <w:r>
              <w:rPr>
                <w:rFonts w:hint="eastAsia" w:eastAsia="宋体"/>
                <w:color w:val="auto"/>
                <w:szCs w:val="21"/>
                <w:lang w:val="en-US" w:eastAsia="zh-CN"/>
              </w:rPr>
              <w:t>生产过程中产生</w:t>
            </w:r>
            <w:r>
              <w:rPr>
                <w:rFonts w:hint="eastAsia" w:ascii="Times New Roman" w:hAnsi="Times New Roman" w:eastAsia="宋体" w:cs="Times New Roman"/>
                <w:color w:val="auto"/>
                <w:szCs w:val="21"/>
                <w:lang w:val="en-US" w:eastAsia="zh-CN"/>
              </w:rPr>
              <w:t>废切削液</w:t>
            </w:r>
            <w:r>
              <w:rPr>
                <w:rFonts w:hint="eastAsia" w:cs="Times New Roman"/>
                <w:color w:val="auto"/>
                <w:szCs w:val="21"/>
                <w:lang w:val="en-US" w:eastAsia="zh-CN"/>
              </w:rPr>
              <w:t>2.329</w:t>
            </w:r>
            <w:r>
              <w:rPr>
                <w:rFonts w:hint="eastAsia" w:eastAsia="宋体"/>
                <w:color w:val="auto"/>
                <w:szCs w:val="21"/>
                <w:lang w:val="en-US" w:eastAsia="zh-CN"/>
              </w:rPr>
              <w:t>t/a，</w:t>
            </w:r>
            <w:r>
              <w:rPr>
                <w:rFonts w:hint="eastAsia" w:ascii="Times New Roman" w:hAnsi="Times New Roman" w:eastAsia="宋体" w:cs="Times New Roman"/>
                <w:color w:val="auto"/>
                <w:szCs w:val="21"/>
                <w:lang w:val="en-US" w:eastAsia="zh-CN"/>
              </w:rPr>
              <w:t>切削液</w:t>
            </w:r>
            <w:r>
              <w:rPr>
                <w:rFonts w:hint="eastAsia" w:cs="Times New Roman"/>
                <w:color w:val="auto"/>
                <w:lang w:eastAsia="zh-CN"/>
              </w:rPr>
              <w:t>使用过程中会产生</w:t>
            </w:r>
            <w:r>
              <w:rPr>
                <w:rFonts w:ascii="Times New Roman" w:hAnsi="Times New Roman" w:eastAsia="宋体" w:cs="Times New Roman"/>
                <w:color w:val="auto"/>
              </w:rPr>
              <w:t>废</w:t>
            </w:r>
            <w:r>
              <w:rPr>
                <w:rFonts w:hint="eastAsia" w:ascii="Times New Roman" w:hAnsi="Times New Roman" w:eastAsia="宋体" w:cs="Times New Roman"/>
                <w:color w:val="auto"/>
                <w:lang w:eastAsia="zh-CN"/>
              </w:rPr>
              <w:t>包装桶</w:t>
            </w:r>
            <w:r>
              <w:rPr>
                <w:rFonts w:hint="eastAsia" w:cs="Times New Roman"/>
                <w:color w:val="auto"/>
                <w:lang w:eastAsia="zh-CN"/>
              </w:rPr>
              <w:t>，</w:t>
            </w:r>
            <w:r>
              <w:rPr>
                <w:rFonts w:hint="eastAsia" w:ascii="Times New Roman" w:hAnsi="Times New Roman" w:eastAsia="宋体" w:cs="Times New Roman"/>
                <w:color w:val="auto"/>
                <w:szCs w:val="21"/>
                <w:lang w:val="en-US" w:eastAsia="zh-CN"/>
              </w:rPr>
              <w:t>切削液</w:t>
            </w:r>
            <w:r>
              <w:rPr>
                <w:rFonts w:hint="eastAsia" w:cs="Times New Roman"/>
                <w:color w:val="auto"/>
                <w:lang w:eastAsia="zh-CN"/>
              </w:rPr>
              <w:t>桶</w:t>
            </w:r>
            <w:r>
              <w:rPr>
                <w:rFonts w:hint="eastAsia" w:cs="Times New Roman"/>
                <w:color w:val="auto"/>
                <w:lang w:val="en-US" w:eastAsia="zh-CN"/>
              </w:rPr>
              <w:t>5个</w:t>
            </w:r>
            <w:r>
              <w:rPr>
                <w:color w:val="auto"/>
                <w:szCs w:val="21"/>
              </w:rPr>
              <w:t>（单个桶约</w:t>
            </w:r>
            <w:r>
              <w:rPr>
                <w:rFonts w:hint="eastAsia"/>
                <w:color w:val="auto"/>
                <w:szCs w:val="21"/>
                <w:lang w:val="en-US" w:eastAsia="zh-CN"/>
              </w:rPr>
              <w:t>25</w:t>
            </w:r>
            <w:r>
              <w:rPr>
                <w:color w:val="auto"/>
                <w:szCs w:val="21"/>
              </w:rPr>
              <w:t>kg），产生废油桶约0.</w:t>
            </w:r>
            <w:r>
              <w:rPr>
                <w:rFonts w:hint="eastAsia"/>
                <w:color w:val="auto"/>
                <w:szCs w:val="21"/>
                <w:lang w:val="en-US" w:eastAsia="zh-CN"/>
              </w:rPr>
              <w:t>125</w:t>
            </w:r>
            <w:r>
              <w:rPr>
                <w:color w:val="auto"/>
                <w:szCs w:val="21"/>
              </w:rPr>
              <w:t>t/a，考虑桶内少量原料残余，则主要产生</w:t>
            </w:r>
            <w:r>
              <w:rPr>
                <w:rFonts w:ascii="Times New Roman" w:hAnsi="Times New Roman" w:eastAsia="宋体" w:cs="Times New Roman"/>
                <w:color w:val="auto"/>
              </w:rPr>
              <w:t>废</w:t>
            </w:r>
            <w:r>
              <w:rPr>
                <w:rFonts w:hint="eastAsia" w:ascii="Times New Roman" w:hAnsi="Times New Roman" w:eastAsia="宋体" w:cs="Times New Roman"/>
                <w:color w:val="auto"/>
                <w:lang w:eastAsia="zh-CN"/>
              </w:rPr>
              <w:t>包装桶</w:t>
            </w:r>
            <w:r>
              <w:rPr>
                <w:rFonts w:hint="eastAsia" w:cs="Times New Roman"/>
                <w:color w:val="auto"/>
                <w:lang w:eastAsia="zh-CN"/>
              </w:rPr>
              <w:t>约</w:t>
            </w:r>
            <w:r>
              <w:rPr>
                <w:rFonts w:ascii="Times New Roman" w:hAnsi="Times New Roman" w:eastAsia="宋体" w:cs="Times New Roman"/>
                <w:color w:val="auto"/>
              </w:rPr>
              <w:t>0.</w:t>
            </w:r>
            <w:r>
              <w:rPr>
                <w:rFonts w:hint="eastAsia" w:ascii="Times New Roman" w:hAnsi="Times New Roman" w:eastAsia="宋体" w:cs="Times New Roman"/>
                <w:color w:val="auto"/>
                <w:lang w:val="en-US" w:eastAsia="zh-CN"/>
              </w:rPr>
              <w:t>2</w:t>
            </w:r>
            <w:r>
              <w:rPr>
                <w:rFonts w:ascii="Times New Roman" w:hAnsi="Times New Roman" w:eastAsia="宋体" w:cs="Times New Roman"/>
                <w:color w:val="auto"/>
              </w:rPr>
              <w:t>t/a，属于危险废物，收集后交由有危废资质单位收集处置。</w:t>
            </w:r>
          </w:p>
          <w:p>
            <w:pPr>
              <w:spacing w:line="500" w:lineRule="exact"/>
              <w:ind w:firstLine="420" w:firstLineChars="20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⑤废润滑油：</w:t>
            </w:r>
            <w:r>
              <w:rPr>
                <w:color w:val="auto"/>
              </w:rPr>
              <w:t>本项目</w:t>
            </w:r>
            <w:r>
              <w:rPr>
                <w:rFonts w:hint="eastAsia" w:eastAsia="宋体"/>
                <w:color w:val="auto"/>
                <w:szCs w:val="21"/>
                <w:lang w:val="en-US" w:eastAsia="zh-CN"/>
              </w:rPr>
              <w:t>设备维护过程中产生</w:t>
            </w:r>
            <w:r>
              <w:rPr>
                <w:rFonts w:hint="eastAsia" w:ascii="Times New Roman" w:hAnsi="Times New Roman" w:eastAsia="宋体" w:cs="Times New Roman"/>
                <w:color w:val="auto"/>
                <w:szCs w:val="21"/>
                <w:lang w:val="en-US" w:eastAsia="zh-CN"/>
              </w:rPr>
              <w:t>废润滑油0.01</w:t>
            </w:r>
            <w:r>
              <w:rPr>
                <w:rFonts w:hint="eastAsia" w:eastAsia="宋体"/>
                <w:color w:val="auto"/>
                <w:szCs w:val="21"/>
                <w:lang w:val="en-US" w:eastAsia="zh-CN"/>
              </w:rPr>
              <w:t>t/a，</w:t>
            </w:r>
            <w:r>
              <w:rPr>
                <w:rFonts w:hint="eastAsia" w:ascii="Times New Roman" w:hAnsi="Times New Roman" w:eastAsia="宋体" w:cs="Times New Roman"/>
                <w:color w:val="auto"/>
                <w:szCs w:val="21"/>
                <w:lang w:val="en-US" w:eastAsia="zh-CN"/>
              </w:rPr>
              <w:t>润滑油</w:t>
            </w:r>
            <w:r>
              <w:rPr>
                <w:rFonts w:hint="eastAsia" w:cs="Times New Roman"/>
                <w:color w:val="auto"/>
                <w:lang w:eastAsia="zh-CN"/>
              </w:rPr>
              <w:t>使用过程中会产生</w:t>
            </w:r>
            <w:r>
              <w:rPr>
                <w:rFonts w:ascii="Times New Roman" w:hAnsi="Times New Roman" w:eastAsia="宋体" w:cs="Times New Roman"/>
                <w:color w:val="auto"/>
              </w:rPr>
              <w:t>废油桶</w:t>
            </w:r>
            <w:r>
              <w:rPr>
                <w:rFonts w:hint="eastAsia" w:cs="Times New Roman"/>
                <w:color w:val="auto"/>
                <w:lang w:eastAsia="zh-CN"/>
              </w:rPr>
              <w:t>，</w:t>
            </w:r>
            <w:r>
              <w:rPr>
                <w:rFonts w:hint="eastAsia" w:ascii="Times New Roman" w:hAnsi="Times New Roman" w:eastAsia="宋体" w:cs="Times New Roman"/>
                <w:color w:val="auto"/>
                <w:szCs w:val="21"/>
                <w:lang w:val="en-US" w:eastAsia="zh-CN"/>
              </w:rPr>
              <w:t>润滑油</w:t>
            </w:r>
            <w:r>
              <w:rPr>
                <w:rFonts w:hint="eastAsia" w:cs="Times New Roman"/>
                <w:color w:val="auto"/>
                <w:lang w:eastAsia="zh-CN"/>
              </w:rPr>
              <w:t>桶</w:t>
            </w:r>
            <w:r>
              <w:rPr>
                <w:rFonts w:hint="eastAsia" w:cs="Times New Roman"/>
                <w:color w:val="auto"/>
                <w:lang w:val="en-US" w:eastAsia="zh-CN"/>
              </w:rPr>
              <w:t>6个</w:t>
            </w:r>
            <w:r>
              <w:rPr>
                <w:color w:val="auto"/>
                <w:szCs w:val="21"/>
              </w:rPr>
              <w:t>（单个桶约</w:t>
            </w:r>
            <w:r>
              <w:rPr>
                <w:rFonts w:hint="eastAsia"/>
                <w:color w:val="auto"/>
                <w:szCs w:val="21"/>
                <w:lang w:val="en-US" w:eastAsia="zh-CN"/>
              </w:rPr>
              <w:t>25</w:t>
            </w:r>
            <w:r>
              <w:rPr>
                <w:color w:val="auto"/>
                <w:szCs w:val="21"/>
              </w:rPr>
              <w:t>kg），产生废油桶约0.</w:t>
            </w:r>
            <w:r>
              <w:rPr>
                <w:rFonts w:hint="eastAsia"/>
                <w:color w:val="auto"/>
                <w:szCs w:val="21"/>
                <w:lang w:val="en-US" w:eastAsia="zh-CN"/>
              </w:rPr>
              <w:t>15</w:t>
            </w:r>
            <w:r>
              <w:rPr>
                <w:color w:val="auto"/>
                <w:szCs w:val="21"/>
              </w:rPr>
              <w:t>t/a，考虑桶内少量原料残余，则主要产生废</w:t>
            </w:r>
            <w:r>
              <w:rPr>
                <w:rFonts w:hint="eastAsia"/>
                <w:color w:val="auto"/>
                <w:szCs w:val="21"/>
                <w:lang w:eastAsia="zh-CN"/>
              </w:rPr>
              <w:t>油</w:t>
            </w:r>
            <w:r>
              <w:rPr>
                <w:color w:val="auto"/>
                <w:szCs w:val="21"/>
              </w:rPr>
              <w:t>桶约0.</w:t>
            </w:r>
            <w:r>
              <w:rPr>
                <w:rFonts w:hint="eastAsia"/>
                <w:color w:val="auto"/>
                <w:szCs w:val="21"/>
                <w:lang w:val="en-US" w:eastAsia="zh-CN"/>
              </w:rPr>
              <w:t>2</w:t>
            </w:r>
            <w:r>
              <w:rPr>
                <w:color w:val="auto"/>
                <w:szCs w:val="21"/>
              </w:rPr>
              <w:t>t/a</w:t>
            </w:r>
            <w:r>
              <w:rPr>
                <w:rFonts w:ascii="Times New Roman" w:hAnsi="Times New Roman" w:eastAsia="宋体" w:cs="Times New Roman"/>
                <w:color w:val="auto"/>
              </w:rPr>
              <w:t>，属于危险废物，收集后交由有危废资质单位收集处置。</w:t>
            </w:r>
          </w:p>
          <w:p>
            <w:pPr>
              <w:spacing w:line="500" w:lineRule="exact"/>
              <w:ind w:firstLine="420" w:firstLineChars="200"/>
              <w:rPr>
                <w:color w:val="auto"/>
              </w:rPr>
            </w:pPr>
            <w:r>
              <w:rPr>
                <w:rFonts w:hint="eastAsia" w:ascii="Times New Roman" w:hAnsi="Times New Roman" w:eastAsia="宋体" w:cs="Times New Roman"/>
                <w:color w:val="auto"/>
                <w:szCs w:val="21"/>
                <w:lang w:val="en-US" w:eastAsia="zh-CN"/>
              </w:rPr>
              <w:t>⑥废乳化液：</w:t>
            </w:r>
            <w:r>
              <w:rPr>
                <w:color w:val="auto"/>
              </w:rPr>
              <w:t>本项目</w:t>
            </w:r>
            <w:r>
              <w:rPr>
                <w:rFonts w:hint="eastAsia" w:eastAsia="宋体"/>
                <w:color w:val="auto"/>
                <w:szCs w:val="21"/>
                <w:lang w:val="en-US" w:eastAsia="zh-CN"/>
              </w:rPr>
              <w:t>设备维护过程中产生</w:t>
            </w:r>
            <w:r>
              <w:rPr>
                <w:rFonts w:hint="eastAsia" w:ascii="Times New Roman" w:hAnsi="Times New Roman" w:eastAsia="宋体" w:cs="Times New Roman"/>
                <w:color w:val="auto"/>
                <w:szCs w:val="21"/>
                <w:lang w:val="en-US" w:eastAsia="zh-CN"/>
              </w:rPr>
              <w:t>废乳化液0.01</w:t>
            </w:r>
            <w:r>
              <w:rPr>
                <w:rFonts w:hint="eastAsia" w:eastAsia="宋体"/>
                <w:color w:val="auto"/>
                <w:szCs w:val="21"/>
                <w:lang w:val="en-US" w:eastAsia="zh-CN"/>
              </w:rPr>
              <w:t>t/a，</w:t>
            </w:r>
            <w:r>
              <w:rPr>
                <w:rFonts w:hint="eastAsia" w:ascii="Times New Roman" w:hAnsi="Times New Roman" w:eastAsia="宋体" w:cs="Times New Roman"/>
                <w:color w:val="auto"/>
                <w:szCs w:val="21"/>
                <w:lang w:val="en-US" w:eastAsia="zh-CN"/>
              </w:rPr>
              <w:t>乳化液</w:t>
            </w:r>
            <w:r>
              <w:rPr>
                <w:rFonts w:hint="eastAsia" w:cs="Times New Roman"/>
                <w:color w:val="auto"/>
                <w:lang w:eastAsia="zh-CN"/>
              </w:rPr>
              <w:t>使用过程中会产生</w:t>
            </w:r>
            <w:r>
              <w:rPr>
                <w:rFonts w:ascii="Times New Roman" w:hAnsi="Times New Roman" w:eastAsia="宋体" w:cs="Times New Roman"/>
                <w:color w:val="auto"/>
              </w:rPr>
              <w:t>废油桶</w:t>
            </w:r>
            <w:r>
              <w:rPr>
                <w:rFonts w:hint="eastAsia" w:cs="Times New Roman"/>
                <w:color w:val="auto"/>
                <w:lang w:eastAsia="zh-CN"/>
              </w:rPr>
              <w:t>，</w:t>
            </w:r>
            <w:r>
              <w:rPr>
                <w:rFonts w:hint="eastAsia" w:ascii="Times New Roman" w:hAnsi="Times New Roman" w:eastAsia="宋体" w:cs="Times New Roman"/>
                <w:color w:val="auto"/>
                <w:szCs w:val="21"/>
                <w:lang w:val="en-US" w:eastAsia="zh-CN"/>
              </w:rPr>
              <w:t>乳化液</w:t>
            </w:r>
            <w:r>
              <w:rPr>
                <w:rFonts w:hint="eastAsia" w:cs="Times New Roman"/>
                <w:color w:val="auto"/>
                <w:lang w:eastAsia="zh-CN"/>
              </w:rPr>
              <w:t>桶</w:t>
            </w:r>
            <w:r>
              <w:rPr>
                <w:rFonts w:hint="eastAsia" w:cs="Times New Roman"/>
                <w:color w:val="auto"/>
                <w:lang w:val="en-US" w:eastAsia="zh-CN"/>
              </w:rPr>
              <w:t>6个</w:t>
            </w:r>
            <w:r>
              <w:rPr>
                <w:color w:val="auto"/>
                <w:szCs w:val="21"/>
              </w:rPr>
              <w:t>（单个桶约</w:t>
            </w:r>
            <w:r>
              <w:rPr>
                <w:rFonts w:hint="eastAsia"/>
                <w:color w:val="auto"/>
                <w:szCs w:val="21"/>
                <w:lang w:val="en-US" w:eastAsia="zh-CN"/>
              </w:rPr>
              <w:t>25</w:t>
            </w:r>
            <w:r>
              <w:rPr>
                <w:color w:val="auto"/>
                <w:szCs w:val="21"/>
              </w:rPr>
              <w:t>kg），产生废油桶约0.</w:t>
            </w:r>
            <w:r>
              <w:rPr>
                <w:rFonts w:hint="eastAsia"/>
                <w:color w:val="auto"/>
                <w:szCs w:val="21"/>
                <w:lang w:val="en-US" w:eastAsia="zh-CN"/>
              </w:rPr>
              <w:t>15</w:t>
            </w:r>
            <w:r>
              <w:rPr>
                <w:color w:val="auto"/>
                <w:szCs w:val="21"/>
              </w:rPr>
              <w:t>t/a，考虑桶内少量原料残余，则主要产生废</w:t>
            </w:r>
            <w:r>
              <w:rPr>
                <w:rFonts w:hint="eastAsia"/>
                <w:color w:val="auto"/>
                <w:szCs w:val="21"/>
                <w:lang w:eastAsia="zh-CN"/>
              </w:rPr>
              <w:t>油</w:t>
            </w:r>
            <w:r>
              <w:rPr>
                <w:color w:val="auto"/>
                <w:szCs w:val="21"/>
              </w:rPr>
              <w:t>桶约0.</w:t>
            </w:r>
            <w:r>
              <w:rPr>
                <w:rFonts w:hint="eastAsia"/>
                <w:color w:val="auto"/>
                <w:szCs w:val="21"/>
                <w:lang w:val="en-US" w:eastAsia="zh-CN"/>
              </w:rPr>
              <w:t>2</w:t>
            </w:r>
            <w:r>
              <w:rPr>
                <w:color w:val="auto"/>
                <w:szCs w:val="21"/>
              </w:rPr>
              <w:t>t/a</w:t>
            </w:r>
            <w:r>
              <w:rPr>
                <w:rFonts w:ascii="Times New Roman" w:hAnsi="Times New Roman" w:eastAsia="宋体" w:cs="Times New Roman"/>
                <w:color w:val="auto"/>
              </w:rPr>
              <w:t>，属于危险废物，收集后交由有危废资质单位收集处置。</w:t>
            </w:r>
          </w:p>
          <w:p>
            <w:pPr>
              <w:spacing w:line="500" w:lineRule="exact"/>
              <w:ind w:firstLine="420" w:firstLineChars="200"/>
            </w:pPr>
            <w:r>
              <w:t>2、固体废物属性判定</w:t>
            </w:r>
          </w:p>
          <w:p>
            <w:pPr>
              <w:spacing w:line="500" w:lineRule="exact"/>
              <w:ind w:firstLine="420" w:firstLineChars="200"/>
            </w:pPr>
            <w:r>
              <w:t>根据《中华人民共和国固体废物污染环境防治法》、《固体废物鉴别标准通则》（GB34330-2017）的规定，判断建设项目生产过程中产生的副产物是否属于固体废物，判定依据及结果见表4-</w:t>
            </w:r>
            <w:r>
              <w:rPr>
                <w:rFonts w:hint="eastAsia"/>
                <w:lang w:val="en-US" w:eastAsia="zh-CN"/>
              </w:rPr>
              <w:t>21</w:t>
            </w:r>
            <w:r>
              <w:t>。</w:t>
            </w:r>
          </w:p>
          <w:p>
            <w:pPr>
              <w:widowControl/>
              <w:spacing w:line="360" w:lineRule="auto"/>
              <w:ind w:firstLine="422" w:firstLineChars="200"/>
              <w:jc w:val="center"/>
              <w:rPr>
                <w:b/>
                <w:bCs/>
              </w:rPr>
            </w:pPr>
            <w:r>
              <w:rPr>
                <w:b/>
                <w:bCs/>
              </w:rPr>
              <w:t>表4-</w:t>
            </w:r>
            <w:r>
              <w:rPr>
                <w:rFonts w:hint="eastAsia"/>
                <w:b/>
                <w:bCs/>
                <w:lang w:val="en-US" w:eastAsia="zh-CN"/>
              </w:rPr>
              <w:t>21</w:t>
            </w:r>
            <w:r>
              <w:rPr>
                <w:b/>
                <w:bCs/>
              </w:rPr>
              <w:t xml:space="preserve"> 本项目</w:t>
            </w:r>
            <w:r>
              <w:rPr>
                <w:rFonts w:hint="eastAsia"/>
                <w:b/>
                <w:bCs/>
                <w:lang w:eastAsia="zh-CN"/>
              </w:rPr>
              <w:t>固体废物</w:t>
            </w:r>
            <w:r>
              <w:rPr>
                <w:b/>
                <w:bCs/>
              </w:rPr>
              <w:t>产生情况汇总表</w:t>
            </w:r>
          </w:p>
          <w:tbl>
            <w:tblPr>
              <w:tblStyle w:val="22"/>
              <w:tblW w:w="7637"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3"/>
              <w:gridCol w:w="1029"/>
              <w:gridCol w:w="985"/>
              <w:gridCol w:w="820"/>
              <w:gridCol w:w="911"/>
              <w:gridCol w:w="944"/>
              <w:gridCol w:w="767"/>
              <w:gridCol w:w="823"/>
              <w:gridCol w:w="9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443" w:type="dxa"/>
                  <w:vMerge w:val="restart"/>
                  <w:tcBorders>
                    <w:tl2br w:val="nil"/>
                    <w:tr2bl w:val="nil"/>
                  </w:tcBorders>
                  <w:vAlign w:val="center"/>
                </w:tcPr>
                <w:p>
                  <w:pPr>
                    <w:jc w:val="center"/>
                    <w:rPr>
                      <w:sz w:val="18"/>
                      <w:szCs w:val="18"/>
                    </w:rPr>
                  </w:pPr>
                  <w:r>
                    <w:rPr>
                      <w:sz w:val="18"/>
                      <w:szCs w:val="18"/>
                    </w:rPr>
                    <w:t>序号</w:t>
                  </w:r>
                </w:p>
              </w:tc>
              <w:tc>
                <w:tcPr>
                  <w:tcW w:w="1029" w:type="dxa"/>
                  <w:vMerge w:val="restart"/>
                  <w:tcBorders>
                    <w:tl2br w:val="nil"/>
                    <w:tr2bl w:val="nil"/>
                  </w:tcBorders>
                  <w:vAlign w:val="center"/>
                </w:tcPr>
                <w:p>
                  <w:pPr>
                    <w:jc w:val="center"/>
                    <w:rPr>
                      <w:sz w:val="18"/>
                      <w:szCs w:val="18"/>
                    </w:rPr>
                  </w:pPr>
                  <w:r>
                    <w:rPr>
                      <w:sz w:val="18"/>
                      <w:szCs w:val="18"/>
                    </w:rPr>
                    <w:t>名称</w:t>
                  </w:r>
                </w:p>
              </w:tc>
              <w:tc>
                <w:tcPr>
                  <w:tcW w:w="985" w:type="dxa"/>
                  <w:vMerge w:val="restart"/>
                  <w:tcBorders>
                    <w:tl2br w:val="nil"/>
                    <w:tr2bl w:val="nil"/>
                  </w:tcBorders>
                  <w:vAlign w:val="center"/>
                </w:tcPr>
                <w:p>
                  <w:pPr>
                    <w:jc w:val="center"/>
                    <w:rPr>
                      <w:sz w:val="18"/>
                      <w:szCs w:val="18"/>
                    </w:rPr>
                  </w:pPr>
                  <w:r>
                    <w:rPr>
                      <w:sz w:val="18"/>
                      <w:szCs w:val="18"/>
                    </w:rPr>
                    <w:t>产生工序</w:t>
                  </w:r>
                </w:p>
              </w:tc>
              <w:tc>
                <w:tcPr>
                  <w:tcW w:w="820" w:type="dxa"/>
                  <w:vMerge w:val="restart"/>
                  <w:tcBorders>
                    <w:tl2br w:val="nil"/>
                    <w:tr2bl w:val="nil"/>
                  </w:tcBorders>
                  <w:vAlign w:val="center"/>
                </w:tcPr>
                <w:p>
                  <w:pPr>
                    <w:jc w:val="center"/>
                    <w:rPr>
                      <w:sz w:val="18"/>
                      <w:szCs w:val="18"/>
                    </w:rPr>
                  </w:pPr>
                  <w:r>
                    <w:rPr>
                      <w:sz w:val="18"/>
                      <w:szCs w:val="18"/>
                    </w:rPr>
                    <w:t>形态</w:t>
                  </w:r>
                </w:p>
              </w:tc>
              <w:tc>
                <w:tcPr>
                  <w:tcW w:w="911" w:type="dxa"/>
                  <w:vMerge w:val="restart"/>
                  <w:tcBorders>
                    <w:tl2br w:val="nil"/>
                    <w:tr2bl w:val="nil"/>
                  </w:tcBorders>
                  <w:vAlign w:val="center"/>
                </w:tcPr>
                <w:p>
                  <w:pPr>
                    <w:jc w:val="center"/>
                    <w:rPr>
                      <w:sz w:val="18"/>
                      <w:szCs w:val="18"/>
                    </w:rPr>
                  </w:pPr>
                  <w:r>
                    <w:rPr>
                      <w:sz w:val="18"/>
                      <w:szCs w:val="18"/>
                    </w:rPr>
                    <w:t>主要成分</w:t>
                  </w:r>
                </w:p>
              </w:tc>
              <w:tc>
                <w:tcPr>
                  <w:tcW w:w="944" w:type="dxa"/>
                  <w:vMerge w:val="restart"/>
                  <w:tcBorders>
                    <w:tl2br w:val="nil"/>
                    <w:tr2bl w:val="nil"/>
                  </w:tcBorders>
                  <w:vAlign w:val="center"/>
                </w:tcPr>
                <w:p>
                  <w:pPr>
                    <w:jc w:val="center"/>
                    <w:rPr>
                      <w:sz w:val="18"/>
                      <w:szCs w:val="18"/>
                    </w:rPr>
                  </w:pPr>
                  <w:r>
                    <w:rPr>
                      <w:sz w:val="18"/>
                      <w:szCs w:val="18"/>
                    </w:rPr>
                    <w:t>预测产生量（t/a）</w:t>
                  </w:r>
                </w:p>
              </w:tc>
              <w:tc>
                <w:tcPr>
                  <w:tcW w:w="2505" w:type="dxa"/>
                  <w:gridSpan w:val="3"/>
                  <w:tcBorders>
                    <w:tl2br w:val="nil"/>
                    <w:tr2bl w:val="nil"/>
                  </w:tcBorders>
                  <w:vAlign w:val="center"/>
                </w:tcPr>
                <w:p>
                  <w:pPr>
                    <w:jc w:val="center"/>
                    <w:rPr>
                      <w:sz w:val="18"/>
                      <w:szCs w:val="18"/>
                    </w:rPr>
                  </w:pPr>
                  <w:r>
                    <w:rPr>
                      <w:sz w:val="18"/>
                      <w:szCs w:val="18"/>
                    </w:rPr>
                    <w:t>种类判断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443" w:type="dxa"/>
                  <w:vMerge w:val="continue"/>
                  <w:tcBorders>
                    <w:tl2br w:val="nil"/>
                    <w:tr2bl w:val="nil"/>
                  </w:tcBorders>
                  <w:vAlign w:val="center"/>
                </w:tcPr>
                <w:p>
                  <w:pPr>
                    <w:jc w:val="center"/>
                  </w:pPr>
                </w:p>
              </w:tc>
              <w:tc>
                <w:tcPr>
                  <w:tcW w:w="1029" w:type="dxa"/>
                  <w:vMerge w:val="continue"/>
                  <w:tcBorders>
                    <w:tl2br w:val="nil"/>
                    <w:tr2bl w:val="nil"/>
                  </w:tcBorders>
                  <w:vAlign w:val="center"/>
                </w:tcPr>
                <w:p>
                  <w:pPr>
                    <w:jc w:val="center"/>
                  </w:pPr>
                </w:p>
              </w:tc>
              <w:tc>
                <w:tcPr>
                  <w:tcW w:w="985" w:type="dxa"/>
                  <w:vMerge w:val="continue"/>
                  <w:tcBorders>
                    <w:tl2br w:val="nil"/>
                    <w:tr2bl w:val="nil"/>
                  </w:tcBorders>
                  <w:vAlign w:val="center"/>
                </w:tcPr>
                <w:p>
                  <w:pPr>
                    <w:jc w:val="center"/>
                  </w:pPr>
                </w:p>
              </w:tc>
              <w:tc>
                <w:tcPr>
                  <w:tcW w:w="820" w:type="dxa"/>
                  <w:vMerge w:val="continue"/>
                  <w:tcBorders>
                    <w:tl2br w:val="nil"/>
                    <w:tr2bl w:val="nil"/>
                  </w:tcBorders>
                  <w:vAlign w:val="center"/>
                </w:tcPr>
                <w:p>
                  <w:pPr>
                    <w:jc w:val="center"/>
                  </w:pPr>
                </w:p>
              </w:tc>
              <w:tc>
                <w:tcPr>
                  <w:tcW w:w="911" w:type="dxa"/>
                  <w:vMerge w:val="continue"/>
                  <w:tcBorders>
                    <w:tl2br w:val="nil"/>
                    <w:tr2bl w:val="nil"/>
                  </w:tcBorders>
                  <w:vAlign w:val="center"/>
                </w:tcPr>
                <w:p>
                  <w:pPr>
                    <w:jc w:val="center"/>
                  </w:pPr>
                </w:p>
              </w:tc>
              <w:tc>
                <w:tcPr>
                  <w:tcW w:w="944" w:type="dxa"/>
                  <w:vMerge w:val="continue"/>
                  <w:tcBorders>
                    <w:tl2br w:val="nil"/>
                    <w:tr2bl w:val="nil"/>
                  </w:tcBorders>
                  <w:vAlign w:val="center"/>
                </w:tcPr>
                <w:p>
                  <w:pPr>
                    <w:jc w:val="center"/>
                  </w:pPr>
                </w:p>
              </w:tc>
              <w:tc>
                <w:tcPr>
                  <w:tcW w:w="767" w:type="dxa"/>
                  <w:tcBorders>
                    <w:tl2br w:val="nil"/>
                    <w:tr2bl w:val="nil"/>
                  </w:tcBorders>
                  <w:vAlign w:val="center"/>
                </w:tcPr>
                <w:p>
                  <w:pPr>
                    <w:jc w:val="center"/>
                    <w:rPr>
                      <w:sz w:val="18"/>
                      <w:szCs w:val="18"/>
                    </w:rPr>
                  </w:pPr>
                  <w:r>
                    <w:rPr>
                      <w:sz w:val="18"/>
                      <w:szCs w:val="18"/>
                    </w:rPr>
                    <w:t>固体废物</w:t>
                  </w:r>
                </w:p>
              </w:tc>
              <w:tc>
                <w:tcPr>
                  <w:tcW w:w="823" w:type="dxa"/>
                  <w:tcBorders>
                    <w:tl2br w:val="nil"/>
                    <w:tr2bl w:val="nil"/>
                  </w:tcBorders>
                  <w:vAlign w:val="center"/>
                </w:tcPr>
                <w:p>
                  <w:pPr>
                    <w:jc w:val="center"/>
                    <w:rPr>
                      <w:sz w:val="18"/>
                      <w:szCs w:val="18"/>
                    </w:rPr>
                  </w:pPr>
                  <w:r>
                    <w:rPr>
                      <w:sz w:val="18"/>
                      <w:szCs w:val="18"/>
                    </w:rPr>
                    <w:t>副产品</w:t>
                  </w:r>
                </w:p>
              </w:tc>
              <w:tc>
                <w:tcPr>
                  <w:tcW w:w="915" w:type="dxa"/>
                  <w:tcBorders>
                    <w:tl2br w:val="nil"/>
                    <w:tr2bl w:val="nil"/>
                  </w:tcBorders>
                  <w:vAlign w:val="center"/>
                </w:tcPr>
                <w:p>
                  <w:pPr>
                    <w:jc w:val="center"/>
                    <w:rPr>
                      <w:sz w:val="18"/>
                      <w:szCs w:val="18"/>
                    </w:rPr>
                  </w:pPr>
                  <w:r>
                    <w:rPr>
                      <w:sz w:val="18"/>
                      <w:szCs w:val="18"/>
                    </w:rPr>
                    <w:t>判定依据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443" w:type="dxa"/>
                  <w:tcBorders>
                    <w:tl2br w:val="nil"/>
                    <w:tr2bl w:val="nil"/>
                  </w:tcBorders>
                  <w:vAlign w:val="center"/>
                </w:tcPr>
                <w:p>
                  <w:pPr>
                    <w:jc w:val="center"/>
                    <w:rPr>
                      <w:sz w:val="18"/>
                      <w:szCs w:val="18"/>
                    </w:rPr>
                  </w:pPr>
                  <w:r>
                    <w:rPr>
                      <w:sz w:val="18"/>
                      <w:szCs w:val="18"/>
                    </w:rPr>
                    <w:t>1</w:t>
                  </w:r>
                </w:p>
              </w:tc>
              <w:tc>
                <w:tcPr>
                  <w:tcW w:w="1029" w:type="dxa"/>
                  <w:tcBorders>
                    <w:tl2br w:val="nil"/>
                    <w:tr2bl w:val="nil"/>
                  </w:tcBorders>
                  <w:vAlign w:val="center"/>
                </w:tcPr>
                <w:p>
                  <w:pPr>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废氧化皮</w:t>
                  </w:r>
                </w:p>
              </w:tc>
              <w:tc>
                <w:tcPr>
                  <w:tcW w:w="985" w:type="dxa"/>
                  <w:tcBorders>
                    <w:tl2br w:val="nil"/>
                    <w:tr2bl w:val="nil"/>
                  </w:tcBorders>
                  <w:vAlign w:val="center"/>
                </w:tcPr>
                <w:p>
                  <w:pPr>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锻造</w:t>
                  </w:r>
                </w:p>
              </w:tc>
              <w:tc>
                <w:tcPr>
                  <w:tcW w:w="820" w:type="dxa"/>
                  <w:tcBorders>
                    <w:tl2br w:val="nil"/>
                    <w:tr2bl w:val="nil"/>
                  </w:tcBorders>
                  <w:vAlign w:val="center"/>
                </w:tcPr>
                <w:p>
                  <w:pPr>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固态</w:t>
                  </w:r>
                </w:p>
              </w:tc>
              <w:tc>
                <w:tcPr>
                  <w:tcW w:w="911" w:type="dxa"/>
                  <w:tcBorders>
                    <w:tl2br w:val="nil"/>
                    <w:tr2bl w:val="nil"/>
                  </w:tcBorders>
                  <w:vAlign w:val="center"/>
                </w:tcPr>
                <w:p>
                  <w:pPr>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w:t>
                  </w:r>
                </w:p>
              </w:tc>
              <w:tc>
                <w:tcPr>
                  <w:tcW w:w="944" w:type="dxa"/>
                  <w:tcBorders>
                    <w:tl2br w:val="nil"/>
                    <w:tr2bl w:val="nil"/>
                  </w:tcBorders>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99.36</w:t>
                  </w:r>
                </w:p>
              </w:tc>
              <w:tc>
                <w:tcPr>
                  <w:tcW w:w="767" w:type="dxa"/>
                  <w:tcBorders>
                    <w:tl2br w:val="nil"/>
                    <w:tr2bl w:val="nil"/>
                  </w:tcBorders>
                  <w:vAlign w:val="center"/>
                </w:tcPr>
                <w:p>
                  <w:pPr>
                    <w:jc w:val="center"/>
                    <w:rPr>
                      <w:sz w:val="18"/>
                      <w:szCs w:val="18"/>
                    </w:rPr>
                  </w:pPr>
                  <w:r>
                    <w:rPr>
                      <w:sz w:val="18"/>
                      <w:szCs w:val="18"/>
                    </w:rPr>
                    <w:t>√</w:t>
                  </w:r>
                </w:p>
              </w:tc>
              <w:tc>
                <w:tcPr>
                  <w:tcW w:w="823" w:type="dxa"/>
                  <w:tcBorders>
                    <w:tl2br w:val="nil"/>
                    <w:tr2bl w:val="nil"/>
                  </w:tcBorders>
                  <w:vAlign w:val="center"/>
                </w:tcPr>
                <w:p>
                  <w:pPr>
                    <w:jc w:val="center"/>
                    <w:rPr>
                      <w:sz w:val="18"/>
                      <w:szCs w:val="18"/>
                    </w:rPr>
                  </w:pPr>
                  <w:r>
                    <w:rPr>
                      <w:sz w:val="18"/>
                      <w:szCs w:val="18"/>
                    </w:rPr>
                    <w:t>/</w:t>
                  </w:r>
                </w:p>
              </w:tc>
              <w:tc>
                <w:tcPr>
                  <w:tcW w:w="915" w:type="dxa"/>
                  <w:vMerge w:val="restart"/>
                  <w:tcBorders>
                    <w:tl2br w:val="nil"/>
                    <w:tr2bl w:val="nil"/>
                  </w:tcBorders>
                  <w:vAlign w:val="center"/>
                </w:tcPr>
                <w:p>
                  <w:pPr>
                    <w:widowControl/>
                    <w:jc w:val="center"/>
                    <w:rPr>
                      <w:sz w:val="18"/>
                      <w:szCs w:val="18"/>
                    </w:rPr>
                  </w:pPr>
                  <w:r>
                    <w:rPr>
                      <w:sz w:val="18"/>
                      <w:szCs w:val="18"/>
                    </w:rPr>
                    <w:t>《固体废物鉴别标准 通则》（GB34330-2017）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443" w:type="dxa"/>
                  <w:tcBorders>
                    <w:tl2br w:val="nil"/>
                    <w:tr2bl w:val="nil"/>
                  </w:tcBorders>
                  <w:vAlign w:val="center"/>
                </w:tcPr>
                <w:p>
                  <w:pPr>
                    <w:jc w:val="center"/>
                    <w:rPr>
                      <w:sz w:val="18"/>
                      <w:szCs w:val="18"/>
                    </w:rPr>
                  </w:pPr>
                  <w:r>
                    <w:rPr>
                      <w:sz w:val="18"/>
                      <w:szCs w:val="18"/>
                    </w:rPr>
                    <w:t>2</w:t>
                  </w:r>
                </w:p>
              </w:tc>
              <w:tc>
                <w:tcPr>
                  <w:tcW w:w="1029" w:type="dxa"/>
                  <w:tcBorders>
                    <w:tl2br w:val="nil"/>
                    <w:tr2bl w:val="nil"/>
                  </w:tcBorders>
                  <w:shd w:val="clear" w:color="auto" w:fill="auto"/>
                  <w:vAlign w:val="center"/>
                </w:tcPr>
                <w:p>
                  <w:pPr>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废边角料</w:t>
                  </w:r>
                </w:p>
              </w:tc>
              <w:tc>
                <w:tcPr>
                  <w:tcW w:w="985" w:type="dxa"/>
                  <w:tcBorders>
                    <w:tl2br w:val="nil"/>
                    <w:tr2bl w:val="nil"/>
                  </w:tcBorders>
                  <w:shd w:val="clear" w:color="auto" w:fill="auto"/>
                  <w:vAlign w:val="center"/>
                </w:tcPr>
                <w:p>
                  <w:pPr>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锻造</w:t>
                  </w:r>
                </w:p>
              </w:tc>
              <w:tc>
                <w:tcPr>
                  <w:tcW w:w="820" w:type="dxa"/>
                  <w:tcBorders>
                    <w:tl2br w:val="nil"/>
                    <w:tr2bl w:val="nil"/>
                  </w:tcBorders>
                  <w:shd w:val="clear" w:color="auto" w:fill="auto"/>
                  <w:vAlign w:val="center"/>
                </w:tcPr>
                <w:p>
                  <w:pPr>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固态</w:t>
                  </w:r>
                </w:p>
              </w:tc>
              <w:tc>
                <w:tcPr>
                  <w:tcW w:w="911" w:type="dxa"/>
                  <w:tcBorders>
                    <w:tl2br w:val="nil"/>
                    <w:tr2bl w:val="nil"/>
                  </w:tcBorders>
                  <w:shd w:val="clear" w:color="auto" w:fill="auto"/>
                  <w:vAlign w:val="center"/>
                </w:tcPr>
                <w:p>
                  <w:pPr>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w:t>
                  </w:r>
                </w:p>
              </w:tc>
              <w:tc>
                <w:tcPr>
                  <w:tcW w:w="944" w:type="dxa"/>
                  <w:tcBorders>
                    <w:tl2br w:val="nil"/>
                    <w:tr2bl w:val="nil"/>
                  </w:tcBorders>
                  <w:shd w:val="clear" w:color="auto" w:fill="auto"/>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99.36</w:t>
                  </w:r>
                </w:p>
              </w:tc>
              <w:tc>
                <w:tcPr>
                  <w:tcW w:w="767" w:type="dxa"/>
                  <w:tcBorders>
                    <w:tl2br w:val="nil"/>
                    <w:tr2bl w:val="nil"/>
                  </w:tcBorders>
                  <w:shd w:val="clear" w:color="auto" w:fill="auto"/>
                  <w:vAlign w:val="center"/>
                </w:tcPr>
                <w:p>
                  <w:pPr>
                    <w:jc w:val="center"/>
                    <w:rPr>
                      <w:rFonts w:ascii="Times New Roman" w:hAnsi="Times New Roman" w:eastAsia="宋体" w:cs="Times New Roman"/>
                      <w:kern w:val="2"/>
                      <w:sz w:val="18"/>
                      <w:szCs w:val="18"/>
                      <w:lang w:val="en-US" w:eastAsia="zh-CN" w:bidi="ar-SA"/>
                    </w:rPr>
                  </w:pPr>
                  <w:r>
                    <w:rPr>
                      <w:sz w:val="18"/>
                      <w:szCs w:val="18"/>
                    </w:rPr>
                    <w:t>√</w:t>
                  </w:r>
                </w:p>
              </w:tc>
              <w:tc>
                <w:tcPr>
                  <w:tcW w:w="823" w:type="dxa"/>
                  <w:tcBorders>
                    <w:tl2br w:val="nil"/>
                    <w:tr2bl w:val="nil"/>
                  </w:tcBorders>
                  <w:shd w:val="clear" w:color="auto" w:fill="auto"/>
                  <w:vAlign w:val="center"/>
                </w:tcPr>
                <w:p>
                  <w:pPr>
                    <w:jc w:val="center"/>
                    <w:rPr>
                      <w:rFonts w:ascii="Times New Roman" w:hAnsi="Times New Roman" w:eastAsia="宋体" w:cs="Times New Roman"/>
                      <w:kern w:val="2"/>
                      <w:sz w:val="18"/>
                      <w:szCs w:val="18"/>
                      <w:lang w:val="en-US" w:eastAsia="zh-CN" w:bidi="ar-SA"/>
                    </w:rPr>
                  </w:pPr>
                  <w:r>
                    <w:rPr>
                      <w:sz w:val="18"/>
                      <w:szCs w:val="18"/>
                    </w:rPr>
                    <w:t>/</w:t>
                  </w:r>
                </w:p>
              </w:tc>
              <w:tc>
                <w:tcPr>
                  <w:tcW w:w="915" w:type="dxa"/>
                  <w:vMerge w:val="continue"/>
                  <w:tcBorders>
                    <w:tl2br w:val="nil"/>
                    <w:tr2bl w:val="nil"/>
                  </w:tcBorders>
                  <w:vAlign w:val="center"/>
                </w:tcPr>
                <w:p>
                  <w:pPr>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443" w:type="dxa"/>
                  <w:tcBorders>
                    <w:tl2br w:val="nil"/>
                    <w:tr2bl w:val="nil"/>
                  </w:tcBorders>
                  <w:shd w:val="clear" w:color="auto" w:fill="auto"/>
                  <w:vAlign w:val="center"/>
                </w:tcPr>
                <w:p>
                  <w:pPr>
                    <w:jc w:val="center"/>
                    <w:rPr>
                      <w:rFonts w:ascii="Times New Roman" w:hAnsi="Times New Roman" w:eastAsia="宋体" w:cs="Times New Roman"/>
                      <w:kern w:val="2"/>
                      <w:sz w:val="18"/>
                      <w:szCs w:val="18"/>
                      <w:lang w:val="en-US" w:eastAsia="zh-CN" w:bidi="ar-SA"/>
                    </w:rPr>
                  </w:pPr>
                  <w:r>
                    <w:rPr>
                      <w:sz w:val="18"/>
                      <w:szCs w:val="18"/>
                    </w:rPr>
                    <w:t>3</w:t>
                  </w:r>
                </w:p>
              </w:tc>
              <w:tc>
                <w:tcPr>
                  <w:tcW w:w="1029" w:type="dxa"/>
                  <w:tcBorders>
                    <w:tl2br w:val="nil"/>
                    <w:tr2bl w:val="nil"/>
                  </w:tcBorders>
                  <w:shd w:val="clear" w:color="auto" w:fill="auto"/>
                  <w:vAlign w:val="center"/>
                </w:tcPr>
                <w:p>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沉渣</w:t>
                  </w:r>
                </w:p>
              </w:tc>
              <w:tc>
                <w:tcPr>
                  <w:tcW w:w="985" w:type="dxa"/>
                  <w:tcBorders>
                    <w:tl2br w:val="nil"/>
                    <w:tr2bl w:val="nil"/>
                  </w:tcBorders>
                  <w:shd w:val="clear" w:color="auto" w:fill="auto"/>
                  <w:vAlign w:val="center"/>
                </w:tcPr>
                <w:p>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热处理</w:t>
                  </w:r>
                </w:p>
              </w:tc>
              <w:tc>
                <w:tcPr>
                  <w:tcW w:w="820" w:type="dxa"/>
                  <w:tcBorders>
                    <w:tl2br w:val="nil"/>
                    <w:tr2bl w:val="nil"/>
                  </w:tcBorders>
                  <w:shd w:val="clear" w:color="auto" w:fill="auto"/>
                  <w:vAlign w:val="center"/>
                </w:tcPr>
                <w:p>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固态</w:t>
                  </w:r>
                </w:p>
              </w:tc>
              <w:tc>
                <w:tcPr>
                  <w:tcW w:w="911" w:type="dxa"/>
                  <w:tcBorders>
                    <w:tl2br w:val="nil"/>
                    <w:tr2bl w:val="nil"/>
                  </w:tcBorders>
                  <w:shd w:val="clear" w:color="auto" w:fill="auto"/>
                  <w:vAlign w:val="center"/>
                </w:tcPr>
                <w:p>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w:t>
                  </w:r>
                </w:p>
              </w:tc>
              <w:tc>
                <w:tcPr>
                  <w:tcW w:w="944" w:type="dxa"/>
                  <w:tcBorders>
                    <w:tl2br w:val="nil"/>
                    <w:tr2bl w:val="nil"/>
                  </w:tcBorders>
                  <w:shd w:val="clear" w:color="auto" w:fill="auto"/>
                  <w:vAlign w:val="center"/>
                </w:tcPr>
                <w:p>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99.36</w:t>
                  </w:r>
                </w:p>
              </w:tc>
              <w:tc>
                <w:tcPr>
                  <w:tcW w:w="767" w:type="dxa"/>
                  <w:tcBorders>
                    <w:tl2br w:val="nil"/>
                    <w:tr2bl w:val="nil"/>
                  </w:tcBorders>
                  <w:shd w:val="clear" w:color="auto" w:fill="auto"/>
                  <w:vAlign w:val="center"/>
                </w:tcPr>
                <w:p>
                  <w:pPr>
                    <w:jc w:val="center"/>
                    <w:rPr>
                      <w:sz w:val="18"/>
                      <w:szCs w:val="18"/>
                    </w:rPr>
                  </w:pPr>
                  <w:r>
                    <w:rPr>
                      <w:sz w:val="18"/>
                      <w:szCs w:val="18"/>
                    </w:rPr>
                    <w:t>√</w:t>
                  </w:r>
                </w:p>
              </w:tc>
              <w:tc>
                <w:tcPr>
                  <w:tcW w:w="823" w:type="dxa"/>
                  <w:tcBorders>
                    <w:tl2br w:val="nil"/>
                    <w:tr2bl w:val="nil"/>
                  </w:tcBorders>
                  <w:shd w:val="clear" w:color="auto" w:fill="auto"/>
                  <w:vAlign w:val="center"/>
                </w:tcPr>
                <w:p>
                  <w:pPr>
                    <w:jc w:val="center"/>
                    <w:rPr>
                      <w:sz w:val="18"/>
                      <w:szCs w:val="18"/>
                    </w:rPr>
                  </w:pPr>
                  <w:r>
                    <w:rPr>
                      <w:sz w:val="18"/>
                      <w:szCs w:val="18"/>
                    </w:rPr>
                    <w:t>/</w:t>
                  </w:r>
                </w:p>
              </w:tc>
              <w:tc>
                <w:tcPr>
                  <w:tcW w:w="915" w:type="dxa"/>
                  <w:vMerge w:val="continue"/>
                  <w:tcBorders>
                    <w:tl2br w:val="nil"/>
                    <w:tr2bl w:val="nil"/>
                  </w:tcBorders>
                  <w:vAlign w:val="center"/>
                </w:tcPr>
                <w:p>
                  <w:pPr>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443" w:type="dxa"/>
                  <w:tcBorders>
                    <w:tl2br w:val="nil"/>
                    <w:tr2bl w:val="nil"/>
                  </w:tcBorders>
                  <w:shd w:val="clear" w:color="auto" w:fill="auto"/>
                  <w:vAlign w:val="center"/>
                </w:tcPr>
                <w:p>
                  <w:pPr>
                    <w:jc w:val="center"/>
                    <w:rPr>
                      <w:rFonts w:ascii="Times New Roman" w:hAnsi="Times New Roman" w:eastAsia="宋体" w:cs="Times New Roman"/>
                      <w:kern w:val="2"/>
                      <w:sz w:val="18"/>
                      <w:szCs w:val="18"/>
                      <w:lang w:val="en-US" w:eastAsia="zh-CN" w:bidi="ar-SA"/>
                    </w:rPr>
                  </w:pPr>
                  <w:r>
                    <w:rPr>
                      <w:sz w:val="18"/>
                      <w:szCs w:val="18"/>
                    </w:rPr>
                    <w:t>4</w:t>
                  </w:r>
                </w:p>
              </w:tc>
              <w:tc>
                <w:tcPr>
                  <w:tcW w:w="1029" w:type="dxa"/>
                  <w:tcBorders>
                    <w:tl2br w:val="nil"/>
                    <w:tr2bl w:val="nil"/>
                  </w:tcBorders>
                  <w:shd w:val="clear" w:color="auto" w:fill="auto"/>
                  <w:vAlign w:val="center"/>
                </w:tcPr>
                <w:p>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除尘灰</w:t>
                  </w:r>
                </w:p>
              </w:tc>
              <w:tc>
                <w:tcPr>
                  <w:tcW w:w="985" w:type="dxa"/>
                  <w:tcBorders>
                    <w:tl2br w:val="nil"/>
                    <w:tr2bl w:val="nil"/>
                  </w:tcBorders>
                  <w:shd w:val="clear" w:color="auto" w:fill="auto"/>
                  <w:vAlign w:val="center"/>
                </w:tcPr>
                <w:p>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机加工</w:t>
                  </w:r>
                </w:p>
              </w:tc>
              <w:tc>
                <w:tcPr>
                  <w:tcW w:w="820" w:type="dxa"/>
                  <w:tcBorders>
                    <w:tl2br w:val="nil"/>
                    <w:tr2bl w:val="nil"/>
                  </w:tcBorders>
                  <w:shd w:val="clear" w:color="auto" w:fill="auto"/>
                  <w:vAlign w:val="center"/>
                </w:tcPr>
                <w:p>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固态</w:t>
                  </w:r>
                </w:p>
              </w:tc>
              <w:tc>
                <w:tcPr>
                  <w:tcW w:w="911" w:type="dxa"/>
                  <w:tcBorders>
                    <w:tl2br w:val="nil"/>
                    <w:tr2bl w:val="nil"/>
                  </w:tcBorders>
                  <w:shd w:val="clear" w:color="auto" w:fill="auto"/>
                  <w:vAlign w:val="center"/>
                </w:tcPr>
                <w:p>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w:t>
                  </w:r>
                </w:p>
              </w:tc>
              <w:tc>
                <w:tcPr>
                  <w:tcW w:w="944" w:type="dxa"/>
                  <w:tcBorders>
                    <w:tl2br w:val="nil"/>
                    <w:tr2bl w:val="nil"/>
                  </w:tcBorders>
                  <w:shd w:val="clear" w:color="auto" w:fill="auto"/>
                  <w:vAlign w:val="center"/>
                </w:tcPr>
                <w:p>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25.8124</w:t>
                  </w:r>
                </w:p>
              </w:tc>
              <w:tc>
                <w:tcPr>
                  <w:tcW w:w="767" w:type="dxa"/>
                  <w:tcBorders>
                    <w:tl2br w:val="nil"/>
                    <w:tr2bl w:val="nil"/>
                  </w:tcBorders>
                  <w:shd w:val="clear" w:color="auto" w:fill="auto"/>
                  <w:vAlign w:val="center"/>
                </w:tcPr>
                <w:p>
                  <w:pPr>
                    <w:jc w:val="center"/>
                    <w:rPr>
                      <w:sz w:val="18"/>
                      <w:szCs w:val="18"/>
                    </w:rPr>
                  </w:pPr>
                  <w:r>
                    <w:rPr>
                      <w:sz w:val="18"/>
                      <w:szCs w:val="18"/>
                    </w:rPr>
                    <w:t>√</w:t>
                  </w:r>
                </w:p>
              </w:tc>
              <w:tc>
                <w:tcPr>
                  <w:tcW w:w="823" w:type="dxa"/>
                  <w:tcBorders>
                    <w:tl2br w:val="nil"/>
                    <w:tr2bl w:val="nil"/>
                  </w:tcBorders>
                  <w:shd w:val="clear" w:color="auto" w:fill="auto"/>
                  <w:vAlign w:val="center"/>
                </w:tcPr>
                <w:p>
                  <w:pPr>
                    <w:jc w:val="center"/>
                    <w:rPr>
                      <w:sz w:val="18"/>
                      <w:szCs w:val="18"/>
                    </w:rPr>
                  </w:pPr>
                  <w:r>
                    <w:rPr>
                      <w:sz w:val="18"/>
                      <w:szCs w:val="18"/>
                    </w:rPr>
                    <w:t>/</w:t>
                  </w:r>
                </w:p>
              </w:tc>
              <w:tc>
                <w:tcPr>
                  <w:tcW w:w="915" w:type="dxa"/>
                  <w:vMerge w:val="continue"/>
                  <w:tcBorders>
                    <w:tl2br w:val="nil"/>
                    <w:tr2bl w:val="nil"/>
                  </w:tcBorders>
                  <w:vAlign w:val="center"/>
                </w:tcPr>
                <w:p>
                  <w:pPr>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443" w:type="dxa"/>
                  <w:tcBorders>
                    <w:tl2br w:val="nil"/>
                    <w:tr2bl w:val="nil"/>
                  </w:tcBorders>
                  <w:shd w:val="clear" w:color="auto" w:fill="auto"/>
                  <w:vAlign w:val="center"/>
                </w:tcPr>
                <w:p>
                  <w:pPr>
                    <w:jc w:val="center"/>
                    <w:rPr>
                      <w:rFonts w:ascii="Times New Roman" w:hAnsi="Times New Roman" w:eastAsia="宋体" w:cs="Times New Roman"/>
                      <w:kern w:val="2"/>
                      <w:sz w:val="18"/>
                      <w:szCs w:val="18"/>
                      <w:lang w:val="en-US" w:eastAsia="zh-CN" w:bidi="ar-SA"/>
                    </w:rPr>
                  </w:pPr>
                  <w:r>
                    <w:rPr>
                      <w:sz w:val="18"/>
                      <w:szCs w:val="18"/>
                    </w:rPr>
                    <w:t>5</w:t>
                  </w:r>
                </w:p>
              </w:tc>
              <w:tc>
                <w:tcPr>
                  <w:tcW w:w="1029" w:type="dxa"/>
                  <w:tcBorders>
                    <w:tl2br w:val="nil"/>
                    <w:tr2bl w:val="nil"/>
                  </w:tcBorders>
                  <w:shd w:val="clear" w:color="auto" w:fill="auto"/>
                  <w:vAlign w:val="center"/>
                </w:tcPr>
                <w:p>
                  <w:pPr>
                    <w:jc w:val="center"/>
                    <w:rPr>
                      <w:rFonts w:ascii="Times New Roman" w:hAnsi="Times New Roman" w:eastAsia="宋体" w:cs="Times New Roman"/>
                      <w:kern w:val="2"/>
                      <w:sz w:val="18"/>
                      <w:szCs w:val="18"/>
                      <w:lang w:val="en-US" w:eastAsia="zh-CN" w:bidi="ar-SA"/>
                    </w:rPr>
                  </w:pPr>
                  <w:r>
                    <w:rPr>
                      <w:sz w:val="18"/>
                      <w:szCs w:val="18"/>
                    </w:rPr>
                    <w:t>废机油</w:t>
                  </w:r>
                </w:p>
              </w:tc>
              <w:tc>
                <w:tcPr>
                  <w:tcW w:w="985" w:type="dxa"/>
                  <w:tcBorders>
                    <w:tl2br w:val="nil"/>
                    <w:tr2bl w:val="nil"/>
                  </w:tcBorders>
                  <w:shd w:val="clear" w:color="auto" w:fill="auto"/>
                  <w:vAlign w:val="center"/>
                </w:tcPr>
                <w:p>
                  <w:pPr>
                    <w:jc w:val="center"/>
                    <w:rPr>
                      <w:rFonts w:ascii="Times New Roman" w:hAnsi="Times New Roman" w:eastAsia="宋体" w:cs="Times New Roman"/>
                      <w:kern w:val="2"/>
                      <w:sz w:val="18"/>
                      <w:szCs w:val="18"/>
                      <w:lang w:val="en-US" w:eastAsia="zh-CN" w:bidi="ar-SA"/>
                    </w:rPr>
                  </w:pPr>
                  <w:r>
                    <w:rPr>
                      <w:sz w:val="18"/>
                      <w:szCs w:val="18"/>
                    </w:rPr>
                    <w:t>设备保养</w:t>
                  </w:r>
                </w:p>
              </w:tc>
              <w:tc>
                <w:tcPr>
                  <w:tcW w:w="820" w:type="dxa"/>
                  <w:tcBorders>
                    <w:tl2br w:val="nil"/>
                    <w:tr2bl w:val="nil"/>
                  </w:tcBorders>
                  <w:shd w:val="clear" w:color="auto" w:fill="auto"/>
                  <w:vAlign w:val="center"/>
                </w:tcPr>
                <w:p>
                  <w:pPr>
                    <w:jc w:val="center"/>
                    <w:rPr>
                      <w:rFonts w:ascii="Times New Roman" w:hAnsi="Times New Roman" w:eastAsia="宋体" w:cs="Times New Roman"/>
                      <w:kern w:val="2"/>
                      <w:sz w:val="18"/>
                      <w:szCs w:val="18"/>
                      <w:lang w:val="en-US" w:eastAsia="zh-CN" w:bidi="ar-SA"/>
                    </w:rPr>
                  </w:pPr>
                  <w:r>
                    <w:rPr>
                      <w:sz w:val="18"/>
                      <w:szCs w:val="18"/>
                    </w:rPr>
                    <w:t>液态</w:t>
                  </w:r>
                </w:p>
              </w:tc>
              <w:tc>
                <w:tcPr>
                  <w:tcW w:w="911" w:type="dxa"/>
                  <w:tcBorders>
                    <w:tl2br w:val="nil"/>
                    <w:tr2bl w:val="nil"/>
                  </w:tcBorders>
                  <w:shd w:val="clear" w:color="auto" w:fill="auto"/>
                  <w:vAlign w:val="center"/>
                </w:tcPr>
                <w:p>
                  <w:pPr>
                    <w:jc w:val="center"/>
                    <w:rPr>
                      <w:rFonts w:ascii="Times New Roman" w:hAnsi="Times New Roman" w:eastAsia="宋体" w:cs="Times New Roman"/>
                      <w:kern w:val="2"/>
                      <w:sz w:val="18"/>
                      <w:szCs w:val="18"/>
                      <w:lang w:val="en-US" w:eastAsia="zh-CN" w:bidi="ar-SA"/>
                    </w:rPr>
                  </w:pPr>
                  <w:r>
                    <w:rPr>
                      <w:sz w:val="18"/>
                      <w:szCs w:val="18"/>
                    </w:rPr>
                    <w:t>矿物油</w:t>
                  </w:r>
                </w:p>
              </w:tc>
              <w:tc>
                <w:tcPr>
                  <w:tcW w:w="944" w:type="dxa"/>
                  <w:tcBorders>
                    <w:tl2br w:val="nil"/>
                    <w:tr2bl w:val="nil"/>
                  </w:tcBorders>
                  <w:shd w:val="clear" w:color="auto" w:fill="auto"/>
                  <w:vAlign w:val="center"/>
                </w:tcPr>
                <w:p>
                  <w:pPr>
                    <w:jc w:val="center"/>
                    <w:rPr>
                      <w:rFonts w:hint="eastAsia" w:ascii="Times New Roman" w:hAnsi="Times New Roman" w:eastAsia="宋体" w:cs="Times New Roman"/>
                      <w:kern w:val="2"/>
                      <w:sz w:val="18"/>
                      <w:szCs w:val="18"/>
                      <w:lang w:val="en-US" w:eastAsia="zh-CN" w:bidi="ar-SA"/>
                    </w:rPr>
                  </w:pPr>
                  <w:r>
                    <w:rPr>
                      <w:sz w:val="18"/>
                      <w:szCs w:val="18"/>
                    </w:rPr>
                    <w:t>0.</w:t>
                  </w:r>
                  <w:r>
                    <w:rPr>
                      <w:rFonts w:hint="eastAsia"/>
                      <w:sz w:val="18"/>
                      <w:szCs w:val="18"/>
                      <w:lang w:val="en-US" w:eastAsia="zh-CN"/>
                    </w:rPr>
                    <w:t>1</w:t>
                  </w:r>
                </w:p>
              </w:tc>
              <w:tc>
                <w:tcPr>
                  <w:tcW w:w="767" w:type="dxa"/>
                  <w:tcBorders>
                    <w:tl2br w:val="nil"/>
                    <w:tr2bl w:val="nil"/>
                  </w:tcBorders>
                  <w:shd w:val="clear" w:color="auto" w:fill="auto"/>
                  <w:vAlign w:val="center"/>
                </w:tcPr>
                <w:p>
                  <w:pPr>
                    <w:jc w:val="center"/>
                    <w:rPr>
                      <w:rFonts w:ascii="Times New Roman" w:hAnsi="Times New Roman" w:eastAsia="宋体" w:cs="Times New Roman"/>
                      <w:kern w:val="2"/>
                      <w:sz w:val="18"/>
                      <w:szCs w:val="18"/>
                      <w:lang w:val="en-US" w:eastAsia="zh-CN" w:bidi="ar-SA"/>
                    </w:rPr>
                  </w:pPr>
                  <w:r>
                    <w:rPr>
                      <w:sz w:val="18"/>
                      <w:szCs w:val="18"/>
                    </w:rPr>
                    <w:t>√</w:t>
                  </w:r>
                </w:p>
              </w:tc>
              <w:tc>
                <w:tcPr>
                  <w:tcW w:w="823" w:type="dxa"/>
                  <w:tcBorders>
                    <w:tl2br w:val="nil"/>
                    <w:tr2bl w:val="nil"/>
                  </w:tcBorders>
                  <w:shd w:val="clear" w:color="auto" w:fill="auto"/>
                  <w:vAlign w:val="center"/>
                </w:tcPr>
                <w:p>
                  <w:pPr>
                    <w:jc w:val="center"/>
                    <w:rPr>
                      <w:rFonts w:ascii="Times New Roman" w:hAnsi="Times New Roman" w:eastAsia="宋体" w:cs="Times New Roman"/>
                      <w:kern w:val="2"/>
                      <w:sz w:val="18"/>
                      <w:szCs w:val="18"/>
                      <w:lang w:val="en-US" w:eastAsia="zh-CN" w:bidi="ar-SA"/>
                    </w:rPr>
                  </w:pPr>
                  <w:r>
                    <w:rPr>
                      <w:sz w:val="18"/>
                      <w:szCs w:val="18"/>
                    </w:rPr>
                    <w:t>/</w:t>
                  </w:r>
                </w:p>
              </w:tc>
              <w:tc>
                <w:tcPr>
                  <w:tcW w:w="915" w:type="dxa"/>
                  <w:vMerge w:val="continue"/>
                  <w:tcBorders>
                    <w:tl2br w:val="nil"/>
                    <w:tr2bl w:val="nil"/>
                  </w:tcBorders>
                  <w:vAlign w:val="center"/>
                </w:tcPr>
                <w:p>
                  <w:pPr>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443" w:type="dxa"/>
                  <w:tcBorders>
                    <w:tl2br w:val="nil"/>
                    <w:tr2bl w:val="nil"/>
                  </w:tcBorders>
                  <w:shd w:val="clear" w:color="auto" w:fill="auto"/>
                  <w:vAlign w:val="center"/>
                </w:tcPr>
                <w:p>
                  <w:pPr>
                    <w:jc w:val="center"/>
                    <w:rPr>
                      <w:rFonts w:hint="eastAsia" w:ascii="Times New Roman" w:hAnsi="Times New Roman" w:eastAsia="宋体" w:cs="Times New Roman"/>
                      <w:kern w:val="2"/>
                      <w:sz w:val="18"/>
                      <w:szCs w:val="18"/>
                      <w:lang w:val="en-US" w:eastAsia="zh-CN" w:bidi="ar-SA"/>
                    </w:rPr>
                  </w:pPr>
                  <w:r>
                    <w:rPr>
                      <w:rFonts w:hint="eastAsia"/>
                      <w:sz w:val="18"/>
                      <w:szCs w:val="18"/>
                      <w:lang w:val="en-US" w:eastAsia="zh-CN"/>
                    </w:rPr>
                    <w:t>6</w:t>
                  </w:r>
                </w:p>
              </w:tc>
              <w:tc>
                <w:tcPr>
                  <w:tcW w:w="1029" w:type="dxa"/>
                  <w:tcBorders>
                    <w:tl2br w:val="nil"/>
                    <w:tr2bl w:val="nil"/>
                  </w:tcBorders>
                  <w:shd w:val="clear" w:color="auto" w:fill="auto"/>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废</w:t>
                  </w:r>
                  <w:r>
                    <w:rPr>
                      <w:rFonts w:hint="eastAsia" w:ascii="Times New Roman" w:hAnsi="Times New Roman" w:eastAsia="宋体" w:cs="Times New Roman"/>
                      <w:sz w:val="18"/>
                      <w:szCs w:val="18"/>
                      <w:lang w:eastAsia="zh-CN"/>
                    </w:rPr>
                    <w:t>液压油</w:t>
                  </w:r>
                </w:p>
              </w:tc>
              <w:tc>
                <w:tcPr>
                  <w:tcW w:w="985" w:type="dxa"/>
                  <w:tcBorders>
                    <w:tl2br w:val="nil"/>
                    <w:tr2bl w:val="nil"/>
                  </w:tcBorders>
                  <w:shd w:val="clear" w:color="auto" w:fill="auto"/>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设备保养</w:t>
                  </w:r>
                </w:p>
              </w:tc>
              <w:tc>
                <w:tcPr>
                  <w:tcW w:w="820" w:type="dxa"/>
                  <w:tcBorders>
                    <w:tl2br w:val="nil"/>
                    <w:tr2bl w:val="nil"/>
                  </w:tcBorders>
                  <w:shd w:val="clear" w:color="auto" w:fill="auto"/>
                  <w:vAlign w:val="center"/>
                </w:tcPr>
                <w:p>
                  <w:pPr>
                    <w:jc w:val="center"/>
                    <w:rPr>
                      <w:sz w:val="18"/>
                      <w:szCs w:val="18"/>
                    </w:rPr>
                  </w:pPr>
                  <w:r>
                    <w:rPr>
                      <w:sz w:val="18"/>
                      <w:szCs w:val="18"/>
                    </w:rPr>
                    <w:t>液态</w:t>
                  </w:r>
                </w:p>
              </w:tc>
              <w:tc>
                <w:tcPr>
                  <w:tcW w:w="911" w:type="dxa"/>
                  <w:tcBorders>
                    <w:tl2br w:val="nil"/>
                    <w:tr2bl w:val="nil"/>
                  </w:tcBorders>
                  <w:shd w:val="clear" w:color="auto" w:fill="auto"/>
                  <w:vAlign w:val="center"/>
                </w:tcPr>
                <w:p>
                  <w:pPr>
                    <w:jc w:val="center"/>
                    <w:rPr>
                      <w:sz w:val="18"/>
                      <w:szCs w:val="18"/>
                    </w:rPr>
                  </w:pPr>
                  <w:r>
                    <w:rPr>
                      <w:sz w:val="18"/>
                      <w:szCs w:val="18"/>
                    </w:rPr>
                    <w:t>矿物油</w:t>
                  </w:r>
                </w:p>
              </w:tc>
              <w:tc>
                <w:tcPr>
                  <w:tcW w:w="944" w:type="dxa"/>
                  <w:tcBorders>
                    <w:tl2br w:val="nil"/>
                    <w:tr2bl w:val="nil"/>
                  </w:tcBorders>
                  <w:shd w:val="clear" w:color="auto" w:fill="auto"/>
                  <w:vAlign w:val="center"/>
                </w:tcPr>
                <w:p>
                  <w:pPr>
                    <w:jc w:val="center"/>
                    <w:rPr>
                      <w:rFonts w:hint="eastAsia" w:eastAsia="宋体"/>
                      <w:sz w:val="18"/>
                      <w:szCs w:val="18"/>
                      <w:lang w:val="en-US" w:eastAsia="zh-CN"/>
                    </w:rPr>
                  </w:pPr>
                  <w:r>
                    <w:rPr>
                      <w:rFonts w:hint="eastAsia"/>
                      <w:sz w:val="18"/>
                      <w:szCs w:val="18"/>
                      <w:lang w:val="en-US" w:eastAsia="zh-CN"/>
                    </w:rPr>
                    <w:t>1</w:t>
                  </w:r>
                </w:p>
              </w:tc>
              <w:tc>
                <w:tcPr>
                  <w:tcW w:w="767" w:type="dxa"/>
                  <w:tcBorders>
                    <w:tl2br w:val="nil"/>
                    <w:tr2bl w:val="nil"/>
                  </w:tcBorders>
                  <w:shd w:val="clear" w:color="auto" w:fill="auto"/>
                  <w:vAlign w:val="center"/>
                </w:tcPr>
                <w:p>
                  <w:pPr>
                    <w:jc w:val="center"/>
                    <w:rPr>
                      <w:sz w:val="18"/>
                      <w:szCs w:val="18"/>
                    </w:rPr>
                  </w:pPr>
                  <w:r>
                    <w:rPr>
                      <w:sz w:val="18"/>
                      <w:szCs w:val="18"/>
                    </w:rPr>
                    <w:t>√</w:t>
                  </w:r>
                </w:p>
              </w:tc>
              <w:tc>
                <w:tcPr>
                  <w:tcW w:w="823" w:type="dxa"/>
                  <w:tcBorders>
                    <w:tl2br w:val="nil"/>
                    <w:tr2bl w:val="nil"/>
                  </w:tcBorders>
                  <w:shd w:val="clear" w:color="auto" w:fill="auto"/>
                  <w:vAlign w:val="center"/>
                </w:tcPr>
                <w:p>
                  <w:pPr>
                    <w:jc w:val="center"/>
                    <w:rPr>
                      <w:sz w:val="18"/>
                      <w:szCs w:val="18"/>
                    </w:rPr>
                  </w:pPr>
                  <w:r>
                    <w:rPr>
                      <w:sz w:val="18"/>
                      <w:szCs w:val="18"/>
                    </w:rPr>
                    <w:t>/</w:t>
                  </w:r>
                </w:p>
              </w:tc>
              <w:tc>
                <w:tcPr>
                  <w:tcW w:w="915" w:type="dxa"/>
                  <w:vMerge w:val="continue"/>
                  <w:tcBorders>
                    <w:tl2br w:val="nil"/>
                    <w:tr2bl w:val="nil"/>
                  </w:tcBorders>
                  <w:vAlign w:val="center"/>
                </w:tcPr>
                <w:p>
                  <w:pPr>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443" w:type="dxa"/>
                  <w:tcBorders>
                    <w:tl2br w:val="nil"/>
                    <w:tr2bl w:val="nil"/>
                  </w:tcBorders>
                  <w:shd w:val="clear" w:color="auto" w:fill="auto"/>
                  <w:vAlign w:val="center"/>
                </w:tcPr>
                <w:p>
                  <w:pPr>
                    <w:jc w:val="center"/>
                    <w:rPr>
                      <w:rFonts w:hint="eastAsia" w:ascii="Times New Roman" w:hAnsi="Times New Roman" w:eastAsia="宋体" w:cs="Times New Roman"/>
                      <w:kern w:val="2"/>
                      <w:sz w:val="18"/>
                      <w:szCs w:val="18"/>
                      <w:lang w:val="en-US" w:eastAsia="zh-CN" w:bidi="ar-SA"/>
                    </w:rPr>
                  </w:pPr>
                  <w:r>
                    <w:rPr>
                      <w:rFonts w:hint="eastAsia"/>
                      <w:sz w:val="18"/>
                      <w:szCs w:val="18"/>
                      <w:lang w:val="en-US" w:eastAsia="zh-CN"/>
                    </w:rPr>
                    <w:t>7</w:t>
                  </w:r>
                </w:p>
              </w:tc>
              <w:tc>
                <w:tcPr>
                  <w:tcW w:w="1029" w:type="dxa"/>
                  <w:tcBorders>
                    <w:tl2br w:val="nil"/>
                    <w:tr2bl w:val="nil"/>
                  </w:tcBorders>
                  <w:shd w:val="clear" w:color="auto" w:fill="auto"/>
                  <w:vAlign w:val="center"/>
                </w:tcPr>
                <w:p>
                  <w:pPr>
                    <w:jc w:val="center"/>
                    <w:rPr>
                      <w:rFonts w:ascii="Times New Roman" w:hAnsi="Times New Roman" w:eastAsia="宋体" w:cs="Times New Roman"/>
                      <w:kern w:val="2"/>
                      <w:sz w:val="18"/>
                      <w:szCs w:val="18"/>
                      <w:lang w:val="en-US" w:eastAsia="zh-CN" w:bidi="ar-SA"/>
                    </w:rPr>
                  </w:pPr>
                  <w:r>
                    <w:rPr>
                      <w:sz w:val="18"/>
                      <w:szCs w:val="18"/>
                    </w:rPr>
                    <w:t>废油桶</w:t>
                  </w:r>
                </w:p>
              </w:tc>
              <w:tc>
                <w:tcPr>
                  <w:tcW w:w="985" w:type="dxa"/>
                  <w:tcBorders>
                    <w:tl2br w:val="nil"/>
                    <w:tr2bl w:val="nil"/>
                  </w:tcBorders>
                  <w:shd w:val="clear" w:color="auto" w:fill="auto"/>
                  <w:vAlign w:val="center"/>
                </w:tcPr>
                <w:p>
                  <w:pPr>
                    <w:jc w:val="center"/>
                    <w:rPr>
                      <w:rFonts w:ascii="Times New Roman" w:hAnsi="Times New Roman" w:eastAsia="宋体" w:cs="Times New Roman"/>
                      <w:kern w:val="2"/>
                      <w:sz w:val="18"/>
                      <w:szCs w:val="18"/>
                      <w:lang w:val="en-US" w:eastAsia="zh-CN" w:bidi="ar-SA"/>
                    </w:rPr>
                  </w:pPr>
                  <w:r>
                    <w:rPr>
                      <w:sz w:val="18"/>
                      <w:szCs w:val="18"/>
                    </w:rPr>
                    <w:t>设备保养</w:t>
                  </w:r>
                </w:p>
              </w:tc>
              <w:tc>
                <w:tcPr>
                  <w:tcW w:w="820" w:type="dxa"/>
                  <w:tcBorders>
                    <w:tl2br w:val="nil"/>
                    <w:tr2bl w:val="nil"/>
                  </w:tcBorders>
                  <w:shd w:val="clear" w:color="auto" w:fill="auto"/>
                  <w:vAlign w:val="center"/>
                </w:tcPr>
                <w:p>
                  <w:pPr>
                    <w:jc w:val="center"/>
                    <w:rPr>
                      <w:rFonts w:ascii="Times New Roman" w:hAnsi="Times New Roman" w:eastAsia="宋体" w:cs="Times New Roman"/>
                      <w:kern w:val="2"/>
                      <w:sz w:val="18"/>
                      <w:szCs w:val="18"/>
                      <w:lang w:val="en-US" w:eastAsia="zh-CN" w:bidi="ar-SA"/>
                    </w:rPr>
                  </w:pPr>
                  <w:r>
                    <w:rPr>
                      <w:sz w:val="18"/>
                      <w:szCs w:val="18"/>
                    </w:rPr>
                    <w:t>固态</w:t>
                  </w:r>
                </w:p>
              </w:tc>
              <w:tc>
                <w:tcPr>
                  <w:tcW w:w="911" w:type="dxa"/>
                  <w:tcBorders>
                    <w:tl2br w:val="nil"/>
                    <w:tr2bl w:val="nil"/>
                  </w:tcBorders>
                  <w:shd w:val="clear" w:color="auto" w:fill="auto"/>
                  <w:vAlign w:val="center"/>
                </w:tcPr>
                <w:p>
                  <w:pPr>
                    <w:jc w:val="center"/>
                    <w:rPr>
                      <w:rFonts w:ascii="Times New Roman" w:hAnsi="Times New Roman" w:eastAsia="宋体" w:cs="Times New Roman"/>
                      <w:kern w:val="2"/>
                      <w:sz w:val="18"/>
                      <w:szCs w:val="18"/>
                      <w:lang w:val="en-US" w:eastAsia="zh-CN" w:bidi="ar-SA"/>
                    </w:rPr>
                  </w:pPr>
                  <w:r>
                    <w:rPr>
                      <w:sz w:val="18"/>
                      <w:szCs w:val="18"/>
                    </w:rPr>
                    <w:t>矿物油</w:t>
                  </w:r>
                </w:p>
              </w:tc>
              <w:tc>
                <w:tcPr>
                  <w:tcW w:w="944" w:type="dxa"/>
                  <w:tcBorders>
                    <w:tl2br w:val="nil"/>
                    <w:tr2bl w:val="nil"/>
                  </w:tcBorders>
                  <w:shd w:val="clear" w:color="auto" w:fill="auto"/>
                  <w:vAlign w:val="center"/>
                </w:tcPr>
                <w:p>
                  <w:pPr>
                    <w:jc w:val="center"/>
                    <w:rPr>
                      <w:rFonts w:hint="default" w:ascii="Times New Roman" w:hAnsi="Times New Roman" w:eastAsia="宋体" w:cs="Times New Roman"/>
                      <w:kern w:val="2"/>
                      <w:sz w:val="18"/>
                      <w:szCs w:val="18"/>
                      <w:lang w:val="en-US" w:eastAsia="zh-CN" w:bidi="ar-SA"/>
                    </w:rPr>
                  </w:pPr>
                  <w:r>
                    <w:rPr>
                      <w:rFonts w:hint="eastAsia"/>
                      <w:sz w:val="18"/>
                      <w:szCs w:val="18"/>
                      <w:lang w:val="en-US" w:eastAsia="zh-CN"/>
                    </w:rPr>
                    <w:t>1.4</w:t>
                  </w:r>
                </w:p>
              </w:tc>
              <w:tc>
                <w:tcPr>
                  <w:tcW w:w="767" w:type="dxa"/>
                  <w:tcBorders>
                    <w:tl2br w:val="nil"/>
                    <w:tr2bl w:val="nil"/>
                  </w:tcBorders>
                  <w:shd w:val="clear" w:color="auto" w:fill="auto"/>
                  <w:vAlign w:val="center"/>
                </w:tcPr>
                <w:p>
                  <w:pPr>
                    <w:jc w:val="center"/>
                    <w:rPr>
                      <w:rFonts w:ascii="Times New Roman" w:hAnsi="Times New Roman" w:eastAsia="宋体" w:cs="Times New Roman"/>
                      <w:kern w:val="2"/>
                      <w:sz w:val="18"/>
                      <w:szCs w:val="18"/>
                      <w:lang w:val="en-US" w:eastAsia="zh-CN" w:bidi="ar-SA"/>
                    </w:rPr>
                  </w:pPr>
                  <w:r>
                    <w:rPr>
                      <w:sz w:val="18"/>
                      <w:szCs w:val="18"/>
                    </w:rPr>
                    <w:t>√</w:t>
                  </w:r>
                </w:p>
              </w:tc>
              <w:tc>
                <w:tcPr>
                  <w:tcW w:w="823" w:type="dxa"/>
                  <w:tcBorders>
                    <w:tl2br w:val="nil"/>
                    <w:tr2bl w:val="nil"/>
                  </w:tcBorders>
                  <w:shd w:val="clear" w:color="auto" w:fill="auto"/>
                  <w:vAlign w:val="center"/>
                </w:tcPr>
                <w:p>
                  <w:pPr>
                    <w:jc w:val="center"/>
                    <w:rPr>
                      <w:rFonts w:ascii="Times New Roman" w:hAnsi="Times New Roman" w:eastAsia="宋体" w:cs="Times New Roman"/>
                      <w:kern w:val="2"/>
                      <w:sz w:val="18"/>
                      <w:szCs w:val="18"/>
                      <w:lang w:val="en-US" w:eastAsia="zh-CN" w:bidi="ar-SA"/>
                    </w:rPr>
                  </w:pPr>
                  <w:r>
                    <w:rPr>
                      <w:sz w:val="18"/>
                      <w:szCs w:val="18"/>
                    </w:rPr>
                    <w:t>/</w:t>
                  </w:r>
                </w:p>
              </w:tc>
              <w:tc>
                <w:tcPr>
                  <w:tcW w:w="915" w:type="dxa"/>
                  <w:vMerge w:val="continue"/>
                  <w:tcBorders>
                    <w:tl2br w:val="nil"/>
                    <w:tr2bl w:val="nil"/>
                  </w:tcBorders>
                  <w:vAlign w:val="center"/>
                </w:tcPr>
                <w:p>
                  <w:pPr>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443" w:type="dxa"/>
                  <w:tcBorders>
                    <w:tl2br w:val="nil"/>
                    <w:tr2bl w:val="nil"/>
                  </w:tcBorders>
                  <w:shd w:val="clear" w:color="auto" w:fill="auto"/>
                  <w:vAlign w:val="center"/>
                </w:tcPr>
                <w:p>
                  <w:pPr>
                    <w:jc w:val="center"/>
                    <w:rPr>
                      <w:rFonts w:hint="eastAsia" w:ascii="Times New Roman" w:hAnsi="Times New Roman" w:eastAsia="宋体" w:cs="Times New Roman"/>
                      <w:kern w:val="2"/>
                      <w:sz w:val="18"/>
                      <w:szCs w:val="18"/>
                      <w:lang w:val="en-US" w:eastAsia="zh-CN" w:bidi="ar-SA"/>
                    </w:rPr>
                  </w:pPr>
                  <w:r>
                    <w:rPr>
                      <w:rFonts w:hint="eastAsia"/>
                      <w:sz w:val="18"/>
                      <w:szCs w:val="18"/>
                      <w:lang w:val="en-US" w:eastAsia="zh-CN"/>
                    </w:rPr>
                    <w:t>8</w:t>
                  </w:r>
                </w:p>
              </w:tc>
              <w:tc>
                <w:tcPr>
                  <w:tcW w:w="1029" w:type="dxa"/>
                  <w:tcBorders>
                    <w:tl2br w:val="nil"/>
                    <w:tr2bl w:val="nil"/>
                  </w:tcBorders>
                  <w:shd w:val="clear" w:color="auto" w:fill="auto"/>
                  <w:vAlign w:val="center"/>
                </w:tcPr>
                <w:p>
                  <w:pPr>
                    <w:jc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废金属屑</w:t>
                  </w:r>
                </w:p>
              </w:tc>
              <w:tc>
                <w:tcPr>
                  <w:tcW w:w="985" w:type="dxa"/>
                  <w:tcBorders>
                    <w:tl2br w:val="nil"/>
                    <w:tr2bl w:val="nil"/>
                  </w:tcBorders>
                  <w:shd w:val="clear" w:color="auto" w:fill="auto"/>
                  <w:vAlign w:val="center"/>
                </w:tcPr>
                <w:p>
                  <w:pPr>
                    <w:jc w:val="center"/>
                    <w:rPr>
                      <w:color w:val="auto"/>
                      <w:sz w:val="18"/>
                      <w:szCs w:val="18"/>
                    </w:rPr>
                  </w:pPr>
                  <w:r>
                    <w:rPr>
                      <w:rFonts w:hint="eastAsia" w:ascii="Times New Roman" w:hAnsi="Times New Roman" w:eastAsia="宋体" w:cs="Times New Roman"/>
                      <w:color w:val="auto"/>
                      <w:sz w:val="18"/>
                      <w:szCs w:val="18"/>
                      <w:lang w:val="en-US" w:eastAsia="zh-CN"/>
                    </w:rPr>
                    <w:t>金属加工</w:t>
                  </w:r>
                </w:p>
              </w:tc>
              <w:tc>
                <w:tcPr>
                  <w:tcW w:w="820" w:type="dxa"/>
                  <w:tcBorders>
                    <w:tl2br w:val="nil"/>
                    <w:tr2bl w:val="nil"/>
                  </w:tcBorders>
                  <w:shd w:val="clear" w:color="auto" w:fill="auto"/>
                  <w:vAlign w:val="center"/>
                </w:tcPr>
                <w:p>
                  <w:pPr>
                    <w:jc w:val="center"/>
                    <w:rPr>
                      <w:color w:val="auto"/>
                      <w:sz w:val="18"/>
                      <w:szCs w:val="18"/>
                    </w:rPr>
                  </w:pPr>
                  <w:r>
                    <w:rPr>
                      <w:color w:val="auto"/>
                      <w:sz w:val="18"/>
                      <w:szCs w:val="18"/>
                    </w:rPr>
                    <w:t>固态</w:t>
                  </w:r>
                </w:p>
              </w:tc>
              <w:tc>
                <w:tcPr>
                  <w:tcW w:w="911" w:type="dxa"/>
                  <w:tcBorders>
                    <w:tl2br w:val="nil"/>
                    <w:tr2bl w:val="nil"/>
                  </w:tcBorders>
                  <w:shd w:val="clear" w:color="auto" w:fill="auto"/>
                  <w:vAlign w:val="center"/>
                </w:tcPr>
                <w:p>
                  <w:pPr>
                    <w:jc w:val="center"/>
                    <w:rPr>
                      <w:color w:val="auto"/>
                      <w:sz w:val="18"/>
                      <w:szCs w:val="18"/>
                    </w:rPr>
                  </w:pPr>
                  <w:r>
                    <w:rPr>
                      <w:color w:val="auto"/>
                      <w:sz w:val="18"/>
                      <w:szCs w:val="18"/>
                    </w:rPr>
                    <w:t>矿物油</w:t>
                  </w:r>
                </w:p>
              </w:tc>
              <w:tc>
                <w:tcPr>
                  <w:tcW w:w="944" w:type="dxa"/>
                  <w:tcBorders>
                    <w:tl2br w:val="nil"/>
                    <w:tr2bl w:val="nil"/>
                  </w:tcBorders>
                  <w:shd w:val="clear" w:color="auto" w:fill="auto"/>
                  <w:vAlign w:val="center"/>
                </w:tcPr>
                <w:p>
                  <w:pPr>
                    <w:jc w:val="center"/>
                    <w:rPr>
                      <w:rFonts w:hint="default"/>
                      <w:color w:val="auto"/>
                      <w:sz w:val="18"/>
                      <w:szCs w:val="18"/>
                      <w:lang w:val="en-US" w:eastAsia="zh-CN"/>
                    </w:rPr>
                  </w:pPr>
                  <w:r>
                    <w:rPr>
                      <w:rFonts w:hint="eastAsia" w:ascii="Times New Roman" w:hAnsi="Times New Roman" w:eastAsia="宋体" w:cs="Times New Roman"/>
                      <w:sz w:val="18"/>
                      <w:szCs w:val="18"/>
                      <w:lang w:val="en-US" w:eastAsia="zh-CN"/>
                    </w:rPr>
                    <w:t>9.94</w:t>
                  </w:r>
                </w:p>
              </w:tc>
              <w:tc>
                <w:tcPr>
                  <w:tcW w:w="767" w:type="dxa"/>
                  <w:tcBorders>
                    <w:tl2br w:val="nil"/>
                    <w:tr2bl w:val="nil"/>
                  </w:tcBorders>
                  <w:shd w:val="clear" w:color="auto" w:fill="auto"/>
                  <w:vAlign w:val="center"/>
                </w:tcPr>
                <w:p>
                  <w:pPr>
                    <w:jc w:val="center"/>
                    <w:rPr>
                      <w:sz w:val="18"/>
                      <w:szCs w:val="18"/>
                    </w:rPr>
                  </w:pPr>
                  <w:r>
                    <w:rPr>
                      <w:sz w:val="18"/>
                      <w:szCs w:val="18"/>
                    </w:rPr>
                    <w:t>√</w:t>
                  </w:r>
                </w:p>
              </w:tc>
              <w:tc>
                <w:tcPr>
                  <w:tcW w:w="823" w:type="dxa"/>
                  <w:tcBorders>
                    <w:tl2br w:val="nil"/>
                    <w:tr2bl w:val="nil"/>
                  </w:tcBorders>
                  <w:shd w:val="clear" w:color="auto" w:fill="auto"/>
                  <w:vAlign w:val="center"/>
                </w:tcPr>
                <w:p>
                  <w:pPr>
                    <w:jc w:val="center"/>
                    <w:rPr>
                      <w:sz w:val="18"/>
                      <w:szCs w:val="18"/>
                    </w:rPr>
                  </w:pPr>
                  <w:r>
                    <w:rPr>
                      <w:sz w:val="18"/>
                      <w:szCs w:val="18"/>
                    </w:rPr>
                    <w:t>/</w:t>
                  </w:r>
                </w:p>
              </w:tc>
              <w:tc>
                <w:tcPr>
                  <w:tcW w:w="915" w:type="dxa"/>
                  <w:vMerge w:val="continue"/>
                  <w:tcBorders>
                    <w:tl2br w:val="nil"/>
                    <w:tr2bl w:val="nil"/>
                  </w:tcBorders>
                  <w:vAlign w:val="center"/>
                </w:tcPr>
                <w:p>
                  <w:pPr>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443" w:type="dxa"/>
                  <w:tcBorders>
                    <w:tl2br w:val="nil"/>
                    <w:tr2bl w:val="nil"/>
                  </w:tcBorders>
                  <w:shd w:val="clear" w:color="auto" w:fill="auto"/>
                  <w:vAlign w:val="center"/>
                </w:tcPr>
                <w:p>
                  <w:pPr>
                    <w:jc w:val="center"/>
                    <w:rPr>
                      <w:rFonts w:hint="eastAsia" w:ascii="Times New Roman" w:hAnsi="Times New Roman" w:eastAsia="宋体" w:cs="Times New Roman"/>
                      <w:kern w:val="2"/>
                      <w:sz w:val="18"/>
                      <w:szCs w:val="18"/>
                      <w:lang w:val="en-US" w:eastAsia="zh-CN" w:bidi="ar-SA"/>
                    </w:rPr>
                  </w:pPr>
                  <w:r>
                    <w:rPr>
                      <w:rFonts w:hint="eastAsia"/>
                      <w:sz w:val="18"/>
                      <w:szCs w:val="18"/>
                      <w:lang w:val="en-US" w:eastAsia="zh-CN"/>
                    </w:rPr>
                    <w:t>9</w:t>
                  </w:r>
                </w:p>
              </w:tc>
              <w:tc>
                <w:tcPr>
                  <w:tcW w:w="1029" w:type="dxa"/>
                  <w:tcBorders>
                    <w:tl2br w:val="nil"/>
                    <w:tr2bl w:val="nil"/>
                  </w:tcBorders>
                  <w:shd w:val="clear" w:color="auto" w:fill="auto"/>
                  <w:vAlign w:val="center"/>
                </w:tcPr>
                <w:p>
                  <w:pPr>
                    <w:jc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废切削液</w:t>
                  </w:r>
                </w:p>
              </w:tc>
              <w:tc>
                <w:tcPr>
                  <w:tcW w:w="985" w:type="dxa"/>
                  <w:tcBorders>
                    <w:tl2br w:val="nil"/>
                    <w:tr2bl w:val="nil"/>
                  </w:tcBorders>
                  <w:shd w:val="clear" w:color="auto" w:fill="auto"/>
                  <w:vAlign w:val="center"/>
                </w:tcPr>
                <w:p>
                  <w:pPr>
                    <w:jc w:val="center"/>
                    <w:rPr>
                      <w:rFonts w:hint="eastAsia" w:eastAsia="宋体"/>
                      <w:color w:val="auto"/>
                      <w:sz w:val="18"/>
                      <w:szCs w:val="18"/>
                      <w:lang w:eastAsia="zh-CN"/>
                    </w:rPr>
                  </w:pPr>
                  <w:r>
                    <w:rPr>
                      <w:rFonts w:hint="eastAsia" w:ascii="Times New Roman" w:hAnsi="Times New Roman" w:eastAsia="宋体" w:cs="Times New Roman"/>
                      <w:color w:val="auto"/>
                      <w:sz w:val="18"/>
                      <w:szCs w:val="18"/>
                      <w:lang w:val="en-US" w:eastAsia="zh-CN"/>
                    </w:rPr>
                    <w:t>金属加工</w:t>
                  </w:r>
                </w:p>
              </w:tc>
              <w:tc>
                <w:tcPr>
                  <w:tcW w:w="820" w:type="dxa"/>
                  <w:tcBorders>
                    <w:tl2br w:val="nil"/>
                    <w:tr2bl w:val="nil"/>
                  </w:tcBorders>
                  <w:shd w:val="clear" w:color="auto" w:fill="auto"/>
                  <w:vAlign w:val="center"/>
                </w:tcPr>
                <w:p>
                  <w:pPr>
                    <w:jc w:val="center"/>
                    <w:rPr>
                      <w:color w:val="auto"/>
                      <w:sz w:val="18"/>
                      <w:szCs w:val="18"/>
                    </w:rPr>
                  </w:pPr>
                  <w:r>
                    <w:rPr>
                      <w:color w:val="auto"/>
                      <w:sz w:val="18"/>
                      <w:szCs w:val="18"/>
                    </w:rPr>
                    <w:t>液态</w:t>
                  </w:r>
                </w:p>
              </w:tc>
              <w:tc>
                <w:tcPr>
                  <w:tcW w:w="911" w:type="dxa"/>
                  <w:tcBorders>
                    <w:tl2br w:val="nil"/>
                    <w:tr2bl w:val="nil"/>
                  </w:tcBorders>
                  <w:shd w:val="clear" w:color="auto" w:fill="auto"/>
                  <w:vAlign w:val="center"/>
                </w:tcPr>
                <w:p>
                  <w:pPr>
                    <w:jc w:val="center"/>
                    <w:rPr>
                      <w:rFonts w:hint="eastAsia" w:eastAsia="宋体"/>
                      <w:color w:val="auto"/>
                      <w:sz w:val="18"/>
                      <w:szCs w:val="18"/>
                      <w:lang w:eastAsia="zh-CN"/>
                    </w:rPr>
                  </w:pPr>
                  <w:r>
                    <w:rPr>
                      <w:rFonts w:hint="eastAsia"/>
                      <w:color w:val="auto"/>
                      <w:sz w:val="18"/>
                      <w:szCs w:val="18"/>
                      <w:lang w:eastAsia="zh-CN"/>
                    </w:rPr>
                    <w:t>有机物</w:t>
                  </w:r>
                </w:p>
              </w:tc>
              <w:tc>
                <w:tcPr>
                  <w:tcW w:w="944" w:type="dxa"/>
                  <w:tcBorders>
                    <w:tl2br w:val="nil"/>
                    <w:tr2bl w:val="nil"/>
                  </w:tcBorders>
                  <w:shd w:val="clear" w:color="auto" w:fill="auto"/>
                  <w:vAlign w:val="center"/>
                </w:tcPr>
                <w:p>
                  <w:pPr>
                    <w:jc w:val="center"/>
                    <w:rPr>
                      <w:rFonts w:hint="default"/>
                      <w:color w:val="auto"/>
                      <w:sz w:val="18"/>
                      <w:szCs w:val="18"/>
                      <w:lang w:val="en-US" w:eastAsia="zh-CN"/>
                    </w:rPr>
                  </w:pPr>
                  <w:r>
                    <w:rPr>
                      <w:rFonts w:hint="eastAsia"/>
                      <w:color w:val="auto"/>
                      <w:sz w:val="18"/>
                      <w:szCs w:val="18"/>
                      <w:lang w:val="en-US" w:eastAsia="zh-CN"/>
                    </w:rPr>
                    <w:t>2.329</w:t>
                  </w:r>
                </w:p>
              </w:tc>
              <w:tc>
                <w:tcPr>
                  <w:tcW w:w="767" w:type="dxa"/>
                  <w:tcBorders>
                    <w:tl2br w:val="nil"/>
                    <w:tr2bl w:val="nil"/>
                  </w:tcBorders>
                  <w:shd w:val="clear" w:color="auto" w:fill="auto"/>
                  <w:vAlign w:val="center"/>
                </w:tcPr>
                <w:p>
                  <w:pPr>
                    <w:jc w:val="center"/>
                    <w:rPr>
                      <w:sz w:val="18"/>
                      <w:szCs w:val="18"/>
                    </w:rPr>
                  </w:pPr>
                  <w:r>
                    <w:rPr>
                      <w:sz w:val="18"/>
                      <w:szCs w:val="18"/>
                    </w:rPr>
                    <w:t>√</w:t>
                  </w:r>
                </w:p>
              </w:tc>
              <w:tc>
                <w:tcPr>
                  <w:tcW w:w="823" w:type="dxa"/>
                  <w:tcBorders>
                    <w:tl2br w:val="nil"/>
                    <w:tr2bl w:val="nil"/>
                  </w:tcBorders>
                  <w:shd w:val="clear" w:color="auto" w:fill="auto"/>
                  <w:vAlign w:val="center"/>
                </w:tcPr>
                <w:p>
                  <w:pPr>
                    <w:jc w:val="center"/>
                    <w:rPr>
                      <w:sz w:val="18"/>
                      <w:szCs w:val="18"/>
                    </w:rPr>
                  </w:pPr>
                  <w:r>
                    <w:rPr>
                      <w:sz w:val="18"/>
                      <w:szCs w:val="18"/>
                    </w:rPr>
                    <w:t>/</w:t>
                  </w:r>
                </w:p>
              </w:tc>
              <w:tc>
                <w:tcPr>
                  <w:tcW w:w="915" w:type="dxa"/>
                  <w:vMerge w:val="continue"/>
                  <w:tcBorders>
                    <w:tl2br w:val="nil"/>
                    <w:tr2bl w:val="nil"/>
                  </w:tcBorders>
                  <w:vAlign w:val="center"/>
                </w:tcPr>
                <w:p>
                  <w:pPr>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443" w:type="dxa"/>
                  <w:tcBorders>
                    <w:tl2br w:val="nil"/>
                    <w:tr2bl w:val="nil"/>
                  </w:tcBorders>
                  <w:shd w:val="clear" w:color="auto" w:fill="auto"/>
                  <w:vAlign w:val="center"/>
                </w:tcPr>
                <w:p>
                  <w:pPr>
                    <w:jc w:val="center"/>
                    <w:rPr>
                      <w:rFonts w:hint="eastAsia" w:ascii="Times New Roman" w:hAnsi="Times New Roman" w:eastAsia="宋体" w:cs="Times New Roman"/>
                      <w:kern w:val="2"/>
                      <w:sz w:val="18"/>
                      <w:szCs w:val="18"/>
                      <w:lang w:val="en-US" w:eastAsia="zh-CN" w:bidi="ar-SA"/>
                    </w:rPr>
                  </w:pPr>
                  <w:r>
                    <w:rPr>
                      <w:rFonts w:hint="eastAsia"/>
                      <w:sz w:val="18"/>
                      <w:szCs w:val="18"/>
                      <w:lang w:val="en-US" w:eastAsia="zh-CN"/>
                    </w:rPr>
                    <w:t>10</w:t>
                  </w:r>
                </w:p>
              </w:tc>
              <w:tc>
                <w:tcPr>
                  <w:tcW w:w="1029" w:type="dxa"/>
                  <w:tcBorders>
                    <w:tl2br w:val="nil"/>
                    <w:tr2bl w:val="nil"/>
                  </w:tcBorders>
                  <w:shd w:val="clear" w:color="auto" w:fill="auto"/>
                  <w:vAlign w:val="center"/>
                </w:tcPr>
                <w:p>
                  <w:pPr>
                    <w:jc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废润滑油</w:t>
                  </w:r>
                </w:p>
              </w:tc>
              <w:tc>
                <w:tcPr>
                  <w:tcW w:w="985" w:type="dxa"/>
                  <w:tcBorders>
                    <w:tl2br w:val="nil"/>
                    <w:tr2bl w:val="nil"/>
                  </w:tcBorders>
                  <w:shd w:val="clear" w:color="auto" w:fill="auto"/>
                  <w:vAlign w:val="center"/>
                </w:tcPr>
                <w:p>
                  <w:pPr>
                    <w:jc w:val="center"/>
                    <w:rPr>
                      <w:color w:val="auto"/>
                      <w:sz w:val="18"/>
                      <w:szCs w:val="18"/>
                    </w:rPr>
                  </w:pPr>
                  <w:r>
                    <w:rPr>
                      <w:color w:val="auto"/>
                      <w:sz w:val="18"/>
                      <w:szCs w:val="18"/>
                    </w:rPr>
                    <w:t>设备保养</w:t>
                  </w:r>
                </w:p>
              </w:tc>
              <w:tc>
                <w:tcPr>
                  <w:tcW w:w="820" w:type="dxa"/>
                  <w:tcBorders>
                    <w:tl2br w:val="nil"/>
                    <w:tr2bl w:val="nil"/>
                  </w:tcBorders>
                  <w:shd w:val="clear" w:color="auto" w:fill="auto"/>
                  <w:vAlign w:val="center"/>
                </w:tcPr>
                <w:p>
                  <w:pPr>
                    <w:jc w:val="center"/>
                    <w:rPr>
                      <w:color w:val="auto"/>
                      <w:sz w:val="18"/>
                      <w:szCs w:val="18"/>
                    </w:rPr>
                  </w:pPr>
                  <w:r>
                    <w:rPr>
                      <w:color w:val="auto"/>
                      <w:sz w:val="18"/>
                      <w:szCs w:val="18"/>
                    </w:rPr>
                    <w:t>液态</w:t>
                  </w:r>
                </w:p>
              </w:tc>
              <w:tc>
                <w:tcPr>
                  <w:tcW w:w="911" w:type="dxa"/>
                  <w:tcBorders>
                    <w:tl2br w:val="nil"/>
                    <w:tr2bl w:val="nil"/>
                  </w:tcBorders>
                  <w:shd w:val="clear" w:color="auto" w:fill="auto"/>
                  <w:vAlign w:val="center"/>
                </w:tcPr>
                <w:p>
                  <w:pPr>
                    <w:jc w:val="center"/>
                    <w:rPr>
                      <w:color w:val="auto"/>
                      <w:sz w:val="18"/>
                      <w:szCs w:val="18"/>
                    </w:rPr>
                  </w:pPr>
                  <w:r>
                    <w:rPr>
                      <w:color w:val="auto"/>
                      <w:sz w:val="18"/>
                      <w:szCs w:val="18"/>
                    </w:rPr>
                    <w:t>矿物油</w:t>
                  </w:r>
                </w:p>
              </w:tc>
              <w:tc>
                <w:tcPr>
                  <w:tcW w:w="944" w:type="dxa"/>
                  <w:tcBorders>
                    <w:tl2br w:val="nil"/>
                    <w:tr2bl w:val="nil"/>
                  </w:tcBorders>
                  <w:shd w:val="clear" w:color="auto" w:fill="auto"/>
                  <w:vAlign w:val="center"/>
                </w:tcPr>
                <w:p>
                  <w:pPr>
                    <w:jc w:val="center"/>
                    <w:rPr>
                      <w:rFonts w:hint="default"/>
                      <w:color w:val="auto"/>
                      <w:sz w:val="18"/>
                      <w:szCs w:val="18"/>
                      <w:lang w:val="en-US" w:eastAsia="zh-CN"/>
                    </w:rPr>
                  </w:pPr>
                  <w:r>
                    <w:rPr>
                      <w:rFonts w:hint="eastAsia"/>
                      <w:color w:val="auto"/>
                      <w:sz w:val="18"/>
                      <w:szCs w:val="18"/>
                      <w:lang w:val="en-US" w:eastAsia="zh-CN"/>
                    </w:rPr>
                    <w:t>0.01</w:t>
                  </w:r>
                </w:p>
              </w:tc>
              <w:tc>
                <w:tcPr>
                  <w:tcW w:w="767" w:type="dxa"/>
                  <w:tcBorders>
                    <w:tl2br w:val="nil"/>
                    <w:tr2bl w:val="nil"/>
                  </w:tcBorders>
                  <w:shd w:val="clear" w:color="auto" w:fill="auto"/>
                  <w:vAlign w:val="center"/>
                </w:tcPr>
                <w:p>
                  <w:pPr>
                    <w:jc w:val="center"/>
                    <w:rPr>
                      <w:sz w:val="18"/>
                      <w:szCs w:val="18"/>
                    </w:rPr>
                  </w:pPr>
                  <w:r>
                    <w:rPr>
                      <w:sz w:val="18"/>
                      <w:szCs w:val="18"/>
                    </w:rPr>
                    <w:t>√</w:t>
                  </w:r>
                </w:p>
              </w:tc>
              <w:tc>
                <w:tcPr>
                  <w:tcW w:w="823" w:type="dxa"/>
                  <w:tcBorders>
                    <w:tl2br w:val="nil"/>
                    <w:tr2bl w:val="nil"/>
                  </w:tcBorders>
                  <w:shd w:val="clear" w:color="auto" w:fill="auto"/>
                  <w:vAlign w:val="center"/>
                </w:tcPr>
                <w:p>
                  <w:pPr>
                    <w:jc w:val="center"/>
                    <w:rPr>
                      <w:sz w:val="18"/>
                      <w:szCs w:val="18"/>
                    </w:rPr>
                  </w:pPr>
                  <w:r>
                    <w:rPr>
                      <w:sz w:val="18"/>
                      <w:szCs w:val="18"/>
                    </w:rPr>
                    <w:t>/</w:t>
                  </w:r>
                </w:p>
              </w:tc>
              <w:tc>
                <w:tcPr>
                  <w:tcW w:w="915" w:type="dxa"/>
                  <w:vMerge w:val="continue"/>
                  <w:tcBorders>
                    <w:tl2br w:val="nil"/>
                    <w:tr2bl w:val="nil"/>
                  </w:tcBorders>
                  <w:vAlign w:val="center"/>
                </w:tcPr>
                <w:p>
                  <w:pPr>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443" w:type="dxa"/>
                  <w:tcBorders>
                    <w:tl2br w:val="nil"/>
                    <w:tr2bl w:val="nil"/>
                  </w:tcBorders>
                  <w:shd w:val="clear" w:color="auto" w:fill="auto"/>
                  <w:vAlign w:val="center"/>
                </w:tcPr>
                <w:p>
                  <w:pPr>
                    <w:jc w:val="center"/>
                    <w:rPr>
                      <w:rFonts w:hint="eastAsia" w:ascii="Times New Roman" w:hAnsi="Times New Roman" w:eastAsia="宋体" w:cs="Times New Roman"/>
                      <w:kern w:val="2"/>
                      <w:sz w:val="18"/>
                      <w:szCs w:val="18"/>
                      <w:lang w:val="en-US" w:eastAsia="zh-CN" w:bidi="ar-SA"/>
                    </w:rPr>
                  </w:pPr>
                  <w:r>
                    <w:rPr>
                      <w:rFonts w:hint="eastAsia"/>
                      <w:sz w:val="18"/>
                      <w:szCs w:val="18"/>
                      <w:lang w:val="en-US" w:eastAsia="zh-CN"/>
                    </w:rPr>
                    <w:t>11</w:t>
                  </w:r>
                </w:p>
              </w:tc>
              <w:tc>
                <w:tcPr>
                  <w:tcW w:w="1029" w:type="dxa"/>
                  <w:tcBorders>
                    <w:tl2br w:val="nil"/>
                    <w:tr2bl w:val="nil"/>
                  </w:tcBorders>
                  <w:shd w:val="clear" w:color="auto" w:fill="auto"/>
                  <w:vAlign w:val="center"/>
                </w:tcPr>
                <w:p>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废乳化液</w:t>
                  </w:r>
                </w:p>
              </w:tc>
              <w:tc>
                <w:tcPr>
                  <w:tcW w:w="985" w:type="dxa"/>
                  <w:tcBorders>
                    <w:tl2br w:val="nil"/>
                    <w:tr2bl w:val="nil"/>
                  </w:tcBorders>
                  <w:shd w:val="clear" w:color="auto" w:fill="auto"/>
                  <w:vAlign w:val="center"/>
                </w:tcPr>
                <w:p>
                  <w:pPr>
                    <w:jc w:val="center"/>
                    <w:rPr>
                      <w:color w:val="auto"/>
                      <w:sz w:val="18"/>
                      <w:szCs w:val="18"/>
                    </w:rPr>
                  </w:pPr>
                  <w:r>
                    <w:rPr>
                      <w:color w:val="auto"/>
                      <w:sz w:val="18"/>
                      <w:szCs w:val="18"/>
                    </w:rPr>
                    <w:t>设备保养</w:t>
                  </w:r>
                </w:p>
              </w:tc>
              <w:tc>
                <w:tcPr>
                  <w:tcW w:w="820" w:type="dxa"/>
                  <w:tcBorders>
                    <w:tl2br w:val="nil"/>
                    <w:tr2bl w:val="nil"/>
                  </w:tcBorders>
                  <w:shd w:val="clear" w:color="auto" w:fill="auto"/>
                  <w:vAlign w:val="center"/>
                </w:tcPr>
                <w:p>
                  <w:pPr>
                    <w:jc w:val="center"/>
                    <w:rPr>
                      <w:color w:val="auto"/>
                      <w:sz w:val="18"/>
                      <w:szCs w:val="18"/>
                    </w:rPr>
                  </w:pPr>
                  <w:r>
                    <w:rPr>
                      <w:color w:val="auto"/>
                      <w:sz w:val="18"/>
                      <w:szCs w:val="18"/>
                    </w:rPr>
                    <w:t>液态</w:t>
                  </w:r>
                </w:p>
              </w:tc>
              <w:tc>
                <w:tcPr>
                  <w:tcW w:w="911" w:type="dxa"/>
                  <w:tcBorders>
                    <w:tl2br w:val="nil"/>
                    <w:tr2bl w:val="nil"/>
                  </w:tcBorders>
                  <w:shd w:val="clear" w:color="auto" w:fill="auto"/>
                  <w:vAlign w:val="center"/>
                </w:tcPr>
                <w:p>
                  <w:pPr>
                    <w:jc w:val="center"/>
                    <w:rPr>
                      <w:color w:val="auto"/>
                      <w:sz w:val="18"/>
                      <w:szCs w:val="18"/>
                    </w:rPr>
                  </w:pPr>
                  <w:r>
                    <w:rPr>
                      <w:color w:val="auto"/>
                      <w:sz w:val="18"/>
                      <w:szCs w:val="18"/>
                    </w:rPr>
                    <w:t>矿物油</w:t>
                  </w:r>
                </w:p>
              </w:tc>
              <w:tc>
                <w:tcPr>
                  <w:tcW w:w="944" w:type="dxa"/>
                  <w:tcBorders>
                    <w:tl2br w:val="nil"/>
                    <w:tr2bl w:val="nil"/>
                  </w:tcBorders>
                  <w:shd w:val="clear" w:color="auto" w:fill="auto"/>
                  <w:vAlign w:val="center"/>
                </w:tcPr>
                <w:p>
                  <w:pPr>
                    <w:jc w:val="center"/>
                    <w:rPr>
                      <w:rFonts w:hint="default"/>
                      <w:color w:val="auto"/>
                      <w:sz w:val="18"/>
                      <w:szCs w:val="18"/>
                      <w:lang w:val="en-US" w:eastAsia="zh-CN"/>
                    </w:rPr>
                  </w:pPr>
                  <w:r>
                    <w:rPr>
                      <w:rFonts w:hint="eastAsia"/>
                      <w:color w:val="auto"/>
                      <w:sz w:val="18"/>
                      <w:szCs w:val="18"/>
                      <w:lang w:val="en-US" w:eastAsia="zh-CN"/>
                    </w:rPr>
                    <w:t>0.01</w:t>
                  </w:r>
                </w:p>
              </w:tc>
              <w:tc>
                <w:tcPr>
                  <w:tcW w:w="767" w:type="dxa"/>
                  <w:tcBorders>
                    <w:tl2br w:val="nil"/>
                    <w:tr2bl w:val="nil"/>
                  </w:tcBorders>
                  <w:shd w:val="clear" w:color="auto" w:fill="auto"/>
                  <w:vAlign w:val="center"/>
                </w:tcPr>
                <w:p>
                  <w:pPr>
                    <w:jc w:val="center"/>
                    <w:rPr>
                      <w:sz w:val="18"/>
                      <w:szCs w:val="18"/>
                    </w:rPr>
                  </w:pPr>
                  <w:r>
                    <w:rPr>
                      <w:sz w:val="18"/>
                      <w:szCs w:val="18"/>
                    </w:rPr>
                    <w:t>√</w:t>
                  </w:r>
                </w:p>
              </w:tc>
              <w:tc>
                <w:tcPr>
                  <w:tcW w:w="823" w:type="dxa"/>
                  <w:tcBorders>
                    <w:tl2br w:val="nil"/>
                    <w:tr2bl w:val="nil"/>
                  </w:tcBorders>
                  <w:shd w:val="clear" w:color="auto" w:fill="auto"/>
                  <w:vAlign w:val="center"/>
                </w:tcPr>
                <w:p>
                  <w:pPr>
                    <w:jc w:val="center"/>
                    <w:rPr>
                      <w:sz w:val="18"/>
                      <w:szCs w:val="18"/>
                    </w:rPr>
                  </w:pPr>
                  <w:r>
                    <w:rPr>
                      <w:sz w:val="18"/>
                      <w:szCs w:val="18"/>
                    </w:rPr>
                    <w:t>/</w:t>
                  </w:r>
                </w:p>
              </w:tc>
              <w:tc>
                <w:tcPr>
                  <w:tcW w:w="915" w:type="dxa"/>
                  <w:vMerge w:val="continue"/>
                  <w:tcBorders>
                    <w:tl2br w:val="nil"/>
                    <w:tr2bl w:val="nil"/>
                  </w:tcBorders>
                  <w:vAlign w:val="center"/>
                </w:tcPr>
                <w:p>
                  <w:pPr>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443" w:type="dxa"/>
                  <w:tcBorders>
                    <w:tl2br w:val="nil"/>
                    <w:tr2bl w:val="nil"/>
                  </w:tcBorders>
                  <w:shd w:val="clear" w:color="auto" w:fill="auto"/>
                  <w:vAlign w:val="center"/>
                </w:tcPr>
                <w:p>
                  <w:pPr>
                    <w:jc w:val="center"/>
                    <w:rPr>
                      <w:rFonts w:hint="default"/>
                      <w:sz w:val="18"/>
                      <w:szCs w:val="18"/>
                      <w:lang w:val="en-US" w:eastAsia="zh-CN"/>
                    </w:rPr>
                  </w:pPr>
                  <w:r>
                    <w:rPr>
                      <w:rFonts w:hint="eastAsia"/>
                      <w:sz w:val="18"/>
                      <w:szCs w:val="18"/>
                      <w:lang w:val="en-US" w:eastAsia="zh-CN"/>
                    </w:rPr>
                    <w:t>12</w:t>
                  </w:r>
                </w:p>
              </w:tc>
              <w:tc>
                <w:tcPr>
                  <w:tcW w:w="1029" w:type="dxa"/>
                  <w:tcBorders>
                    <w:tl2br w:val="nil"/>
                    <w:tr2bl w:val="nil"/>
                  </w:tcBorders>
                  <w:shd w:val="clear" w:color="auto" w:fill="auto"/>
                  <w:vAlign w:val="center"/>
                </w:tcPr>
                <w:p>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废包装桶</w:t>
                  </w:r>
                </w:p>
              </w:tc>
              <w:tc>
                <w:tcPr>
                  <w:tcW w:w="985" w:type="dxa"/>
                  <w:tcBorders>
                    <w:tl2br w:val="nil"/>
                    <w:tr2bl w:val="nil"/>
                  </w:tcBorders>
                  <w:shd w:val="clear" w:color="auto" w:fill="auto"/>
                  <w:vAlign w:val="center"/>
                </w:tcPr>
                <w:p>
                  <w:pPr>
                    <w:jc w:val="center"/>
                    <w:rPr>
                      <w:color w:val="auto"/>
                      <w:sz w:val="18"/>
                      <w:szCs w:val="18"/>
                    </w:rPr>
                  </w:pPr>
                  <w:r>
                    <w:rPr>
                      <w:rFonts w:hint="eastAsia" w:ascii="Times New Roman" w:hAnsi="Times New Roman" w:eastAsia="宋体" w:cs="Times New Roman"/>
                      <w:color w:val="auto"/>
                      <w:sz w:val="18"/>
                      <w:szCs w:val="18"/>
                      <w:lang w:val="en-US" w:eastAsia="zh-CN"/>
                    </w:rPr>
                    <w:t>金属加工</w:t>
                  </w:r>
                </w:p>
              </w:tc>
              <w:tc>
                <w:tcPr>
                  <w:tcW w:w="820" w:type="dxa"/>
                  <w:tcBorders>
                    <w:tl2br w:val="nil"/>
                    <w:tr2bl w:val="nil"/>
                  </w:tcBorders>
                  <w:shd w:val="clear" w:color="auto" w:fill="auto"/>
                  <w:vAlign w:val="center"/>
                </w:tcPr>
                <w:p>
                  <w:pPr>
                    <w:jc w:val="center"/>
                    <w:rPr>
                      <w:color w:val="auto"/>
                      <w:sz w:val="18"/>
                      <w:szCs w:val="18"/>
                    </w:rPr>
                  </w:pPr>
                  <w:r>
                    <w:rPr>
                      <w:color w:val="auto"/>
                      <w:sz w:val="18"/>
                      <w:szCs w:val="18"/>
                    </w:rPr>
                    <w:t>固态</w:t>
                  </w:r>
                </w:p>
              </w:tc>
              <w:tc>
                <w:tcPr>
                  <w:tcW w:w="911" w:type="dxa"/>
                  <w:tcBorders>
                    <w:tl2br w:val="nil"/>
                    <w:tr2bl w:val="nil"/>
                  </w:tcBorders>
                  <w:shd w:val="clear" w:color="auto" w:fill="auto"/>
                  <w:vAlign w:val="center"/>
                </w:tcPr>
                <w:p>
                  <w:pPr>
                    <w:jc w:val="center"/>
                    <w:rPr>
                      <w:color w:val="auto"/>
                      <w:sz w:val="18"/>
                      <w:szCs w:val="18"/>
                    </w:rPr>
                  </w:pPr>
                  <w:r>
                    <w:rPr>
                      <w:rFonts w:hint="eastAsia"/>
                      <w:color w:val="auto"/>
                      <w:sz w:val="18"/>
                      <w:szCs w:val="18"/>
                      <w:lang w:eastAsia="zh-CN"/>
                    </w:rPr>
                    <w:t>有机物</w:t>
                  </w:r>
                </w:p>
              </w:tc>
              <w:tc>
                <w:tcPr>
                  <w:tcW w:w="944" w:type="dxa"/>
                  <w:tcBorders>
                    <w:tl2br w:val="nil"/>
                    <w:tr2bl w:val="nil"/>
                  </w:tcBorders>
                  <w:shd w:val="clear" w:color="auto" w:fill="auto"/>
                  <w:vAlign w:val="center"/>
                </w:tcPr>
                <w:p>
                  <w:pPr>
                    <w:jc w:val="center"/>
                    <w:rPr>
                      <w:rFonts w:hint="default"/>
                      <w:color w:val="auto"/>
                      <w:sz w:val="18"/>
                      <w:szCs w:val="18"/>
                      <w:lang w:val="en-US" w:eastAsia="zh-CN"/>
                    </w:rPr>
                  </w:pPr>
                  <w:r>
                    <w:rPr>
                      <w:rFonts w:hint="eastAsia"/>
                      <w:color w:val="auto"/>
                      <w:sz w:val="18"/>
                      <w:szCs w:val="18"/>
                      <w:lang w:val="en-US" w:eastAsia="zh-CN"/>
                    </w:rPr>
                    <w:t>0.2</w:t>
                  </w:r>
                </w:p>
              </w:tc>
              <w:tc>
                <w:tcPr>
                  <w:tcW w:w="767" w:type="dxa"/>
                  <w:tcBorders>
                    <w:tl2br w:val="nil"/>
                    <w:tr2bl w:val="nil"/>
                  </w:tcBorders>
                  <w:shd w:val="clear" w:color="auto" w:fill="auto"/>
                  <w:vAlign w:val="center"/>
                </w:tcPr>
                <w:p>
                  <w:pPr>
                    <w:jc w:val="center"/>
                    <w:rPr>
                      <w:sz w:val="18"/>
                      <w:szCs w:val="18"/>
                    </w:rPr>
                  </w:pPr>
                  <w:r>
                    <w:rPr>
                      <w:sz w:val="18"/>
                      <w:szCs w:val="18"/>
                    </w:rPr>
                    <w:t>√</w:t>
                  </w:r>
                </w:p>
              </w:tc>
              <w:tc>
                <w:tcPr>
                  <w:tcW w:w="823" w:type="dxa"/>
                  <w:tcBorders>
                    <w:tl2br w:val="nil"/>
                    <w:tr2bl w:val="nil"/>
                  </w:tcBorders>
                  <w:shd w:val="clear" w:color="auto" w:fill="auto"/>
                  <w:vAlign w:val="center"/>
                </w:tcPr>
                <w:p>
                  <w:pPr>
                    <w:jc w:val="center"/>
                    <w:rPr>
                      <w:sz w:val="18"/>
                      <w:szCs w:val="18"/>
                    </w:rPr>
                  </w:pPr>
                  <w:r>
                    <w:rPr>
                      <w:sz w:val="18"/>
                      <w:szCs w:val="18"/>
                    </w:rPr>
                    <w:t>/</w:t>
                  </w:r>
                </w:p>
              </w:tc>
              <w:tc>
                <w:tcPr>
                  <w:tcW w:w="915" w:type="dxa"/>
                  <w:vMerge w:val="continue"/>
                  <w:tcBorders>
                    <w:tl2br w:val="nil"/>
                    <w:tr2bl w:val="nil"/>
                  </w:tcBorders>
                  <w:vAlign w:val="center"/>
                </w:tcPr>
                <w:p>
                  <w:pPr>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443" w:type="dxa"/>
                  <w:tcBorders>
                    <w:tl2br w:val="nil"/>
                    <w:tr2bl w:val="nil"/>
                  </w:tcBorders>
                  <w:vAlign w:val="center"/>
                </w:tcPr>
                <w:p>
                  <w:pPr>
                    <w:jc w:val="center"/>
                    <w:rPr>
                      <w:rFonts w:hint="default" w:eastAsia="宋体"/>
                      <w:sz w:val="18"/>
                      <w:szCs w:val="18"/>
                      <w:lang w:val="en-US" w:eastAsia="zh-CN"/>
                    </w:rPr>
                  </w:pPr>
                  <w:r>
                    <w:rPr>
                      <w:rFonts w:hint="eastAsia"/>
                      <w:sz w:val="18"/>
                      <w:szCs w:val="18"/>
                      <w:lang w:val="en-US" w:eastAsia="zh-CN"/>
                    </w:rPr>
                    <w:t>13</w:t>
                  </w:r>
                </w:p>
              </w:tc>
              <w:tc>
                <w:tcPr>
                  <w:tcW w:w="1029" w:type="dxa"/>
                  <w:tcBorders>
                    <w:tl2br w:val="nil"/>
                    <w:tr2bl w:val="nil"/>
                  </w:tcBorders>
                  <w:shd w:val="clear" w:color="auto" w:fill="auto"/>
                  <w:vAlign w:val="center"/>
                </w:tcPr>
                <w:p>
                  <w:pPr>
                    <w:jc w:val="center"/>
                    <w:rPr>
                      <w:rFonts w:hint="eastAsia" w:ascii="Times New Roman" w:hAnsi="Times New Roman" w:eastAsia="宋体" w:cs="Times New Roman"/>
                      <w:kern w:val="2"/>
                      <w:sz w:val="18"/>
                      <w:szCs w:val="18"/>
                      <w:lang w:val="en-US" w:eastAsia="zh-CN" w:bidi="ar-SA"/>
                    </w:rPr>
                  </w:pPr>
                  <w:r>
                    <w:rPr>
                      <w:rFonts w:hint="eastAsia"/>
                      <w:sz w:val="18"/>
                      <w:szCs w:val="18"/>
                      <w:lang w:eastAsia="zh-CN"/>
                    </w:rPr>
                    <w:t>生活垃圾</w:t>
                  </w:r>
                </w:p>
              </w:tc>
              <w:tc>
                <w:tcPr>
                  <w:tcW w:w="985" w:type="dxa"/>
                  <w:tcBorders>
                    <w:tl2br w:val="nil"/>
                    <w:tr2bl w:val="nil"/>
                  </w:tcBorders>
                  <w:shd w:val="clear" w:color="auto" w:fill="auto"/>
                  <w:vAlign w:val="center"/>
                </w:tcPr>
                <w:p>
                  <w:pPr>
                    <w:jc w:val="center"/>
                    <w:rPr>
                      <w:rFonts w:hint="eastAsia" w:ascii="Times New Roman" w:hAnsi="Times New Roman" w:eastAsia="宋体" w:cs="Times New Roman"/>
                      <w:kern w:val="2"/>
                      <w:sz w:val="18"/>
                      <w:szCs w:val="18"/>
                      <w:lang w:val="en-US" w:eastAsia="zh-CN" w:bidi="ar-SA"/>
                    </w:rPr>
                  </w:pPr>
                  <w:r>
                    <w:rPr>
                      <w:rFonts w:hint="eastAsia"/>
                      <w:sz w:val="18"/>
                      <w:szCs w:val="18"/>
                      <w:lang w:eastAsia="zh-CN"/>
                    </w:rPr>
                    <w:t>员工生活</w:t>
                  </w:r>
                </w:p>
              </w:tc>
              <w:tc>
                <w:tcPr>
                  <w:tcW w:w="820" w:type="dxa"/>
                  <w:tcBorders>
                    <w:tl2br w:val="nil"/>
                    <w:tr2bl w:val="nil"/>
                  </w:tcBorders>
                  <w:shd w:val="clear" w:color="auto" w:fill="auto"/>
                  <w:vAlign w:val="center"/>
                </w:tcPr>
                <w:p>
                  <w:pPr>
                    <w:jc w:val="center"/>
                    <w:rPr>
                      <w:rFonts w:hint="eastAsia" w:ascii="Times New Roman" w:hAnsi="Times New Roman" w:eastAsia="宋体" w:cs="Times New Roman"/>
                      <w:kern w:val="2"/>
                      <w:sz w:val="18"/>
                      <w:szCs w:val="18"/>
                      <w:lang w:val="en-US" w:eastAsia="zh-CN" w:bidi="ar-SA"/>
                    </w:rPr>
                  </w:pPr>
                  <w:r>
                    <w:rPr>
                      <w:rFonts w:hint="eastAsia"/>
                      <w:sz w:val="18"/>
                      <w:szCs w:val="18"/>
                      <w:lang w:eastAsia="zh-CN"/>
                    </w:rPr>
                    <w:t>固态</w:t>
                  </w:r>
                </w:p>
              </w:tc>
              <w:tc>
                <w:tcPr>
                  <w:tcW w:w="911" w:type="dxa"/>
                  <w:tcBorders>
                    <w:tl2br w:val="nil"/>
                    <w:tr2bl w:val="nil"/>
                  </w:tcBorders>
                  <w:shd w:val="clear" w:color="auto" w:fill="auto"/>
                  <w:vAlign w:val="center"/>
                </w:tcPr>
                <w:p>
                  <w:pPr>
                    <w:jc w:val="center"/>
                    <w:rPr>
                      <w:rFonts w:hint="eastAsia" w:ascii="Times New Roman" w:hAnsi="Times New Roman" w:eastAsia="宋体" w:cs="Times New Roman"/>
                      <w:kern w:val="2"/>
                      <w:sz w:val="18"/>
                      <w:szCs w:val="18"/>
                      <w:lang w:val="en-US" w:eastAsia="zh-CN" w:bidi="ar-SA"/>
                    </w:rPr>
                  </w:pPr>
                  <w:r>
                    <w:rPr>
                      <w:rFonts w:hint="eastAsia"/>
                      <w:sz w:val="18"/>
                      <w:szCs w:val="18"/>
                      <w:lang w:val="en-US" w:eastAsia="zh-CN"/>
                    </w:rPr>
                    <w:t>/</w:t>
                  </w:r>
                </w:p>
              </w:tc>
              <w:tc>
                <w:tcPr>
                  <w:tcW w:w="944" w:type="dxa"/>
                  <w:tcBorders>
                    <w:tl2br w:val="nil"/>
                    <w:tr2bl w:val="nil"/>
                  </w:tcBorders>
                  <w:shd w:val="clear" w:color="auto" w:fill="auto"/>
                  <w:vAlign w:val="center"/>
                </w:tcPr>
                <w:p>
                  <w:pPr>
                    <w:jc w:val="center"/>
                    <w:rPr>
                      <w:rFonts w:hint="default" w:ascii="Times New Roman" w:hAnsi="Times New Roman" w:eastAsia="宋体" w:cs="Times New Roman"/>
                      <w:kern w:val="2"/>
                      <w:sz w:val="18"/>
                      <w:szCs w:val="18"/>
                      <w:lang w:val="en-US" w:eastAsia="zh-CN" w:bidi="ar-SA"/>
                    </w:rPr>
                  </w:pPr>
                  <w:r>
                    <w:rPr>
                      <w:rFonts w:hint="eastAsia"/>
                      <w:sz w:val="18"/>
                      <w:szCs w:val="18"/>
                      <w:lang w:val="en-US" w:eastAsia="zh-CN"/>
                    </w:rPr>
                    <w:t>6</w:t>
                  </w:r>
                </w:p>
              </w:tc>
              <w:tc>
                <w:tcPr>
                  <w:tcW w:w="767" w:type="dxa"/>
                  <w:tcBorders>
                    <w:tl2br w:val="nil"/>
                    <w:tr2bl w:val="nil"/>
                  </w:tcBorders>
                  <w:shd w:val="clear" w:color="auto" w:fill="auto"/>
                  <w:vAlign w:val="center"/>
                </w:tcPr>
                <w:p>
                  <w:pPr>
                    <w:jc w:val="center"/>
                    <w:rPr>
                      <w:rFonts w:ascii="Times New Roman" w:hAnsi="Times New Roman" w:eastAsia="宋体" w:cs="Times New Roman"/>
                      <w:kern w:val="2"/>
                      <w:sz w:val="18"/>
                      <w:szCs w:val="18"/>
                      <w:lang w:val="en-US" w:eastAsia="zh-CN" w:bidi="ar-SA"/>
                    </w:rPr>
                  </w:pPr>
                  <w:r>
                    <w:rPr>
                      <w:sz w:val="18"/>
                      <w:szCs w:val="18"/>
                    </w:rPr>
                    <w:t>√</w:t>
                  </w:r>
                </w:p>
              </w:tc>
              <w:tc>
                <w:tcPr>
                  <w:tcW w:w="823" w:type="dxa"/>
                  <w:tcBorders>
                    <w:tl2br w:val="nil"/>
                    <w:tr2bl w:val="nil"/>
                  </w:tcBorders>
                  <w:shd w:val="clear" w:color="auto" w:fill="auto"/>
                  <w:vAlign w:val="center"/>
                </w:tcPr>
                <w:p>
                  <w:pPr>
                    <w:jc w:val="center"/>
                    <w:rPr>
                      <w:rFonts w:ascii="Times New Roman" w:hAnsi="Times New Roman" w:eastAsia="宋体" w:cs="Times New Roman"/>
                      <w:kern w:val="2"/>
                      <w:sz w:val="18"/>
                      <w:szCs w:val="18"/>
                      <w:lang w:val="en-US" w:eastAsia="zh-CN" w:bidi="ar-SA"/>
                    </w:rPr>
                  </w:pPr>
                  <w:r>
                    <w:rPr>
                      <w:sz w:val="18"/>
                      <w:szCs w:val="18"/>
                    </w:rPr>
                    <w:t>/</w:t>
                  </w:r>
                </w:p>
              </w:tc>
              <w:tc>
                <w:tcPr>
                  <w:tcW w:w="915" w:type="dxa"/>
                  <w:vMerge w:val="continue"/>
                  <w:tcBorders>
                    <w:tl2br w:val="nil"/>
                    <w:tr2bl w:val="nil"/>
                  </w:tcBorders>
                  <w:vAlign w:val="center"/>
                </w:tcPr>
                <w:p>
                  <w:pPr>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443" w:type="dxa"/>
                  <w:tcBorders>
                    <w:tl2br w:val="nil"/>
                    <w:tr2bl w:val="nil"/>
                  </w:tcBorders>
                  <w:vAlign w:val="center"/>
                </w:tcPr>
                <w:p>
                  <w:pPr>
                    <w:jc w:val="center"/>
                    <w:rPr>
                      <w:rFonts w:hint="default"/>
                      <w:sz w:val="18"/>
                      <w:szCs w:val="18"/>
                      <w:lang w:val="en-US" w:eastAsia="zh-CN"/>
                    </w:rPr>
                  </w:pPr>
                  <w:r>
                    <w:rPr>
                      <w:rFonts w:hint="eastAsia"/>
                      <w:sz w:val="18"/>
                      <w:szCs w:val="18"/>
                      <w:lang w:val="en-US" w:eastAsia="zh-CN"/>
                    </w:rPr>
                    <w:t>14</w:t>
                  </w:r>
                </w:p>
              </w:tc>
              <w:tc>
                <w:tcPr>
                  <w:tcW w:w="1029" w:type="dxa"/>
                  <w:tcBorders>
                    <w:tl2br w:val="nil"/>
                    <w:tr2bl w:val="nil"/>
                  </w:tcBorders>
                  <w:shd w:val="clear" w:color="auto" w:fill="auto"/>
                  <w:vAlign w:val="center"/>
                </w:tcPr>
                <w:p>
                  <w:pPr>
                    <w:jc w:val="center"/>
                    <w:rPr>
                      <w:rFonts w:hint="eastAsia"/>
                      <w:sz w:val="18"/>
                      <w:szCs w:val="18"/>
                      <w:lang w:eastAsia="zh-CN"/>
                    </w:rPr>
                  </w:pPr>
                  <w:r>
                    <w:rPr>
                      <w:rFonts w:hint="eastAsia" w:ascii="Times New Roman" w:hAnsi="Times New Roman" w:eastAsia="宋体" w:cs="Times New Roman"/>
                      <w:sz w:val="18"/>
                      <w:szCs w:val="18"/>
                      <w:lang w:val="en-US" w:eastAsia="zh-CN"/>
                    </w:rPr>
                    <w:t>餐厨垃圾</w:t>
                  </w:r>
                </w:p>
              </w:tc>
              <w:tc>
                <w:tcPr>
                  <w:tcW w:w="985" w:type="dxa"/>
                  <w:tcBorders>
                    <w:tl2br w:val="nil"/>
                    <w:tr2bl w:val="nil"/>
                  </w:tcBorders>
                  <w:shd w:val="clear" w:color="auto" w:fill="auto"/>
                  <w:vAlign w:val="center"/>
                </w:tcPr>
                <w:p>
                  <w:pPr>
                    <w:jc w:val="center"/>
                    <w:rPr>
                      <w:rFonts w:hint="eastAsia"/>
                      <w:sz w:val="18"/>
                      <w:szCs w:val="18"/>
                      <w:lang w:eastAsia="zh-CN"/>
                    </w:rPr>
                  </w:pPr>
                  <w:r>
                    <w:rPr>
                      <w:rFonts w:hint="eastAsia"/>
                      <w:sz w:val="18"/>
                      <w:szCs w:val="18"/>
                      <w:lang w:eastAsia="zh-CN"/>
                    </w:rPr>
                    <w:t>食堂</w:t>
                  </w:r>
                </w:p>
              </w:tc>
              <w:tc>
                <w:tcPr>
                  <w:tcW w:w="820" w:type="dxa"/>
                  <w:tcBorders>
                    <w:tl2br w:val="nil"/>
                    <w:tr2bl w:val="nil"/>
                  </w:tcBorders>
                  <w:shd w:val="clear" w:color="auto" w:fill="auto"/>
                  <w:vAlign w:val="center"/>
                </w:tcPr>
                <w:p>
                  <w:pPr>
                    <w:jc w:val="center"/>
                    <w:rPr>
                      <w:rFonts w:hint="eastAsia"/>
                      <w:sz w:val="18"/>
                      <w:szCs w:val="18"/>
                      <w:lang w:eastAsia="zh-CN"/>
                    </w:rPr>
                  </w:pPr>
                  <w:r>
                    <w:rPr>
                      <w:rFonts w:hint="eastAsia"/>
                      <w:sz w:val="18"/>
                      <w:szCs w:val="18"/>
                      <w:lang w:eastAsia="zh-CN"/>
                    </w:rPr>
                    <w:t>半固</w:t>
                  </w:r>
                </w:p>
              </w:tc>
              <w:tc>
                <w:tcPr>
                  <w:tcW w:w="911" w:type="dxa"/>
                  <w:tcBorders>
                    <w:tl2br w:val="nil"/>
                    <w:tr2bl w:val="nil"/>
                  </w:tcBorders>
                  <w:shd w:val="clear" w:color="auto" w:fill="auto"/>
                  <w:vAlign w:val="center"/>
                </w:tcPr>
                <w:p>
                  <w:pPr>
                    <w:jc w:val="center"/>
                    <w:rPr>
                      <w:rFonts w:hint="eastAsia"/>
                      <w:sz w:val="18"/>
                      <w:szCs w:val="18"/>
                      <w:lang w:val="en-US" w:eastAsia="zh-CN"/>
                    </w:rPr>
                  </w:pPr>
                  <w:r>
                    <w:rPr>
                      <w:rFonts w:hint="default" w:ascii="Times New Roman" w:hAnsi="Times New Roman" w:eastAsia="宋体" w:cs="Times New Roman"/>
                      <w:sz w:val="18"/>
                      <w:szCs w:val="18"/>
                      <w:lang w:val="en-US" w:eastAsia="zh-CN"/>
                    </w:rPr>
                    <w:t>食用油等</w:t>
                  </w:r>
                </w:p>
              </w:tc>
              <w:tc>
                <w:tcPr>
                  <w:tcW w:w="944" w:type="dxa"/>
                  <w:tcBorders>
                    <w:tl2br w:val="nil"/>
                    <w:tr2bl w:val="nil"/>
                  </w:tcBorders>
                  <w:shd w:val="clear" w:color="auto" w:fill="auto"/>
                  <w:vAlign w:val="center"/>
                </w:tcPr>
                <w:p>
                  <w:pPr>
                    <w:jc w:val="center"/>
                    <w:rPr>
                      <w:rFonts w:hint="default"/>
                      <w:sz w:val="18"/>
                      <w:szCs w:val="18"/>
                      <w:lang w:val="en-US" w:eastAsia="zh-CN"/>
                    </w:rPr>
                  </w:pPr>
                  <w:r>
                    <w:rPr>
                      <w:rFonts w:hint="eastAsia"/>
                      <w:sz w:val="18"/>
                      <w:szCs w:val="18"/>
                      <w:lang w:val="en-US" w:eastAsia="zh-CN"/>
                    </w:rPr>
                    <w:t>30</w:t>
                  </w:r>
                </w:p>
              </w:tc>
              <w:tc>
                <w:tcPr>
                  <w:tcW w:w="767" w:type="dxa"/>
                  <w:tcBorders>
                    <w:tl2br w:val="nil"/>
                    <w:tr2bl w:val="nil"/>
                  </w:tcBorders>
                  <w:shd w:val="clear" w:color="auto" w:fill="auto"/>
                  <w:vAlign w:val="center"/>
                </w:tcPr>
                <w:p>
                  <w:pPr>
                    <w:jc w:val="center"/>
                    <w:rPr>
                      <w:sz w:val="18"/>
                      <w:szCs w:val="18"/>
                    </w:rPr>
                  </w:pPr>
                  <w:r>
                    <w:rPr>
                      <w:sz w:val="18"/>
                      <w:szCs w:val="18"/>
                    </w:rPr>
                    <w:t>√</w:t>
                  </w:r>
                </w:p>
              </w:tc>
              <w:tc>
                <w:tcPr>
                  <w:tcW w:w="823" w:type="dxa"/>
                  <w:tcBorders>
                    <w:tl2br w:val="nil"/>
                    <w:tr2bl w:val="nil"/>
                  </w:tcBorders>
                  <w:shd w:val="clear" w:color="auto" w:fill="auto"/>
                  <w:vAlign w:val="center"/>
                </w:tcPr>
                <w:p>
                  <w:pPr>
                    <w:jc w:val="center"/>
                    <w:rPr>
                      <w:sz w:val="18"/>
                      <w:szCs w:val="18"/>
                    </w:rPr>
                  </w:pPr>
                  <w:r>
                    <w:rPr>
                      <w:sz w:val="18"/>
                      <w:szCs w:val="18"/>
                    </w:rPr>
                    <w:t>/</w:t>
                  </w:r>
                </w:p>
              </w:tc>
              <w:tc>
                <w:tcPr>
                  <w:tcW w:w="915" w:type="dxa"/>
                  <w:vMerge w:val="continue"/>
                  <w:tcBorders>
                    <w:tl2br w:val="nil"/>
                    <w:tr2bl w:val="nil"/>
                  </w:tcBorders>
                  <w:vAlign w:val="center"/>
                </w:tcPr>
                <w:p>
                  <w:pPr>
                    <w:jc w:val="center"/>
                    <w:rPr>
                      <w:sz w:val="18"/>
                      <w:szCs w:val="18"/>
                    </w:rPr>
                  </w:pPr>
                </w:p>
              </w:tc>
            </w:tr>
          </w:tbl>
          <w:p>
            <w:pPr>
              <w:widowControl/>
              <w:spacing w:line="500" w:lineRule="exact"/>
              <w:ind w:firstLine="420" w:firstLineChars="200"/>
              <w:jc w:val="left"/>
            </w:pPr>
            <w:r>
              <w:t xml:space="preserve">3、固体废物产生情况汇总 </w:t>
            </w:r>
          </w:p>
          <w:p>
            <w:pPr>
              <w:widowControl/>
              <w:spacing w:line="500" w:lineRule="exact"/>
              <w:ind w:firstLine="420" w:firstLineChars="200"/>
              <w:jc w:val="left"/>
            </w:pPr>
            <w:r>
              <w:t>本项目运营期固体废物产生情况汇总见表4-</w:t>
            </w:r>
            <w:r>
              <w:rPr>
                <w:rFonts w:hint="eastAsia"/>
                <w:lang w:val="en-US" w:eastAsia="zh-CN"/>
              </w:rPr>
              <w:t>22</w:t>
            </w:r>
            <w:r>
              <w:t>。</w:t>
            </w:r>
          </w:p>
          <w:p>
            <w:pPr>
              <w:spacing w:line="500" w:lineRule="exact"/>
              <w:jc w:val="center"/>
              <w:rPr>
                <w:b/>
                <w:bCs/>
              </w:rPr>
            </w:pPr>
            <w:r>
              <w:rPr>
                <w:b/>
                <w:bCs/>
              </w:rPr>
              <w:t>表 4-</w:t>
            </w:r>
            <w:r>
              <w:rPr>
                <w:rFonts w:hint="eastAsia"/>
                <w:b/>
                <w:bCs/>
                <w:lang w:val="en-US" w:eastAsia="zh-CN"/>
              </w:rPr>
              <w:t>22</w:t>
            </w:r>
            <w:r>
              <w:rPr>
                <w:b/>
                <w:bCs/>
              </w:rPr>
              <w:t xml:space="preserve"> 固体废物产生与处置情况汇总表</w:t>
            </w:r>
          </w:p>
          <w:tbl>
            <w:tblPr>
              <w:tblStyle w:val="22"/>
              <w:tblW w:w="761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6"/>
              <w:gridCol w:w="846"/>
              <w:gridCol w:w="614"/>
              <w:gridCol w:w="614"/>
              <w:gridCol w:w="614"/>
              <w:gridCol w:w="614"/>
              <w:gridCol w:w="643"/>
              <w:gridCol w:w="696"/>
              <w:gridCol w:w="1196"/>
              <w:gridCol w:w="767"/>
              <w:gridCol w:w="6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396" w:type="dxa"/>
                  <w:tcBorders>
                    <w:tl2br w:val="nil"/>
                    <w:tr2bl w:val="nil"/>
                  </w:tcBorders>
                  <w:vAlign w:val="center"/>
                </w:tcPr>
                <w:p>
                  <w:pPr>
                    <w:jc w:val="center"/>
                    <w:rPr>
                      <w:sz w:val="18"/>
                      <w:szCs w:val="18"/>
                    </w:rPr>
                  </w:pPr>
                  <w:r>
                    <w:rPr>
                      <w:sz w:val="18"/>
                      <w:szCs w:val="18"/>
                    </w:rPr>
                    <w:t>序号</w:t>
                  </w:r>
                </w:p>
              </w:tc>
              <w:tc>
                <w:tcPr>
                  <w:tcW w:w="846" w:type="dxa"/>
                  <w:tcBorders>
                    <w:tl2br w:val="nil"/>
                    <w:tr2bl w:val="nil"/>
                  </w:tcBorders>
                  <w:vAlign w:val="center"/>
                </w:tcPr>
                <w:p>
                  <w:pPr>
                    <w:jc w:val="center"/>
                    <w:rPr>
                      <w:sz w:val="18"/>
                      <w:szCs w:val="18"/>
                    </w:rPr>
                  </w:pPr>
                  <w:r>
                    <w:rPr>
                      <w:sz w:val="18"/>
                      <w:szCs w:val="18"/>
                    </w:rPr>
                    <w:t>固废名称</w:t>
                  </w:r>
                </w:p>
              </w:tc>
              <w:tc>
                <w:tcPr>
                  <w:tcW w:w="614" w:type="dxa"/>
                  <w:tcBorders>
                    <w:tl2br w:val="nil"/>
                    <w:tr2bl w:val="nil"/>
                  </w:tcBorders>
                  <w:vAlign w:val="center"/>
                </w:tcPr>
                <w:p>
                  <w:pPr>
                    <w:jc w:val="center"/>
                    <w:rPr>
                      <w:sz w:val="18"/>
                      <w:szCs w:val="18"/>
                    </w:rPr>
                  </w:pPr>
                  <w:r>
                    <w:rPr>
                      <w:sz w:val="18"/>
                      <w:szCs w:val="18"/>
                    </w:rPr>
                    <w:t>属性</w:t>
                  </w:r>
                </w:p>
              </w:tc>
              <w:tc>
                <w:tcPr>
                  <w:tcW w:w="614" w:type="dxa"/>
                  <w:tcBorders>
                    <w:tl2br w:val="nil"/>
                    <w:tr2bl w:val="nil"/>
                  </w:tcBorders>
                  <w:vAlign w:val="center"/>
                </w:tcPr>
                <w:p>
                  <w:pPr>
                    <w:jc w:val="center"/>
                    <w:rPr>
                      <w:sz w:val="18"/>
                      <w:szCs w:val="18"/>
                    </w:rPr>
                  </w:pPr>
                  <w:r>
                    <w:rPr>
                      <w:sz w:val="18"/>
                      <w:szCs w:val="18"/>
                    </w:rPr>
                    <w:t>产生工序</w:t>
                  </w:r>
                </w:p>
              </w:tc>
              <w:tc>
                <w:tcPr>
                  <w:tcW w:w="614" w:type="dxa"/>
                  <w:tcBorders>
                    <w:tl2br w:val="nil"/>
                    <w:tr2bl w:val="nil"/>
                  </w:tcBorders>
                  <w:vAlign w:val="center"/>
                </w:tcPr>
                <w:p>
                  <w:pPr>
                    <w:jc w:val="center"/>
                    <w:rPr>
                      <w:sz w:val="18"/>
                      <w:szCs w:val="18"/>
                    </w:rPr>
                  </w:pPr>
                  <w:r>
                    <w:rPr>
                      <w:sz w:val="18"/>
                      <w:szCs w:val="18"/>
                    </w:rPr>
                    <w:t>形态</w:t>
                  </w:r>
                </w:p>
              </w:tc>
              <w:tc>
                <w:tcPr>
                  <w:tcW w:w="614" w:type="dxa"/>
                  <w:tcBorders>
                    <w:tl2br w:val="nil"/>
                    <w:tr2bl w:val="nil"/>
                  </w:tcBorders>
                  <w:vAlign w:val="center"/>
                </w:tcPr>
                <w:p>
                  <w:pPr>
                    <w:jc w:val="center"/>
                    <w:rPr>
                      <w:sz w:val="18"/>
                      <w:szCs w:val="18"/>
                    </w:rPr>
                  </w:pPr>
                  <w:r>
                    <w:rPr>
                      <w:sz w:val="18"/>
                      <w:szCs w:val="18"/>
                    </w:rPr>
                    <w:t>主要成分</w:t>
                  </w:r>
                </w:p>
              </w:tc>
              <w:tc>
                <w:tcPr>
                  <w:tcW w:w="643" w:type="dxa"/>
                  <w:tcBorders>
                    <w:tl2br w:val="nil"/>
                    <w:tr2bl w:val="nil"/>
                  </w:tcBorders>
                  <w:vAlign w:val="center"/>
                </w:tcPr>
                <w:p>
                  <w:pPr>
                    <w:jc w:val="center"/>
                    <w:rPr>
                      <w:sz w:val="18"/>
                      <w:szCs w:val="18"/>
                    </w:rPr>
                  </w:pPr>
                  <w:r>
                    <w:rPr>
                      <w:sz w:val="18"/>
                      <w:szCs w:val="18"/>
                    </w:rPr>
                    <w:t>危险特性</w:t>
                  </w:r>
                </w:p>
              </w:tc>
              <w:tc>
                <w:tcPr>
                  <w:tcW w:w="696" w:type="dxa"/>
                  <w:tcBorders>
                    <w:tl2br w:val="nil"/>
                    <w:tr2bl w:val="nil"/>
                  </w:tcBorders>
                  <w:vAlign w:val="center"/>
                </w:tcPr>
                <w:p>
                  <w:pPr>
                    <w:jc w:val="center"/>
                    <w:rPr>
                      <w:sz w:val="18"/>
                      <w:szCs w:val="18"/>
                    </w:rPr>
                  </w:pPr>
                  <w:r>
                    <w:rPr>
                      <w:sz w:val="18"/>
                      <w:szCs w:val="18"/>
                    </w:rPr>
                    <w:t>废物类别</w:t>
                  </w:r>
                </w:p>
              </w:tc>
              <w:tc>
                <w:tcPr>
                  <w:tcW w:w="1196" w:type="dxa"/>
                  <w:tcBorders>
                    <w:tl2br w:val="nil"/>
                    <w:tr2bl w:val="nil"/>
                  </w:tcBorders>
                  <w:vAlign w:val="center"/>
                </w:tcPr>
                <w:p>
                  <w:pPr>
                    <w:jc w:val="center"/>
                    <w:rPr>
                      <w:sz w:val="18"/>
                      <w:szCs w:val="18"/>
                    </w:rPr>
                  </w:pPr>
                  <w:r>
                    <w:rPr>
                      <w:sz w:val="18"/>
                      <w:szCs w:val="18"/>
                    </w:rPr>
                    <w:t>废物代码</w:t>
                  </w:r>
                </w:p>
              </w:tc>
              <w:tc>
                <w:tcPr>
                  <w:tcW w:w="767" w:type="dxa"/>
                  <w:tcBorders>
                    <w:tl2br w:val="nil"/>
                    <w:tr2bl w:val="nil"/>
                  </w:tcBorders>
                  <w:vAlign w:val="center"/>
                </w:tcPr>
                <w:p>
                  <w:pPr>
                    <w:jc w:val="center"/>
                    <w:rPr>
                      <w:sz w:val="18"/>
                      <w:szCs w:val="18"/>
                    </w:rPr>
                  </w:pPr>
                  <w:r>
                    <w:rPr>
                      <w:sz w:val="18"/>
                      <w:szCs w:val="18"/>
                    </w:rPr>
                    <w:t>产生量（t/a）</w:t>
                  </w:r>
                </w:p>
              </w:tc>
              <w:tc>
                <w:tcPr>
                  <w:tcW w:w="615" w:type="dxa"/>
                  <w:tcBorders>
                    <w:tl2br w:val="nil"/>
                    <w:tr2bl w:val="nil"/>
                  </w:tcBorders>
                  <w:vAlign w:val="center"/>
                </w:tcPr>
                <w:p>
                  <w:pPr>
                    <w:jc w:val="center"/>
                    <w:rPr>
                      <w:sz w:val="18"/>
                      <w:szCs w:val="18"/>
                    </w:rPr>
                  </w:pPr>
                  <w:r>
                    <w:rPr>
                      <w:sz w:val="18"/>
                      <w:szCs w:val="18"/>
                    </w:rPr>
                    <w:t>处置方法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396" w:type="dxa"/>
                  <w:tcBorders>
                    <w:tl2br w:val="nil"/>
                    <w:tr2bl w:val="nil"/>
                  </w:tcBorders>
                  <w:vAlign w:val="center"/>
                </w:tcPr>
                <w:p>
                  <w:pPr>
                    <w:jc w:val="center"/>
                    <w:rPr>
                      <w:sz w:val="18"/>
                      <w:szCs w:val="18"/>
                    </w:rPr>
                  </w:pPr>
                  <w:r>
                    <w:rPr>
                      <w:sz w:val="18"/>
                      <w:szCs w:val="18"/>
                    </w:rPr>
                    <w:t>1</w:t>
                  </w:r>
                </w:p>
              </w:tc>
              <w:tc>
                <w:tcPr>
                  <w:tcW w:w="846" w:type="dxa"/>
                  <w:tcBorders>
                    <w:tl2br w:val="nil"/>
                    <w:tr2bl w:val="nil"/>
                  </w:tcBorders>
                  <w:shd w:val="clear" w:color="auto" w:fill="auto"/>
                  <w:vAlign w:val="center"/>
                </w:tcPr>
                <w:p>
                  <w:pPr>
                    <w:jc w:val="center"/>
                    <w:rPr>
                      <w:rFonts w:ascii="Times New Roman" w:hAnsi="Times New Roman" w:eastAsia="宋体" w:cs="Times New Roman"/>
                      <w:kern w:val="2"/>
                      <w:sz w:val="18"/>
                      <w:szCs w:val="18"/>
                      <w:lang w:val="en-US" w:eastAsia="zh-CN" w:bidi="ar-SA"/>
                    </w:rPr>
                  </w:pPr>
                  <w:r>
                    <w:rPr>
                      <w:rFonts w:hint="eastAsia" w:ascii="Times New Roman" w:hAnsi="Times New Roman" w:eastAsia="宋体" w:cs="Times New Roman"/>
                      <w:sz w:val="18"/>
                      <w:szCs w:val="18"/>
                      <w:lang w:val="en-US" w:eastAsia="zh-CN"/>
                    </w:rPr>
                    <w:t>废氧化皮</w:t>
                  </w:r>
                </w:p>
              </w:tc>
              <w:tc>
                <w:tcPr>
                  <w:tcW w:w="614" w:type="dxa"/>
                  <w:vMerge w:val="restart"/>
                  <w:tcBorders>
                    <w:tl2br w:val="nil"/>
                    <w:tr2bl w:val="nil"/>
                  </w:tcBorders>
                  <w:vAlign w:val="center"/>
                </w:tcPr>
                <w:p>
                  <w:pPr>
                    <w:jc w:val="center"/>
                    <w:rPr>
                      <w:sz w:val="18"/>
                      <w:szCs w:val="18"/>
                    </w:rPr>
                  </w:pPr>
                  <w:r>
                    <w:rPr>
                      <w:sz w:val="18"/>
                      <w:szCs w:val="18"/>
                    </w:rPr>
                    <w:t>一般固废</w:t>
                  </w:r>
                </w:p>
              </w:tc>
              <w:tc>
                <w:tcPr>
                  <w:tcW w:w="614" w:type="dxa"/>
                  <w:tcBorders>
                    <w:tl2br w:val="nil"/>
                    <w:tr2bl w:val="nil"/>
                  </w:tcBorders>
                  <w:vAlign w:val="center"/>
                </w:tcPr>
                <w:p>
                  <w:pPr>
                    <w:jc w:val="center"/>
                    <w:rPr>
                      <w:sz w:val="18"/>
                      <w:szCs w:val="18"/>
                    </w:rPr>
                  </w:pPr>
                  <w:r>
                    <w:rPr>
                      <w:rFonts w:hint="eastAsia" w:ascii="Times New Roman" w:hAnsi="Times New Roman" w:eastAsia="宋体" w:cs="Times New Roman"/>
                      <w:sz w:val="18"/>
                      <w:szCs w:val="18"/>
                      <w:lang w:val="en-US" w:eastAsia="zh-CN"/>
                    </w:rPr>
                    <w:t>锻造</w:t>
                  </w:r>
                </w:p>
              </w:tc>
              <w:tc>
                <w:tcPr>
                  <w:tcW w:w="614" w:type="dxa"/>
                  <w:tcBorders>
                    <w:tl2br w:val="nil"/>
                    <w:tr2bl w:val="nil"/>
                  </w:tcBorders>
                  <w:vAlign w:val="center"/>
                </w:tcPr>
                <w:p>
                  <w:pPr>
                    <w:jc w:val="center"/>
                    <w:rPr>
                      <w:sz w:val="18"/>
                      <w:szCs w:val="18"/>
                    </w:rPr>
                  </w:pPr>
                  <w:r>
                    <w:rPr>
                      <w:sz w:val="18"/>
                      <w:szCs w:val="18"/>
                    </w:rPr>
                    <w:t>固态</w:t>
                  </w:r>
                </w:p>
              </w:tc>
              <w:tc>
                <w:tcPr>
                  <w:tcW w:w="614" w:type="dxa"/>
                  <w:tcBorders>
                    <w:tl2br w:val="nil"/>
                    <w:tr2bl w:val="nil"/>
                  </w:tcBorders>
                  <w:vAlign w:val="center"/>
                </w:tcPr>
                <w:p>
                  <w:pPr>
                    <w:jc w:val="center"/>
                    <w:rPr>
                      <w:sz w:val="18"/>
                      <w:szCs w:val="18"/>
                    </w:rPr>
                  </w:pPr>
                  <w:r>
                    <w:rPr>
                      <w:sz w:val="18"/>
                      <w:szCs w:val="18"/>
                    </w:rPr>
                    <w:t>/</w:t>
                  </w:r>
                </w:p>
              </w:tc>
              <w:tc>
                <w:tcPr>
                  <w:tcW w:w="643" w:type="dxa"/>
                  <w:tcBorders>
                    <w:tl2br w:val="nil"/>
                    <w:tr2bl w:val="nil"/>
                  </w:tcBorders>
                  <w:vAlign w:val="center"/>
                </w:tcPr>
                <w:p>
                  <w:pPr>
                    <w:jc w:val="center"/>
                    <w:rPr>
                      <w:sz w:val="18"/>
                      <w:szCs w:val="18"/>
                    </w:rPr>
                  </w:pPr>
                  <w:r>
                    <w:rPr>
                      <w:sz w:val="18"/>
                      <w:szCs w:val="18"/>
                    </w:rPr>
                    <w:t>/</w:t>
                  </w:r>
                </w:p>
              </w:tc>
              <w:tc>
                <w:tcPr>
                  <w:tcW w:w="696" w:type="dxa"/>
                  <w:tcBorders>
                    <w:tl2br w:val="nil"/>
                    <w:tr2bl w:val="nil"/>
                  </w:tcBorders>
                  <w:vAlign w:val="center"/>
                </w:tcPr>
                <w:p>
                  <w:pPr>
                    <w:jc w:val="center"/>
                    <w:rPr>
                      <w:rFonts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SW17</w:t>
                  </w:r>
                </w:p>
              </w:tc>
              <w:tc>
                <w:tcPr>
                  <w:tcW w:w="1196" w:type="dxa"/>
                  <w:tcBorders>
                    <w:tl2br w:val="nil"/>
                    <w:tr2bl w:val="nil"/>
                  </w:tcBorders>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lang w:val="en-US" w:eastAsia="zh-CN"/>
                    </w:rPr>
                    <w:t>900</w:t>
                  </w:r>
                  <w:r>
                    <w:rPr>
                      <w:rFonts w:hint="default" w:ascii="Times New Roman" w:hAnsi="Times New Roman" w:eastAsia="宋体" w:cs="Times New Roman"/>
                      <w:sz w:val="18"/>
                      <w:szCs w:val="18"/>
                      <w:lang w:val="en-US" w:eastAsia="zh-CN"/>
                    </w:rPr>
                    <w:t>-001-</w:t>
                  </w:r>
                  <w:r>
                    <w:rPr>
                      <w:rFonts w:hint="eastAsia" w:ascii="Times New Roman" w:hAnsi="Times New Roman" w:eastAsia="宋体" w:cs="Times New Roman"/>
                      <w:sz w:val="18"/>
                      <w:szCs w:val="18"/>
                      <w:lang w:val="en-US" w:eastAsia="zh-CN"/>
                    </w:rPr>
                    <w:t>S17</w:t>
                  </w:r>
                </w:p>
              </w:tc>
              <w:tc>
                <w:tcPr>
                  <w:tcW w:w="767" w:type="dxa"/>
                  <w:tcBorders>
                    <w:tl2br w:val="nil"/>
                    <w:tr2bl w:val="nil"/>
                  </w:tcBorders>
                  <w:vAlign w:val="center"/>
                </w:tcPr>
                <w:p>
                  <w:pPr>
                    <w:jc w:val="center"/>
                    <w:rPr>
                      <w:sz w:val="18"/>
                      <w:szCs w:val="18"/>
                    </w:rPr>
                  </w:pPr>
                  <w:r>
                    <w:rPr>
                      <w:rFonts w:hint="eastAsia" w:ascii="Times New Roman" w:hAnsi="Times New Roman" w:eastAsia="宋体" w:cs="Times New Roman"/>
                      <w:sz w:val="18"/>
                      <w:szCs w:val="18"/>
                      <w:lang w:val="en-US" w:eastAsia="zh-CN"/>
                    </w:rPr>
                    <w:t>99.36</w:t>
                  </w:r>
                </w:p>
              </w:tc>
              <w:tc>
                <w:tcPr>
                  <w:tcW w:w="615" w:type="dxa"/>
                  <w:vMerge w:val="restart"/>
                  <w:tcBorders>
                    <w:tl2br w:val="nil"/>
                    <w:tr2bl w:val="nil"/>
                  </w:tcBorders>
                  <w:vAlign w:val="center"/>
                </w:tcPr>
                <w:p>
                  <w:pPr>
                    <w:jc w:val="center"/>
                    <w:rPr>
                      <w:sz w:val="18"/>
                      <w:szCs w:val="18"/>
                    </w:rPr>
                  </w:pPr>
                  <w:r>
                    <w:rPr>
                      <w:sz w:val="18"/>
                      <w:szCs w:val="18"/>
                    </w:rPr>
                    <w:t>外售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396" w:type="dxa"/>
                  <w:tcBorders>
                    <w:tl2br w:val="nil"/>
                    <w:tr2bl w:val="nil"/>
                  </w:tcBorders>
                  <w:vAlign w:val="center"/>
                </w:tcPr>
                <w:p>
                  <w:pPr>
                    <w:jc w:val="center"/>
                    <w:rPr>
                      <w:sz w:val="18"/>
                      <w:szCs w:val="18"/>
                    </w:rPr>
                  </w:pPr>
                  <w:r>
                    <w:rPr>
                      <w:sz w:val="18"/>
                      <w:szCs w:val="18"/>
                    </w:rPr>
                    <w:t>2</w:t>
                  </w:r>
                </w:p>
              </w:tc>
              <w:tc>
                <w:tcPr>
                  <w:tcW w:w="846" w:type="dxa"/>
                  <w:tcBorders>
                    <w:tl2br w:val="nil"/>
                    <w:tr2bl w:val="nil"/>
                  </w:tcBorders>
                  <w:shd w:val="clear" w:color="auto" w:fill="auto"/>
                  <w:vAlign w:val="center"/>
                </w:tcPr>
                <w:p>
                  <w:pPr>
                    <w:jc w:val="center"/>
                    <w:rPr>
                      <w:rFonts w:ascii="Times New Roman" w:hAnsi="Times New Roman" w:eastAsia="宋体" w:cs="Times New Roman"/>
                      <w:kern w:val="2"/>
                      <w:sz w:val="18"/>
                      <w:szCs w:val="18"/>
                      <w:lang w:val="en-US" w:eastAsia="zh-CN" w:bidi="ar-SA"/>
                    </w:rPr>
                  </w:pPr>
                  <w:r>
                    <w:rPr>
                      <w:rFonts w:ascii="Times New Roman" w:hAnsi="Times New Roman" w:eastAsia="宋体" w:cs="Times New Roman"/>
                      <w:sz w:val="18"/>
                      <w:szCs w:val="18"/>
                    </w:rPr>
                    <w:t>废边角料</w:t>
                  </w:r>
                </w:p>
              </w:tc>
              <w:tc>
                <w:tcPr>
                  <w:tcW w:w="614" w:type="dxa"/>
                  <w:vMerge w:val="continue"/>
                  <w:tcBorders>
                    <w:tl2br w:val="nil"/>
                    <w:tr2bl w:val="nil"/>
                  </w:tcBorders>
                  <w:vAlign w:val="center"/>
                </w:tcPr>
                <w:p>
                  <w:pPr>
                    <w:jc w:val="center"/>
                    <w:rPr>
                      <w:sz w:val="18"/>
                      <w:szCs w:val="18"/>
                    </w:rPr>
                  </w:pPr>
                </w:p>
              </w:tc>
              <w:tc>
                <w:tcPr>
                  <w:tcW w:w="614" w:type="dxa"/>
                  <w:tcBorders>
                    <w:tl2br w:val="nil"/>
                    <w:tr2bl w:val="nil"/>
                  </w:tcBorders>
                  <w:vAlign w:val="center"/>
                </w:tcPr>
                <w:p>
                  <w:pPr>
                    <w:jc w:val="center"/>
                    <w:rPr>
                      <w:sz w:val="18"/>
                      <w:szCs w:val="18"/>
                    </w:rPr>
                  </w:pPr>
                  <w:r>
                    <w:rPr>
                      <w:rFonts w:hint="eastAsia" w:ascii="Times New Roman" w:hAnsi="Times New Roman" w:eastAsia="宋体" w:cs="Times New Roman"/>
                      <w:sz w:val="18"/>
                      <w:szCs w:val="18"/>
                      <w:lang w:val="en-US" w:eastAsia="zh-CN"/>
                    </w:rPr>
                    <w:t>锻造</w:t>
                  </w:r>
                </w:p>
              </w:tc>
              <w:tc>
                <w:tcPr>
                  <w:tcW w:w="614" w:type="dxa"/>
                  <w:tcBorders>
                    <w:tl2br w:val="nil"/>
                    <w:tr2bl w:val="nil"/>
                  </w:tcBorders>
                  <w:vAlign w:val="center"/>
                </w:tcPr>
                <w:p>
                  <w:pPr>
                    <w:jc w:val="center"/>
                    <w:rPr>
                      <w:sz w:val="18"/>
                      <w:szCs w:val="18"/>
                    </w:rPr>
                  </w:pPr>
                  <w:r>
                    <w:rPr>
                      <w:sz w:val="18"/>
                      <w:szCs w:val="18"/>
                    </w:rPr>
                    <w:t>固态</w:t>
                  </w:r>
                </w:p>
              </w:tc>
              <w:tc>
                <w:tcPr>
                  <w:tcW w:w="614" w:type="dxa"/>
                  <w:tcBorders>
                    <w:tl2br w:val="nil"/>
                    <w:tr2bl w:val="nil"/>
                  </w:tcBorders>
                  <w:vAlign w:val="center"/>
                </w:tcPr>
                <w:p>
                  <w:pPr>
                    <w:jc w:val="center"/>
                    <w:rPr>
                      <w:sz w:val="18"/>
                      <w:szCs w:val="18"/>
                    </w:rPr>
                  </w:pPr>
                  <w:r>
                    <w:rPr>
                      <w:sz w:val="18"/>
                      <w:szCs w:val="18"/>
                    </w:rPr>
                    <w:t>/</w:t>
                  </w:r>
                </w:p>
              </w:tc>
              <w:tc>
                <w:tcPr>
                  <w:tcW w:w="643" w:type="dxa"/>
                  <w:tcBorders>
                    <w:tl2br w:val="nil"/>
                    <w:tr2bl w:val="nil"/>
                  </w:tcBorders>
                  <w:vAlign w:val="center"/>
                </w:tcPr>
                <w:p>
                  <w:pPr>
                    <w:jc w:val="center"/>
                    <w:rPr>
                      <w:sz w:val="18"/>
                      <w:szCs w:val="18"/>
                    </w:rPr>
                  </w:pPr>
                  <w:r>
                    <w:rPr>
                      <w:sz w:val="18"/>
                      <w:szCs w:val="18"/>
                    </w:rPr>
                    <w:t>/</w:t>
                  </w:r>
                </w:p>
              </w:tc>
              <w:tc>
                <w:tcPr>
                  <w:tcW w:w="696" w:type="dxa"/>
                  <w:tcBorders>
                    <w:tl2br w:val="nil"/>
                    <w:tr2bl w:val="nil"/>
                  </w:tcBorders>
                  <w:vAlign w:val="center"/>
                </w:tcPr>
                <w:p>
                  <w:pPr>
                    <w:jc w:val="center"/>
                    <w:rPr>
                      <w:rFonts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SW17</w:t>
                  </w:r>
                </w:p>
              </w:tc>
              <w:tc>
                <w:tcPr>
                  <w:tcW w:w="1196" w:type="dxa"/>
                  <w:tcBorders>
                    <w:tl2br w:val="nil"/>
                    <w:tr2bl w:val="nil"/>
                  </w:tcBorders>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lang w:val="en-US" w:eastAsia="zh-CN"/>
                    </w:rPr>
                    <w:t>900</w:t>
                  </w:r>
                  <w:r>
                    <w:rPr>
                      <w:rFonts w:hint="default" w:ascii="Times New Roman" w:hAnsi="Times New Roman" w:eastAsia="宋体" w:cs="Times New Roman"/>
                      <w:sz w:val="18"/>
                      <w:szCs w:val="18"/>
                      <w:lang w:val="en-US" w:eastAsia="zh-CN"/>
                    </w:rPr>
                    <w:t>-001-</w:t>
                  </w:r>
                  <w:r>
                    <w:rPr>
                      <w:rFonts w:hint="eastAsia" w:ascii="Times New Roman" w:hAnsi="Times New Roman" w:eastAsia="宋体" w:cs="Times New Roman"/>
                      <w:sz w:val="18"/>
                      <w:szCs w:val="18"/>
                      <w:lang w:val="en-US" w:eastAsia="zh-CN"/>
                    </w:rPr>
                    <w:t>S17</w:t>
                  </w:r>
                </w:p>
              </w:tc>
              <w:tc>
                <w:tcPr>
                  <w:tcW w:w="767" w:type="dxa"/>
                  <w:tcBorders>
                    <w:tl2br w:val="nil"/>
                    <w:tr2bl w:val="nil"/>
                  </w:tcBorders>
                  <w:vAlign w:val="center"/>
                </w:tcPr>
                <w:p>
                  <w:pPr>
                    <w:jc w:val="center"/>
                    <w:rPr>
                      <w:sz w:val="18"/>
                      <w:szCs w:val="18"/>
                    </w:rPr>
                  </w:pPr>
                  <w:r>
                    <w:rPr>
                      <w:rFonts w:hint="eastAsia" w:ascii="Times New Roman" w:hAnsi="Times New Roman" w:eastAsia="宋体" w:cs="Times New Roman"/>
                      <w:sz w:val="18"/>
                      <w:szCs w:val="18"/>
                      <w:lang w:val="en-US" w:eastAsia="zh-CN"/>
                    </w:rPr>
                    <w:t>99.36</w:t>
                  </w:r>
                </w:p>
              </w:tc>
              <w:tc>
                <w:tcPr>
                  <w:tcW w:w="615" w:type="dxa"/>
                  <w:vMerge w:val="continue"/>
                  <w:tcBorders>
                    <w:tl2br w:val="nil"/>
                    <w:tr2bl w:val="nil"/>
                  </w:tcBorders>
                  <w:vAlign w:val="center"/>
                </w:tcPr>
                <w:p>
                  <w:pPr>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396" w:type="dxa"/>
                  <w:tcBorders>
                    <w:tl2br w:val="nil"/>
                    <w:tr2bl w:val="nil"/>
                  </w:tcBorders>
                  <w:shd w:val="clear" w:color="auto" w:fill="auto"/>
                  <w:vAlign w:val="center"/>
                </w:tcPr>
                <w:p>
                  <w:pPr>
                    <w:jc w:val="center"/>
                    <w:rPr>
                      <w:rFonts w:hint="eastAsia" w:ascii="Times New Roman" w:hAnsi="Times New Roman" w:eastAsia="宋体" w:cs="Times New Roman"/>
                      <w:kern w:val="2"/>
                      <w:sz w:val="18"/>
                      <w:szCs w:val="18"/>
                      <w:lang w:val="en-US" w:eastAsia="zh-CN" w:bidi="ar-SA"/>
                    </w:rPr>
                  </w:pPr>
                  <w:r>
                    <w:rPr>
                      <w:rFonts w:hint="eastAsia"/>
                      <w:sz w:val="18"/>
                      <w:szCs w:val="18"/>
                      <w:lang w:val="en-US" w:eastAsia="zh-CN"/>
                    </w:rPr>
                    <w:t>3</w:t>
                  </w:r>
                </w:p>
              </w:tc>
              <w:tc>
                <w:tcPr>
                  <w:tcW w:w="846" w:type="dxa"/>
                  <w:tcBorders>
                    <w:tl2br w:val="nil"/>
                    <w:tr2bl w:val="nil"/>
                  </w:tcBorders>
                  <w:shd w:val="clear" w:color="auto" w:fill="auto"/>
                  <w:vAlign w:val="center"/>
                </w:tcPr>
                <w:p>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沉渣</w:t>
                  </w:r>
                </w:p>
              </w:tc>
              <w:tc>
                <w:tcPr>
                  <w:tcW w:w="614" w:type="dxa"/>
                  <w:vMerge w:val="continue"/>
                  <w:tcBorders>
                    <w:tl2br w:val="nil"/>
                    <w:tr2bl w:val="nil"/>
                  </w:tcBorders>
                  <w:vAlign w:val="center"/>
                </w:tcPr>
                <w:p>
                  <w:pPr>
                    <w:jc w:val="center"/>
                    <w:rPr>
                      <w:rFonts w:hint="default" w:ascii="Times New Roman" w:hAnsi="Times New Roman" w:eastAsia="宋体" w:cs="Times New Roman"/>
                      <w:color w:val="auto"/>
                      <w:sz w:val="18"/>
                      <w:szCs w:val="18"/>
                      <w:lang w:val="en-US" w:eastAsia="zh-CN"/>
                    </w:rPr>
                  </w:pPr>
                </w:p>
              </w:tc>
              <w:tc>
                <w:tcPr>
                  <w:tcW w:w="614" w:type="dxa"/>
                  <w:tcBorders>
                    <w:tl2br w:val="nil"/>
                    <w:tr2bl w:val="nil"/>
                  </w:tcBorders>
                  <w:vAlign w:val="center"/>
                </w:tcPr>
                <w:p>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热处理</w:t>
                  </w:r>
                </w:p>
              </w:tc>
              <w:tc>
                <w:tcPr>
                  <w:tcW w:w="614" w:type="dxa"/>
                  <w:tcBorders>
                    <w:tl2br w:val="nil"/>
                    <w:tr2bl w:val="nil"/>
                  </w:tcBorders>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固态</w:t>
                  </w:r>
                </w:p>
              </w:tc>
              <w:tc>
                <w:tcPr>
                  <w:tcW w:w="614" w:type="dxa"/>
                  <w:tcBorders>
                    <w:tl2br w:val="nil"/>
                    <w:tr2bl w:val="nil"/>
                  </w:tcBorders>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643" w:type="dxa"/>
                  <w:tcBorders>
                    <w:tl2br w:val="nil"/>
                    <w:tr2bl w:val="nil"/>
                  </w:tcBorders>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696" w:type="dxa"/>
                  <w:tcBorders>
                    <w:tl2br w:val="nil"/>
                    <w:tr2bl w:val="nil"/>
                  </w:tcBorders>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SW17</w:t>
                  </w:r>
                </w:p>
              </w:tc>
              <w:tc>
                <w:tcPr>
                  <w:tcW w:w="1196" w:type="dxa"/>
                  <w:tcBorders>
                    <w:tl2br w:val="nil"/>
                    <w:tr2bl w:val="nil"/>
                  </w:tcBorders>
                  <w:vAlign w:val="center"/>
                </w:tcPr>
                <w:p>
                  <w:pPr>
                    <w:jc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900-099-S17</w:t>
                  </w:r>
                </w:p>
              </w:tc>
              <w:tc>
                <w:tcPr>
                  <w:tcW w:w="767" w:type="dxa"/>
                  <w:tcBorders>
                    <w:tl2br w:val="nil"/>
                    <w:tr2bl w:val="nil"/>
                  </w:tcBorders>
                  <w:vAlign w:val="center"/>
                </w:tcPr>
                <w:p>
                  <w:pPr>
                    <w:jc w:val="center"/>
                    <w:rPr>
                      <w:rFonts w:hint="eastAsia"/>
                      <w:color w:val="auto"/>
                      <w:sz w:val="18"/>
                      <w:szCs w:val="18"/>
                      <w:lang w:val="en-US" w:eastAsia="zh-CN"/>
                    </w:rPr>
                  </w:pPr>
                  <w:r>
                    <w:rPr>
                      <w:rFonts w:hint="eastAsia" w:ascii="Times New Roman" w:hAnsi="Times New Roman" w:eastAsia="宋体" w:cs="Times New Roman"/>
                      <w:color w:val="auto"/>
                      <w:sz w:val="18"/>
                      <w:szCs w:val="18"/>
                      <w:lang w:val="en-US" w:eastAsia="zh-CN"/>
                    </w:rPr>
                    <w:t>99.36</w:t>
                  </w:r>
                </w:p>
              </w:tc>
              <w:tc>
                <w:tcPr>
                  <w:tcW w:w="615" w:type="dxa"/>
                  <w:vMerge w:val="continue"/>
                  <w:tcBorders>
                    <w:tl2br w:val="nil"/>
                    <w:tr2bl w:val="nil"/>
                  </w:tcBorders>
                  <w:vAlign w:val="center"/>
                </w:tcPr>
                <w:p>
                  <w:pPr>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396" w:type="dxa"/>
                  <w:tcBorders>
                    <w:tl2br w:val="nil"/>
                    <w:tr2bl w:val="nil"/>
                  </w:tcBorders>
                  <w:shd w:val="clear" w:color="auto" w:fill="auto"/>
                  <w:vAlign w:val="center"/>
                </w:tcPr>
                <w:p>
                  <w:pPr>
                    <w:jc w:val="center"/>
                    <w:rPr>
                      <w:rFonts w:hint="eastAsia" w:ascii="Times New Roman" w:hAnsi="Times New Roman" w:eastAsia="宋体" w:cs="Times New Roman"/>
                      <w:kern w:val="2"/>
                      <w:sz w:val="18"/>
                      <w:szCs w:val="18"/>
                      <w:lang w:val="en-US" w:eastAsia="zh-CN" w:bidi="ar-SA"/>
                    </w:rPr>
                  </w:pPr>
                  <w:r>
                    <w:rPr>
                      <w:sz w:val="18"/>
                      <w:szCs w:val="18"/>
                    </w:rPr>
                    <w:t>4</w:t>
                  </w:r>
                </w:p>
              </w:tc>
              <w:tc>
                <w:tcPr>
                  <w:tcW w:w="846" w:type="dxa"/>
                  <w:tcBorders>
                    <w:tl2br w:val="nil"/>
                    <w:tr2bl w:val="nil"/>
                  </w:tcBorders>
                  <w:shd w:val="clear" w:color="auto" w:fill="auto"/>
                  <w:vAlign w:val="center"/>
                </w:tcPr>
                <w:p>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除尘灰</w:t>
                  </w:r>
                </w:p>
              </w:tc>
              <w:tc>
                <w:tcPr>
                  <w:tcW w:w="614" w:type="dxa"/>
                  <w:vMerge w:val="continue"/>
                  <w:tcBorders>
                    <w:tl2br w:val="nil"/>
                    <w:tr2bl w:val="nil"/>
                  </w:tcBorders>
                  <w:vAlign w:val="center"/>
                </w:tcPr>
                <w:p>
                  <w:pPr>
                    <w:jc w:val="center"/>
                    <w:rPr>
                      <w:rFonts w:hint="default" w:ascii="Times New Roman" w:hAnsi="Times New Roman" w:eastAsia="宋体" w:cs="Times New Roman"/>
                      <w:color w:val="auto"/>
                      <w:sz w:val="18"/>
                      <w:szCs w:val="18"/>
                      <w:lang w:val="en-US" w:eastAsia="zh-CN"/>
                    </w:rPr>
                  </w:pPr>
                </w:p>
              </w:tc>
              <w:tc>
                <w:tcPr>
                  <w:tcW w:w="614" w:type="dxa"/>
                  <w:tcBorders>
                    <w:tl2br w:val="nil"/>
                    <w:tr2bl w:val="nil"/>
                  </w:tcBorders>
                  <w:vAlign w:val="center"/>
                </w:tcPr>
                <w:p>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机加工</w:t>
                  </w:r>
                </w:p>
              </w:tc>
              <w:tc>
                <w:tcPr>
                  <w:tcW w:w="614" w:type="dxa"/>
                  <w:tcBorders>
                    <w:tl2br w:val="nil"/>
                    <w:tr2bl w:val="nil"/>
                  </w:tcBorders>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固态</w:t>
                  </w:r>
                </w:p>
              </w:tc>
              <w:tc>
                <w:tcPr>
                  <w:tcW w:w="614" w:type="dxa"/>
                  <w:tcBorders>
                    <w:tl2br w:val="nil"/>
                    <w:tr2bl w:val="nil"/>
                  </w:tcBorders>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643" w:type="dxa"/>
                  <w:tcBorders>
                    <w:tl2br w:val="nil"/>
                    <w:tr2bl w:val="nil"/>
                  </w:tcBorders>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696" w:type="dxa"/>
                  <w:tcBorders>
                    <w:tl2br w:val="nil"/>
                    <w:tr2bl w:val="nil"/>
                  </w:tcBorders>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SW17</w:t>
                  </w:r>
                </w:p>
              </w:tc>
              <w:tc>
                <w:tcPr>
                  <w:tcW w:w="1196" w:type="dxa"/>
                  <w:tcBorders>
                    <w:tl2br w:val="nil"/>
                    <w:tr2bl w:val="nil"/>
                  </w:tcBorders>
                  <w:vAlign w:val="center"/>
                </w:tcPr>
                <w:p>
                  <w:pPr>
                    <w:jc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900-099-S17</w:t>
                  </w:r>
                </w:p>
              </w:tc>
              <w:tc>
                <w:tcPr>
                  <w:tcW w:w="767" w:type="dxa"/>
                  <w:tcBorders>
                    <w:tl2br w:val="nil"/>
                    <w:tr2bl w:val="nil"/>
                  </w:tcBorders>
                  <w:vAlign w:val="center"/>
                </w:tcPr>
                <w:p>
                  <w:pPr>
                    <w:jc w:val="center"/>
                    <w:rPr>
                      <w:rFonts w:hint="eastAsia"/>
                      <w:color w:val="auto"/>
                      <w:sz w:val="18"/>
                      <w:szCs w:val="18"/>
                      <w:lang w:val="en-US" w:eastAsia="zh-CN"/>
                    </w:rPr>
                  </w:pPr>
                  <w:r>
                    <w:rPr>
                      <w:rFonts w:hint="eastAsia" w:ascii="Times New Roman" w:hAnsi="Times New Roman" w:eastAsia="宋体" w:cs="Times New Roman"/>
                      <w:color w:val="auto"/>
                      <w:sz w:val="18"/>
                      <w:szCs w:val="18"/>
                      <w:lang w:val="en-US" w:eastAsia="zh-CN"/>
                    </w:rPr>
                    <w:t>25.8124</w:t>
                  </w:r>
                </w:p>
              </w:tc>
              <w:tc>
                <w:tcPr>
                  <w:tcW w:w="615" w:type="dxa"/>
                  <w:vMerge w:val="continue"/>
                  <w:tcBorders>
                    <w:tl2br w:val="nil"/>
                    <w:tr2bl w:val="nil"/>
                  </w:tcBorders>
                  <w:vAlign w:val="center"/>
                </w:tcPr>
                <w:p>
                  <w:pPr>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396" w:type="dxa"/>
                  <w:tcBorders>
                    <w:tl2br w:val="nil"/>
                    <w:tr2bl w:val="nil"/>
                  </w:tcBorders>
                  <w:shd w:val="clear" w:color="auto" w:fill="auto"/>
                  <w:vAlign w:val="center"/>
                </w:tcPr>
                <w:p>
                  <w:pPr>
                    <w:jc w:val="center"/>
                    <w:rPr>
                      <w:rFonts w:hint="eastAsia" w:ascii="Times New Roman" w:hAnsi="Times New Roman" w:eastAsia="宋体" w:cs="Times New Roman"/>
                      <w:kern w:val="2"/>
                      <w:sz w:val="18"/>
                      <w:szCs w:val="18"/>
                      <w:lang w:val="en-US" w:eastAsia="zh-CN" w:bidi="ar-SA"/>
                    </w:rPr>
                  </w:pPr>
                  <w:r>
                    <w:rPr>
                      <w:sz w:val="18"/>
                      <w:szCs w:val="18"/>
                    </w:rPr>
                    <w:t>5</w:t>
                  </w:r>
                </w:p>
              </w:tc>
              <w:tc>
                <w:tcPr>
                  <w:tcW w:w="846" w:type="dxa"/>
                  <w:tcBorders>
                    <w:tl2br w:val="nil"/>
                    <w:tr2bl w:val="nil"/>
                  </w:tcBorders>
                  <w:vAlign w:val="center"/>
                </w:tcPr>
                <w:p>
                  <w:pPr>
                    <w:jc w:val="center"/>
                    <w:rPr>
                      <w:sz w:val="18"/>
                      <w:szCs w:val="18"/>
                    </w:rPr>
                  </w:pPr>
                  <w:r>
                    <w:rPr>
                      <w:sz w:val="18"/>
                      <w:szCs w:val="18"/>
                    </w:rPr>
                    <w:t>废机油</w:t>
                  </w:r>
                </w:p>
              </w:tc>
              <w:tc>
                <w:tcPr>
                  <w:tcW w:w="614" w:type="dxa"/>
                  <w:vMerge w:val="restart"/>
                  <w:tcBorders>
                    <w:tl2br w:val="nil"/>
                    <w:tr2bl w:val="nil"/>
                  </w:tcBorders>
                  <w:vAlign w:val="center"/>
                </w:tcPr>
                <w:p>
                  <w:pPr>
                    <w:jc w:val="center"/>
                    <w:rPr>
                      <w:sz w:val="18"/>
                      <w:szCs w:val="18"/>
                    </w:rPr>
                  </w:pPr>
                  <w:r>
                    <w:rPr>
                      <w:sz w:val="18"/>
                      <w:szCs w:val="18"/>
                    </w:rPr>
                    <w:t>危险废物</w:t>
                  </w:r>
                </w:p>
              </w:tc>
              <w:tc>
                <w:tcPr>
                  <w:tcW w:w="614" w:type="dxa"/>
                  <w:tcBorders>
                    <w:tl2br w:val="nil"/>
                    <w:tr2bl w:val="nil"/>
                  </w:tcBorders>
                  <w:vAlign w:val="center"/>
                </w:tcPr>
                <w:p>
                  <w:pPr>
                    <w:jc w:val="center"/>
                    <w:rPr>
                      <w:sz w:val="18"/>
                      <w:szCs w:val="18"/>
                    </w:rPr>
                  </w:pPr>
                  <w:r>
                    <w:rPr>
                      <w:sz w:val="18"/>
                      <w:szCs w:val="18"/>
                    </w:rPr>
                    <w:t>设备保养</w:t>
                  </w:r>
                </w:p>
              </w:tc>
              <w:tc>
                <w:tcPr>
                  <w:tcW w:w="614" w:type="dxa"/>
                  <w:tcBorders>
                    <w:tl2br w:val="nil"/>
                    <w:tr2bl w:val="nil"/>
                  </w:tcBorders>
                  <w:vAlign w:val="center"/>
                </w:tcPr>
                <w:p>
                  <w:pPr>
                    <w:jc w:val="center"/>
                    <w:rPr>
                      <w:sz w:val="18"/>
                      <w:szCs w:val="18"/>
                    </w:rPr>
                  </w:pPr>
                  <w:r>
                    <w:rPr>
                      <w:sz w:val="18"/>
                      <w:szCs w:val="18"/>
                    </w:rPr>
                    <w:t>液态</w:t>
                  </w:r>
                </w:p>
              </w:tc>
              <w:tc>
                <w:tcPr>
                  <w:tcW w:w="614" w:type="dxa"/>
                  <w:tcBorders>
                    <w:tl2br w:val="nil"/>
                    <w:tr2bl w:val="nil"/>
                  </w:tcBorders>
                  <w:vAlign w:val="center"/>
                </w:tcPr>
                <w:p>
                  <w:pPr>
                    <w:jc w:val="center"/>
                    <w:rPr>
                      <w:sz w:val="18"/>
                      <w:szCs w:val="18"/>
                    </w:rPr>
                  </w:pPr>
                  <w:r>
                    <w:rPr>
                      <w:sz w:val="18"/>
                      <w:szCs w:val="18"/>
                    </w:rPr>
                    <w:t>矿物油</w:t>
                  </w:r>
                </w:p>
              </w:tc>
              <w:tc>
                <w:tcPr>
                  <w:tcW w:w="643" w:type="dxa"/>
                  <w:tcBorders>
                    <w:tl2br w:val="nil"/>
                    <w:tr2bl w:val="nil"/>
                  </w:tcBorders>
                  <w:vAlign w:val="center"/>
                </w:tcPr>
                <w:p>
                  <w:pPr>
                    <w:jc w:val="center"/>
                    <w:rPr>
                      <w:sz w:val="18"/>
                      <w:szCs w:val="18"/>
                    </w:rPr>
                  </w:pPr>
                  <w:r>
                    <w:rPr>
                      <w:sz w:val="18"/>
                      <w:szCs w:val="18"/>
                    </w:rPr>
                    <w:t>T、I</w:t>
                  </w:r>
                </w:p>
              </w:tc>
              <w:tc>
                <w:tcPr>
                  <w:tcW w:w="696" w:type="dxa"/>
                  <w:tcBorders>
                    <w:tl2br w:val="nil"/>
                    <w:tr2bl w:val="nil"/>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HW08</w:t>
                  </w:r>
                </w:p>
              </w:tc>
              <w:tc>
                <w:tcPr>
                  <w:tcW w:w="1196" w:type="dxa"/>
                  <w:tcBorders>
                    <w:tl2br w:val="nil"/>
                    <w:tr2bl w:val="nil"/>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900-214-08</w:t>
                  </w:r>
                </w:p>
              </w:tc>
              <w:tc>
                <w:tcPr>
                  <w:tcW w:w="767" w:type="dxa"/>
                  <w:tcBorders>
                    <w:tl2br w:val="nil"/>
                    <w:tr2bl w:val="nil"/>
                  </w:tcBorders>
                  <w:vAlign w:val="center"/>
                </w:tcPr>
                <w:p>
                  <w:pPr>
                    <w:jc w:val="center"/>
                    <w:rPr>
                      <w:rFonts w:hint="default" w:eastAsia="宋体"/>
                      <w:sz w:val="18"/>
                      <w:szCs w:val="18"/>
                      <w:lang w:val="en-US" w:eastAsia="zh-CN"/>
                    </w:rPr>
                  </w:pPr>
                  <w:r>
                    <w:rPr>
                      <w:sz w:val="18"/>
                      <w:szCs w:val="18"/>
                    </w:rPr>
                    <w:t>0.</w:t>
                  </w:r>
                  <w:r>
                    <w:rPr>
                      <w:rFonts w:hint="eastAsia"/>
                      <w:sz w:val="18"/>
                      <w:szCs w:val="18"/>
                      <w:lang w:val="en-US" w:eastAsia="zh-CN"/>
                    </w:rPr>
                    <w:t>1</w:t>
                  </w:r>
                </w:p>
              </w:tc>
              <w:tc>
                <w:tcPr>
                  <w:tcW w:w="615" w:type="dxa"/>
                  <w:vMerge w:val="restart"/>
                  <w:tcBorders>
                    <w:tl2br w:val="nil"/>
                    <w:tr2bl w:val="nil"/>
                  </w:tcBorders>
                  <w:vAlign w:val="center"/>
                </w:tcPr>
                <w:p>
                  <w:pPr>
                    <w:jc w:val="center"/>
                    <w:rPr>
                      <w:sz w:val="18"/>
                      <w:szCs w:val="18"/>
                    </w:rPr>
                  </w:pPr>
                  <w:r>
                    <w:rPr>
                      <w:sz w:val="18"/>
                      <w:szCs w:val="18"/>
                    </w:rPr>
                    <w:t>委托有资质单位处置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396" w:type="dxa"/>
                  <w:tcBorders>
                    <w:tl2br w:val="nil"/>
                    <w:tr2bl w:val="nil"/>
                  </w:tcBorders>
                  <w:shd w:val="clear" w:color="auto" w:fill="auto"/>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6</w:t>
                  </w:r>
                </w:p>
              </w:tc>
              <w:tc>
                <w:tcPr>
                  <w:tcW w:w="846" w:type="dxa"/>
                  <w:tcBorders>
                    <w:tl2br w:val="nil"/>
                    <w:tr2bl w:val="nil"/>
                  </w:tcBorders>
                  <w:vAlign w:val="center"/>
                </w:tcPr>
                <w:p>
                  <w:pPr>
                    <w:jc w:val="center"/>
                    <w:rPr>
                      <w:sz w:val="18"/>
                      <w:szCs w:val="18"/>
                    </w:rPr>
                  </w:pPr>
                  <w:r>
                    <w:rPr>
                      <w:rFonts w:ascii="Times New Roman" w:hAnsi="Times New Roman" w:eastAsia="宋体" w:cs="Times New Roman"/>
                      <w:sz w:val="18"/>
                      <w:szCs w:val="18"/>
                    </w:rPr>
                    <w:t>废</w:t>
                  </w:r>
                  <w:r>
                    <w:rPr>
                      <w:rFonts w:hint="eastAsia" w:ascii="Times New Roman" w:hAnsi="Times New Roman" w:eastAsia="宋体" w:cs="Times New Roman"/>
                      <w:sz w:val="18"/>
                      <w:szCs w:val="18"/>
                      <w:lang w:eastAsia="zh-CN"/>
                    </w:rPr>
                    <w:t>液压油</w:t>
                  </w:r>
                </w:p>
              </w:tc>
              <w:tc>
                <w:tcPr>
                  <w:tcW w:w="614" w:type="dxa"/>
                  <w:vMerge w:val="continue"/>
                  <w:tcBorders>
                    <w:tl2br w:val="nil"/>
                    <w:tr2bl w:val="nil"/>
                  </w:tcBorders>
                  <w:vAlign w:val="center"/>
                </w:tcPr>
                <w:p>
                  <w:pPr>
                    <w:jc w:val="center"/>
                    <w:rPr>
                      <w:sz w:val="18"/>
                      <w:szCs w:val="18"/>
                    </w:rPr>
                  </w:pPr>
                </w:p>
              </w:tc>
              <w:tc>
                <w:tcPr>
                  <w:tcW w:w="614" w:type="dxa"/>
                  <w:tcBorders>
                    <w:tl2br w:val="nil"/>
                    <w:tr2bl w:val="nil"/>
                  </w:tcBorders>
                  <w:vAlign w:val="center"/>
                </w:tcPr>
                <w:p>
                  <w:pPr>
                    <w:jc w:val="center"/>
                    <w:rPr>
                      <w:sz w:val="18"/>
                      <w:szCs w:val="18"/>
                    </w:rPr>
                  </w:pPr>
                  <w:r>
                    <w:rPr>
                      <w:rFonts w:ascii="Times New Roman" w:hAnsi="Times New Roman" w:eastAsia="宋体" w:cs="Times New Roman"/>
                      <w:sz w:val="18"/>
                      <w:szCs w:val="18"/>
                    </w:rPr>
                    <w:t>设备保养</w:t>
                  </w:r>
                </w:p>
              </w:tc>
              <w:tc>
                <w:tcPr>
                  <w:tcW w:w="614" w:type="dxa"/>
                  <w:tcBorders>
                    <w:tl2br w:val="nil"/>
                    <w:tr2bl w:val="nil"/>
                  </w:tcBorders>
                  <w:vAlign w:val="center"/>
                </w:tcPr>
                <w:p>
                  <w:pPr>
                    <w:jc w:val="center"/>
                    <w:rPr>
                      <w:sz w:val="18"/>
                      <w:szCs w:val="18"/>
                    </w:rPr>
                  </w:pPr>
                  <w:r>
                    <w:rPr>
                      <w:sz w:val="18"/>
                      <w:szCs w:val="18"/>
                    </w:rPr>
                    <w:t>液态</w:t>
                  </w:r>
                </w:p>
              </w:tc>
              <w:tc>
                <w:tcPr>
                  <w:tcW w:w="614" w:type="dxa"/>
                  <w:tcBorders>
                    <w:tl2br w:val="nil"/>
                    <w:tr2bl w:val="nil"/>
                  </w:tcBorders>
                  <w:vAlign w:val="center"/>
                </w:tcPr>
                <w:p>
                  <w:pPr>
                    <w:jc w:val="center"/>
                    <w:rPr>
                      <w:sz w:val="18"/>
                      <w:szCs w:val="18"/>
                    </w:rPr>
                  </w:pPr>
                  <w:r>
                    <w:rPr>
                      <w:sz w:val="18"/>
                      <w:szCs w:val="18"/>
                    </w:rPr>
                    <w:t>矿物油</w:t>
                  </w:r>
                </w:p>
              </w:tc>
              <w:tc>
                <w:tcPr>
                  <w:tcW w:w="643" w:type="dxa"/>
                  <w:tcBorders>
                    <w:tl2br w:val="nil"/>
                    <w:tr2bl w:val="nil"/>
                  </w:tcBorders>
                  <w:vAlign w:val="center"/>
                </w:tcPr>
                <w:p>
                  <w:pPr>
                    <w:jc w:val="center"/>
                    <w:rPr>
                      <w:sz w:val="18"/>
                      <w:szCs w:val="18"/>
                    </w:rPr>
                  </w:pPr>
                  <w:r>
                    <w:rPr>
                      <w:sz w:val="18"/>
                      <w:szCs w:val="18"/>
                    </w:rPr>
                    <w:t>T、I</w:t>
                  </w:r>
                </w:p>
              </w:tc>
              <w:tc>
                <w:tcPr>
                  <w:tcW w:w="696" w:type="dxa"/>
                  <w:tcBorders>
                    <w:tl2br w:val="nil"/>
                    <w:tr2bl w:val="nil"/>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HW08</w:t>
                  </w:r>
                </w:p>
              </w:tc>
              <w:tc>
                <w:tcPr>
                  <w:tcW w:w="1196" w:type="dxa"/>
                  <w:tcBorders>
                    <w:tl2br w:val="nil"/>
                    <w:tr2bl w:val="nil"/>
                  </w:tcBorders>
                  <w:vAlign w:val="center"/>
                </w:tcPr>
                <w:p>
                  <w:pPr>
                    <w:jc w:val="center"/>
                    <w:rPr>
                      <w:rFonts w:ascii="Times New Roman" w:hAnsi="Times New Roman" w:eastAsia="宋体" w:cs="Times New Roman"/>
                      <w:sz w:val="18"/>
                      <w:szCs w:val="18"/>
                    </w:rPr>
                  </w:pPr>
                  <w:r>
                    <w:rPr>
                      <w:rFonts w:hint="default" w:ascii="Times New Roman" w:hAnsi="Times New Roman" w:eastAsia="宋体" w:cs="Times New Roman"/>
                      <w:sz w:val="18"/>
                      <w:szCs w:val="18"/>
                    </w:rPr>
                    <w:t>900-21</w:t>
                  </w:r>
                  <w:r>
                    <w:rPr>
                      <w:rFonts w:hint="eastAsia" w:ascii="Times New Roman" w:hAnsi="Times New Roman" w:eastAsia="宋体" w:cs="Times New Roman"/>
                      <w:sz w:val="18"/>
                      <w:szCs w:val="18"/>
                      <w:lang w:val="en-US" w:eastAsia="zh-CN"/>
                    </w:rPr>
                    <w:t>8</w:t>
                  </w:r>
                  <w:r>
                    <w:rPr>
                      <w:rFonts w:hint="default" w:ascii="Times New Roman" w:hAnsi="Times New Roman" w:eastAsia="宋体" w:cs="Times New Roman"/>
                      <w:sz w:val="18"/>
                      <w:szCs w:val="18"/>
                    </w:rPr>
                    <w:t>-08</w:t>
                  </w:r>
                </w:p>
              </w:tc>
              <w:tc>
                <w:tcPr>
                  <w:tcW w:w="767" w:type="dxa"/>
                  <w:tcBorders>
                    <w:tl2br w:val="nil"/>
                    <w:tr2bl w:val="nil"/>
                  </w:tcBorders>
                  <w:vAlign w:val="center"/>
                </w:tcPr>
                <w:p>
                  <w:pPr>
                    <w:jc w:val="center"/>
                    <w:rPr>
                      <w:rFonts w:hint="default" w:eastAsia="宋体"/>
                      <w:sz w:val="18"/>
                      <w:szCs w:val="18"/>
                      <w:lang w:val="en-US" w:eastAsia="zh-CN"/>
                    </w:rPr>
                  </w:pPr>
                  <w:r>
                    <w:rPr>
                      <w:rFonts w:hint="eastAsia"/>
                      <w:sz w:val="18"/>
                      <w:szCs w:val="18"/>
                      <w:lang w:val="en-US" w:eastAsia="zh-CN"/>
                    </w:rPr>
                    <w:t>1</w:t>
                  </w:r>
                </w:p>
              </w:tc>
              <w:tc>
                <w:tcPr>
                  <w:tcW w:w="615" w:type="dxa"/>
                  <w:vMerge w:val="continue"/>
                  <w:tcBorders>
                    <w:tl2br w:val="nil"/>
                    <w:tr2bl w:val="nil"/>
                  </w:tcBorders>
                  <w:vAlign w:val="center"/>
                </w:tcPr>
                <w:p>
                  <w:pPr>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396" w:type="dxa"/>
                  <w:tcBorders>
                    <w:tl2br w:val="nil"/>
                    <w:tr2bl w:val="nil"/>
                  </w:tcBorders>
                  <w:shd w:val="clear" w:color="auto" w:fill="auto"/>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7</w:t>
                  </w:r>
                </w:p>
              </w:tc>
              <w:tc>
                <w:tcPr>
                  <w:tcW w:w="846" w:type="dxa"/>
                  <w:tcBorders>
                    <w:tl2br w:val="nil"/>
                    <w:tr2bl w:val="nil"/>
                  </w:tcBorders>
                  <w:vAlign w:val="center"/>
                </w:tcPr>
                <w:p>
                  <w:pPr>
                    <w:jc w:val="center"/>
                    <w:rPr>
                      <w:sz w:val="18"/>
                      <w:szCs w:val="18"/>
                    </w:rPr>
                  </w:pPr>
                  <w:r>
                    <w:rPr>
                      <w:sz w:val="18"/>
                      <w:szCs w:val="18"/>
                    </w:rPr>
                    <w:t>废油桶</w:t>
                  </w:r>
                </w:p>
              </w:tc>
              <w:tc>
                <w:tcPr>
                  <w:tcW w:w="614" w:type="dxa"/>
                  <w:vMerge w:val="continue"/>
                  <w:tcBorders>
                    <w:tl2br w:val="nil"/>
                    <w:tr2bl w:val="nil"/>
                  </w:tcBorders>
                  <w:vAlign w:val="center"/>
                </w:tcPr>
                <w:p>
                  <w:pPr>
                    <w:jc w:val="center"/>
                    <w:rPr>
                      <w:sz w:val="18"/>
                      <w:szCs w:val="18"/>
                    </w:rPr>
                  </w:pPr>
                </w:p>
              </w:tc>
              <w:tc>
                <w:tcPr>
                  <w:tcW w:w="614" w:type="dxa"/>
                  <w:tcBorders>
                    <w:tl2br w:val="nil"/>
                    <w:tr2bl w:val="nil"/>
                  </w:tcBorders>
                  <w:vAlign w:val="center"/>
                </w:tcPr>
                <w:p>
                  <w:pPr>
                    <w:jc w:val="center"/>
                    <w:rPr>
                      <w:sz w:val="18"/>
                      <w:szCs w:val="18"/>
                    </w:rPr>
                  </w:pPr>
                  <w:r>
                    <w:rPr>
                      <w:sz w:val="18"/>
                      <w:szCs w:val="18"/>
                    </w:rPr>
                    <w:t>设备保养</w:t>
                  </w:r>
                </w:p>
              </w:tc>
              <w:tc>
                <w:tcPr>
                  <w:tcW w:w="614" w:type="dxa"/>
                  <w:tcBorders>
                    <w:tl2br w:val="nil"/>
                    <w:tr2bl w:val="nil"/>
                  </w:tcBorders>
                  <w:vAlign w:val="center"/>
                </w:tcPr>
                <w:p>
                  <w:pPr>
                    <w:jc w:val="center"/>
                    <w:rPr>
                      <w:sz w:val="18"/>
                      <w:szCs w:val="18"/>
                    </w:rPr>
                  </w:pPr>
                  <w:r>
                    <w:rPr>
                      <w:sz w:val="18"/>
                      <w:szCs w:val="18"/>
                    </w:rPr>
                    <w:t>固态</w:t>
                  </w:r>
                </w:p>
              </w:tc>
              <w:tc>
                <w:tcPr>
                  <w:tcW w:w="614" w:type="dxa"/>
                  <w:tcBorders>
                    <w:tl2br w:val="nil"/>
                    <w:tr2bl w:val="nil"/>
                  </w:tcBorders>
                  <w:vAlign w:val="center"/>
                </w:tcPr>
                <w:p>
                  <w:pPr>
                    <w:jc w:val="center"/>
                    <w:rPr>
                      <w:sz w:val="18"/>
                      <w:szCs w:val="18"/>
                    </w:rPr>
                  </w:pPr>
                  <w:r>
                    <w:rPr>
                      <w:sz w:val="18"/>
                      <w:szCs w:val="18"/>
                    </w:rPr>
                    <w:t>矿物油</w:t>
                  </w:r>
                </w:p>
              </w:tc>
              <w:tc>
                <w:tcPr>
                  <w:tcW w:w="643" w:type="dxa"/>
                  <w:tcBorders>
                    <w:tl2br w:val="nil"/>
                    <w:tr2bl w:val="nil"/>
                  </w:tcBorders>
                  <w:vAlign w:val="center"/>
                </w:tcPr>
                <w:p>
                  <w:pPr>
                    <w:jc w:val="center"/>
                    <w:rPr>
                      <w:sz w:val="18"/>
                      <w:szCs w:val="18"/>
                    </w:rPr>
                  </w:pPr>
                  <w:r>
                    <w:rPr>
                      <w:sz w:val="18"/>
                      <w:szCs w:val="18"/>
                    </w:rPr>
                    <w:t>T/In</w:t>
                  </w:r>
                </w:p>
              </w:tc>
              <w:tc>
                <w:tcPr>
                  <w:tcW w:w="696" w:type="dxa"/>
                  <w:tcBorders>
                    <w:tl2br w:val="nil"/>
                    <w:tr2bl w:val="nil"/>
                  </w:tcBorders>
                  <w:vAlign w:val="center"/>
                </w:tcPr>
                <w:p>
                  <w:pPr>
                    <w:jc w:val="center"/>
                    <w:rPr>
                      <w:rFonts w:hint="default" w:ascii="Times New Roman" w:hAnsi="Times New Roman" w:eastAsia="宋体" w:cs="Times New Roman"/>
                      <w:sz w:val="18"/>
                      <w:szCs w:val="18"/>
                      <w:lang w:val="en-US" w:eastAsia="zh-CN"/>
                    </w:rPr>
                  </w:pPr>
                  <w:r>
                    <w:rPr>
                      <w:rFonts w:ascii="Times New Roman" w:hAnsi="Times New Roman" w:eastAsia="宋体" w:cs="Times New Roman"/>
                      <w:sz w:val="18"/>
                      <w:szCs w:val="18"/>
                    </w:rPr>
                    <w:t>HW</w:t>
                  </w:r>
                  <w:r>
                    <w:rPr>
                      <w:rFonts w:hint="eastAsia" w:cs="Times New Roman"/>
                      <w:sz w:val="18"/>
                      <w:szCs w:val="18"/>
                      <w:lang w:val="en-US" w:eastAsia="zh-CN"/>
                    </w:rPr>
                    <w:t>08</w:t>
                  </w:r>
                </w:p>
              </w:tc>
              <w:tc>
                <w:tcPr>
                  <w:tcW w:w="1196" w:type="dxa"/>
                  <w:tcBorders>
                    <w:tl2br w:val="nil"/>
                    <w:tr2bl w:val="nil"/>
                  </w:tcBorders>
                  <w:vAlign w:val="center"/>
                </w:tcPr>
                <w:p>
                  <w:pPr>
                    <w:jc w:val="center"/>
                    <w:rPr>
                      <w:rFonts w:hint="default" w:ascii="Times New Roman" w:hAnsi="Times New Roman" w:eastAsia="宋体" w:cs="Times New Roman"/>
                      <w:sz w:val="18"/>
                      <w:szCs w:val="18"/>
                      <w:lang w:val="en-US" w:eastAsia="zh-CN"/>
                    </w:rPr>
                  </w:pPr>
                  <w:r>
                    <w:rPr>
                      <w:rFonts w:ascii="Times New Roman" w:hAnsi="Times New Roman" w:eastAsia="宋体" w:cs="Times New Roman"/>
                      <w:sz w:val="18"/>
                      <w:szCs w:val="18"/>
                    </w:rPr>
                    <w:t>900-</w:t>
                  </w:r>
                  <w:r>
                    <w:rPr>
                      <w:rFonts w:hint="eastAsia" w:cs="Times New Roman"/>
                      <w:sz w:val="18"/>
                      <w:szCs w:val="18"/>
                      <w:lang w:val="en-US" w:eastAsia="zh-CN"/>
                    </w:rPr>
                    <w:t>249</w:t>
                  </w:r>
                  <w:r>
                    <w:rPr>
                      <w:rFonts w:ascii="Times New Roman" w:hAnsi="Times New Roman" w:eastAsia="宋体" w:cs="Times New Roman"/>
                      <w:sz w:val="18"/>
                      <w:szCs w:val="18"/>
                    </w:rPr>
                    <w:t>-</w:t>
                  </w:r>
                  <w:r>
                    <w:rPr>
                      <w:rFonts w:hint="eastAsia" w:cs="Times New Roman"/>
                      <w:sz w:val="18"/>
                      <w:szCs w:val="18"/>
                      <w:lang w:val="en-US" w:eastAsia="zh-CN"/>
                    </w:rPr>
                    <w:t>08</w:t>
                  </w:r>
                </w:p>
              </w:tc>
              <w:tc>
                <w:tcPr>
                  <w:tcW w:w="767" w:type="dxa"/>
                  <w:tcBorders>
                    <w:tl2br w:val="nil"/>
                    <w:tr2bl w:val="nil"/>
                  </w:tcBorders>
                  <w:vAlign w:val="center"/>
                </w:tcPr>
                <w:p>
                  <w:pPr>
                    <w:jc w:val="center"/>
                    <w:rPr>
                      <w:rFonts w:hint="default" w:eastAsia="宋体"/>
                      <w:sz w:val="18"/>
                      <w:szCs w:val="18"/>
                      <w:lang w:val="en-US" w:eastAsia="zh-CN"/>
                    </w:rPr>
                  </w:pPr>
                  <w:r>
                    <w:rPr>
                      <w:rFonts w:hint="eastAsia"/>
                      <w:sz w:val="18"/>
                      <w:szCs w:val="18"/>
                      <w:lang w:val="en-US" w:eastAsia="zh-CN"/>
                    </w:rPr>
                    <w:t>1.4</w:t>
                  </w:r>
                </w:p>
              </w:tc>
              <w:tc>
                <w:tcPr>
                  <w:tcW w:w="615" w:type="dxa"/>
                  <w:vMerge w:val="continue"/>
                  <w:tcBorders>
                    <w:tl2br w:val="nil"/>
                    <w:tr2bl w:val="nil"/>
                  </w:tcBorders>
                  <w:vAlign w:val="center"/>
                </w:tcPr>
                <w:p>
                  <w:pPr>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396" w:type="dxa"/>
                  <w:tcBorders>
                    <w:tl2br w:val="nil"/>
                    <w:tr2bl w:val="nil"/>
                  </w:tcBorders>
                  <w:shd w:val="clear" w:color="auto" w:fill="auto"/>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8</w:t>
                  </w:r>
                </w:p>
              </w:tc>
              <w:tc>
                <w:tcPr>
                  <w:tcW w:w="846" w:type="dxa"/>
                  <w:tcBorders>
                    <w:tl2br w:val="nil"/>
                    <w:tr2bl w:val="nil"/>
                  </w:tcBorders>
                  <w:shd w:val="clear" w:color="auto" w:fill="auto"/>
                  <w:vAlign w:val="center"/>
                </w:tcPr>
                <w:p>
                  <w:pPr>
                    <w:jc w:val="center"/>
                    <w:rPr>
                      <w:rFonts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废金属屑</w:t>
                  </w:r>
                </w:p>
              </w:tc>
              <w:tc>
                <w:tcPr>
                  <w:tcW w:w="614" w:type="dxa"/>
                  <w:vMerge w:val="continue"/>
                  <w:tcBorders>
                    <w:tl2br w:val="nil"/>
                    <w:tr2bl w:val="nil"/>
                  </w:tcBorders>
                  <w:vAlign w:val="center"/>
                </w:tcPr>
                <w:p>
                  <w:pPr>
                    <w:jc w:val="center"/>
                    <w:rPr>
                      <w:color w:val="auto"/>
                      <w:sz w:val="18"/>
                      <w:szCs w:val="18"/>
                    </w:rPr>
                  </w:pPr>
                </w:p>
              </w:tc>
              <w:tc>
                <w:tcPr>
                  <w:tcW w:w="614" w:type="dxa"/>
                  <w:tcBorders>
                    <w:tl2br w:val="nil"/>
                    <w:tr2bl w:val="nil"/>
                  </w:tcBorders>
                  <w:vAlign w:val="center"/>
                </w:tcPr>
                <w:p>
                  <w:pPr>
                    <w:jc w:val="center"/>
                    <w:rPr>
                      <w:color w:val="auto"/>
                      <w:sz w:val="18"/>
                      <w:szCs w:val="18"/>
                    </w:rPr>
                  </w:pPr>
                  <w:r>
                    <w:rPr>
                      <w:rFonts w:hint="eastAsia" w:ascii="Times New Roman" w:hAnsi="Times New Roman" w:eastAsia="宋体" w:cs="Times New Roman"/>
                      <w:color w:val="auto"/>
                      <w:sz w:val="18"/>
                      <w:szCs w:val="18"/>
                      <w:lang w:val="en-US" w:eastAsia="zh-CN"/>
                    </w:rPr>
                    <w:t>金属加工</w:t>
                  </w:r>
                </w:p>
              </w:tc>
              <w:tc>
                <w:tcPr>
                  <w:tcW w:w="614" w:type="dxa"/>
                  <w:tcBorders>
                    <w:tl2br w:val="nil"/>
                    <w:tr2bl w:val="nil"/>
                  </w:tcBorders>
                  <w:vAlign w:val="center"/>
                </w:tcPr>
                <w:p>
                  <w:pPr>
                    <w:jc w:val="center"/>
                    <w:rPr>
                      <w:color w:val="auto"/>
                      <w:sz w:val="18"/>
                      <w:szCs w:val="18"/>
                    </w:rPr>
                  </w:pPr>
                  <w:r>
                    <w:rPr>
                      <w:color w:val="auto"/>
                      <w:sz w:val="18"/>
                      <w:szCs w:val="18"/>
                    </w:rPr>
                    <w:t>固态</w:t>
                  </w:r>
                </w:p>
              </w:tc>
              <w:tc>
                <w:tcPr>
                  <w:tcW w:w="614" w:type="dxa"/>
                  <w:tcBorders>
                    <w:tl2br w:val="nil"/>
                    <w:tr2bl w:val="nil"/>
                  </w:tcBorders>
                  <w:vAlign w:val="center"/>
                </w:tcPr>
                <w:p>
                  <w:pPr>
                    <w:jc w:val="center"/>
                    <w:rPr>
                      <w:color w:val="auto"/>
                      <w:sz w:val="18"/>
                      <w:szCs w:val="18"/>
                    </w:rPr>
                  </w:pPr>
                  <w:r>
                    <w:rPr>
                      <w:rFonts w:hint="eastAsia"/>
                      <w:color w:val="auto"/>
                      <w:sz w:val="18"/>
                      <w:szCs w:val="18"/>
                      <w:lang w:eastAsia="zh-CN"/>
                    </w:rPr>
                    <w:t>含</w:t>
                  </w:r>
                  <w:r>
                    <w:rPr>
                      <w:rFonts w:hint="eastAsia" w:ascii="Times New Roman" w:hAnsi="Times New Roman" w:eastAsia="宋体" w:cs="Times New Roman"/>
                      <w:color w:val="auto"/>
                      <w:sz w:val="18"/>
                      <w:szCs w:val="18"/>
                      <w:lang w:val="en-US" w:eastAsia="zh-CN"/>
                    </w:rPr>
                    <w:t>切削液或乳化液</w:t>
                  </w:r>
                </w:p>
              </w:tc>
              <w:tc>
                <w:tcPr>
                  <w:tcW w:w="643" w:type="dxa"/>
                  <w:tcBorders>
                    <w:tl2br w:val="nil"/>
                    <w:tr2bl w:val="nil"/>
                  </w:tcBorders>
                  <w:vAlign w:val="center"/>
                </w:tcPr>
                <w:p>
                  <w:pPr>
                    <w:jc w:val="center"/>
                    <w:rPr>
                      <w:color w:val="auto"/>
                      <w:sz w:val="18"/>
                      <w:szCs w:val="18"/>
                    </w:rPr>
                  </w:pPr>
                  <w:r>
                    <w:rPr>
                      <w:color w:val="auto"/>
                      <w:sz w:val="18"/>
                      <w:szCs w:val="18"/>
                    </w:rPr>
                    <w:t>T</w:t>
                  </w:r>
                </w:p>
              </w:tc>
              <w:tc>
                <w:tcPr>
                  <w:tcW w:w="696" w:type="dxa"/>
                  <w:tcBorders>
                    <w:tl2br w:val="nil"/>
                    <w:tr2bl w:val="nil"/>
                  </w:tcBorders>
                  <w:vAlign w:val="center"/>
                </w:tcPr>
                <w:p>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HW09</w:t>
                  </w:r>
                </w:p>
              </w:tc>
              <w:tc>
                <w:tcPr>
                  <w:tcW w:w="1196" w:type="dxa"/>
                  <w:tcBorders>
                    <w:tl2br w:val="nil"/>
                    <w:tr2bl w:val="nil"/>
                  </w:tcBorders>
                  <w:vAlign w:val="center"/>
                </w:tcPr>
                <w:p>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900-006-09</w:t>
                  </w:r>
                </w:p>
              </w:tc>
              <w:tc>
                <w:tcPr>
                  <w:tcW w:w="767" w:type="dxa"/>
                  <w:tcBorders>
                    <w:tl2br w:val="nil"/>
                    <w:tr2bl w:val="nil"/>
                  </w:tcBorders>
                  <w:vAlign w:val="center"/>
                </w:tcPr>
                <w:p>
                  <w:pPr>
                    <w:jc w:val="center"/>
                    <w:rPr>
                      <w:rFonts w:hint="eastAsia"/>
                      <w:color w:val="auto"/>
                      <w:sz w:val="18"/>
                      <w:szCs w:val="18"/>
                      <w:lang w:val="en-US" w:eastAsia="zh-CN"/>
                    </w:rPr>
                  </w:pPr>
                  <w:r>
                    <w:rPr>
                      <w:rFonts w:hint="eastAsia" w:ascii="Times New Roman" w:hAnsi="Times New Roman" w:eastAsia="宋体" w:cs="Times New Roman"/>
                      <w:sz w:val="18"/>
                      <w:szCs w:val="18"/>
                      <w:lang w:val="en-US" w:eastAsia="zh-CN"/>
                    </w:rPr>
                    <w:t>9.94</w:t>
                  </w:r>
                </w:p>
              </w:tc>
              <w:tc>
                <w:tcPr>
                  <w:tcW w:w="615" w:type="dxa"/>
                  <w:vMerge w:val="continue"/>
                  <w:tcBorders>
                    <w:tl2br w:val="nil"/>
                    <w:tr2bl w:val="nil"/>
                  </w:tcBorders>
                  <w:vAlign w:val="center"/>
                </w:tcPr>
                <w:p>
                  <w:pPr>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396" w:type="dxa"/>
                  <w:tcBorders>
                    <w:tl2br w:val="nil"/>
                    <w:tr2bl w:val="nil"/>
                  </w:tcBorders>
                  <w:shd w:val="clear" w:color="auto" w:fill="auto"/>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9</w:t>
                  </w:r>
                </w:p>
              </w:tc>
              <w:tc>
                <w:tcPr>
                  <w:tcW w:w="846" w:type="dxa"/>
                  <w:tcBorders>
                    <w:tl2br w:val="nil"/>
                    <w:tr2bl w:val="nil"/>
                  </w:tcBorders>
                  <w:shd w:val="clear" w:color="auto" w:fill="auto"/>
                  <w:vAlign w:val="center"/>
                </w:tcPr>
                <w:p>
                  <w:pPr>
                    <w:jc w:val="center"/>
                    <w:rPr>
                      <w:rFonts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废切削液</w:t>
                  </w:r>
                </w:p>
              </w:tc>
              <w:tc>
                <w:tcPr>
                  <w:tcW w:w="614" w:type="dxa"/>
                  <w:vMerge w:val="continue"/>
                  <w:tcBorders>
                    <w:tl2br w:val="nil"/>
                    <w:tr2bl w:val="nil"/>
                  </w:tcBorders>
                  <w:vAlign w:val="center"/>
                </w:tcPr>
                <w:p>
                  <w:pPr>
                    <w:jc w:val="center"/>
                    <w:rPr>
                      <w:color w:val="auto"/>
                      <w:sz w:val="18"/>
                      <w:szCs w:val="18"/>
                    </w:rPr>
                  </w:pPr>
                </w:p>
              </w:tc>
              <w:tc>
                <w:tcPr>
                  <w:tcW w:w="614" w:type="dxa"/>
                  <w:tcBorders>
                    <w:tl2br w:val="nil"/>
                    <w:tr2bl w:val="nil"/>
                  </w:tcBorders>
                  <w:vAlign w:val="center"/>
                </w:tcPr>
                <w:p>
                  <w:pPr>
                    <w:jc w:val="center"/>
                    <w:rPr>
                      <w:color w:val="auto"/>
                      <w:sz w:val="18"/>
                      <w:szCs w:val="18"/>
                    </w:rPr>
                  </w:pPr>
                  <w:r>
                    <w:rPr>
                      <w:rFonts w:hint="eastAsia" w:ascii="Times New Roman" w:hAnsi="Times New Roman" w:eastAsia="宋体" w:cs="Times New Roman"/>
                      <w:color w:val="auto"/>
                      <w:sz w:val="18"/>
                      <w:szCs w:val="18"/>
                      <w:lang w:val="en-US" w:eastAsia="zh-CN"/>
                    </w:rPr>
                    <w:t>金属加工</w:t>
                  </w:r>
                </w:p>
              </w:tc>
              <w:tc>
                <w:tcPr>
                  <w:tcW w:w="614" w:type="dxa"/>
                  <w:tcBorders>
                    <w:tl2br w:val="nil"/>
                    <w:tr2bl w:val="nil"/>
                  </w:tcBorders>
                  <w:vAlign w:val="center"/>
                </w:tcPr>
                <w:p>
                  <w:pPr>
                    <w:jc w:val="center"/>
                    <w:rPr>
                      <w:color w:val="auto"/>
                      <w:sz w:val="18"/>
                      <w:szCs w:val="18"/>
                    </w:rPr>
                  </w:pPr>
                  <w:r>
                    <w:rPr>
                      <w:color w:val="auto"/>
                      <w:sz w:val="18"/>
                      <w:szCs w:val="18"/>
                    </w:rPr>
                    <w:t>液态</w:t>
                  </w:r>
                </w:p>
              </w:tc>
              <w:tc>
                <w:tcPr>
                  <w:tcW w:w="614" w:type="dxa"/>
                  <w:tcBorders>
                    <w:tl2br w:val="nil"/>
                    <w:tr2bl w:val="nil"/>
                  </w:tcBorders>
                  <w:vAlign w:val="center"/>
                </w:tcPr>
                <w:p>
                  <w:pPr>
                    <w:jc w:val="center"/>
                    <w:rPr>
                      <w:color w:val="auto"/>
                      <w:sz w:val="18"/>
                      <w:szCs w:val="18"/>
                    </w:rPr>
                  </w:pPr>
                  <w:r>
                    <w:rPr>
                      <w:rFonts w:hint="eastAsia"/>
                      <w:color w:val="auto"/>
                      <w:sz w:val="18"/>
                      <w:szCs w:val="18"/>
                      <w:lang w:eastAsia="zh-CN"/>
                    </w:rPr>
                    <w:t>有机物</w:t>
                  </w:r>
                </w:p>
              </w:tc>
              <w:tc>
                <w:tcPr>
                  <w:tcW w:w="643" w:type="dxa"/>
                  <w:tcBorders>
                    <w:tl2br w:val="nil"/>
                    <w:tr2bl w:val="nil"/>
                  </w:tcBorders>
                  <w:vAlign w:val="center"/>
                </w:tcPr>
                <w:p>
                  <w:pPr>
                    <w:jc w:val="center"/>
                    <w:rPr>
                      <w:color w:val="auto"/>
                      <w:sz w:val="18"/>
                      <w:szCs w:val="18"/>
                    </w:rPr>
                  </w:pPr>
                  <w:r>
                    <w:rPr>
                      <w:color w:val="auto"/>
                      <w:sz w:val="18"/>
                      <w:szCs w:val="18"/>
                    </w:rPr>
                    <w:t>T</w:t>
                  </w:r>
                </w:p>
              </w:tc>
              <w:tc>
                <w:tcPr>
                  <w:tcW w:w="696" w:type="dxa"/>
                  <w:tcBorders>
                    <w:tl2br w:val="nil"/>
                    <w:tr2bl w:val="nil"/>
                  </w:tcBorders>
                  <w:vAlign w:val="center"/>
                </w:tcPr>
                <w:p>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HW09</w:t>
                  </w:r>
                </w:p>
              </w:tc>
              <w:tc>
                <w:tcPr>
                  <w:tcW w:w="1196" w:type="dxa"/>
                  <w:tcBorders>
                    <w:tl2br w:val="nil"/>
                    <w:tr2bl w:val="nil"/>
                  </w:tcBorders>
                  <w:vAlign w:val="center"/>
                </w:tcPr>
                <w:p>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900-006-09</w:t>
                  </w:r>
                </w:p>
              </w:tc>
              <w:tc>
                <w:tcPr>
                  <w:tcW w:w="767" w:type="dxa"/>
                  <w:tcBorders>
                    <w:tl2br w:val="nil"/>
                    <w:tr2bl w:val="nil"/>
                  </w:tcBorders>
                  <w:vAlign w:val="center"/>
                </w:tcPr>
                <w:p>
                  <w:pPr>
                    <w:jc w:val="center"/>
                    <w:rPr>
                      <w:rFonts w:hint="eastAsia"/>
                      <w:color w:val="auto"/>
                      <w:sz w:val="18"/>
                      <w:szCs w:val="18"/>
                      <w:lang w:val="en-US" w:eastAsia="zh-CN"/>
                    </w:rPr>
                  </w:pPr>
                  <w:r>
                    <w:rPr>
                      <w:rFonts w:hint="eastAsia"/>
                      <w:color w:val="auto"/>
                      <w:sz w:val="18"/>
                      <w:szCs w:val="18"/>
                      <w:lang w:val="en-US" w:eastAsia="zh-CN"/>
                    </w:rPr>
                    <w:t>2.329</w:t>
                  </w:r>
                </w:p>
              </w:tc>
              <w:tc>
                <w:tcPr>
                  <w:tcW w:w="615" w:type="dxa"/>
                  <w:vMerge w:val="continue"/>
                  <w:tcBorders>
                    <w:tl2br w:val="nil"/>
                    <w:tr2bl w:val="nil"/>
                  </w:tcBorders>
                  <w:vAlign w:val="center"/>
                </w:tcPr>
                <w:p>
                  <w:pPr>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396" w:type="dxa"/>
                  <w:tcBorders>
                    <w:tl2br w:val="nil"/>
                    <w:tr2bl w:val="nil"/>
                  </w:tcBorders>
                  <w:shd w:val="clear" w:color="auto" w:fill="auto"/>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10</w:t>
                  </w:r>
                </w:p>
              </w:tc>
              <w:tc>
                <w:tcPr>
                  <w:tcW w:w="846" w:type="dxa"/>
                  <w:tcBorders>
                    <w:tl2br w:val="nil"/>
                    <w:tr2bl w:val="nil"/>
                  </w:tcBorders>
                  <w:shd w:val="clear" w:color="auto" w:fill="auto"/>
                  <w:vAlign w:val="center"/>
                </w:tcPr>
                <w:p>
                  <w:pPr>
                    <w:jc w:val="center"/>
                    <w:rPr>
                      <w:rFonts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废润滑油</w:t>
                  </w:r>
                </w:p>
              </w:tc>
              <w:tc>
                <w:tcPr>
                  <w:tcW w:w="614" w:type="dxa"/>
                  <w:vMerge w:val="continue"/>
                  <w:tcBorders>
                    <w:tl2br w:val="nil"/>
                    <w:tr2bl w:val="nil"/>
                  </w:tcBorders>
                  <w:vAlign w:val="center"/>
                </w:tcPr>
                <w:p>
                  <w:pPr>
                    <w:jc w:val="center"/>
                    <w:rPr>
                      <w:color w:val="auto"/>
                      <w:sz w:val="18"/>
                      <w:szCs w:val="18"/>
                    </w:rPr>
                  </w:pPr>
                </w:p>
              </w:tc>
              <w:tc>
                <w:tcPr>
                  <w:tcW w:w="614" w:type="dxa"/>
                  <w:tcBorders>
                    <w:tl2br w:val="nil"/>
                    <w:tr2bl w:val="nil"/>
                  </w:tcBorders>
                  <w:vAlign w:val="center"/>
                </w:tcPr>
                <w:p>
                  <w:pPr>
                    <w:jc w:val="center"/>
                    <w:rPr>
                      <w:color w:val="auto"/>
                      <w:sz w:val="18"/>
                      <w:szCs w:val="18"/>
                    </w:rPr>
                  </w:pPr>
                  <w:r>
                    <w:rPr>
                      <w:color w:val="auto"/>
                      <w:sz w:val="18"/>
                      <w:szCs w:val="18"/>
                    </w:rPr>
                    <w:t>设备保养</w:t>
                  </w:r>
                </w:p>
              </w:tc>
              <w:tc>
                <w:tcPr>
                  <w:tcW w:w="614" w:type="dxa"/>
                  <w:tcBorders>
                    <w:tl2br w:val="nil"/>
                    <w:tr2bl w:val="nil"/>
                  </w:tcBorders>
                  <w:vAlign w:val="center"/>
                </w:tcPr>
                <w:p>
                  <w:pPr>
                    <w:jc w:val="center"/>
                    <w:rPr>
                      <w:color w:val="auto"/>
                      <w:sz w:val="18"/>
                      <w:szCs w:val="18"/>
                    </w:rPr>
                  </w:pPr>
                  <w:r>
                    <w:rPr>
                      <w:color w:val="auto"/>
                      <w:sz w:val="18"/>
                      <w:szCs w:val="18"/>
                    </w:rPr>
                    <w:t>液态</w:t>
                  </w:r>
                </w:p>
              </w:tc>
              <w:tc>
                <w:tcPr>
                  <w:tcW w:w="614" w:type="dxa"/>
                  <w:tcBorders>
                    <w:tl2br w:val="nil"/>
                    <w:tr2bl w:val="nil"/>
                  </w:tcBorders>
                  <w:vAlign w:val="center"/>
                </w:tcPr>
                <w:p>
                  <w:pPr>
                    <w:jc w:val="center"/>
                    <w:rPr>
                      <w:color w:val="auto"/>
                      <w:sz w:val="18"/>
                      <w:szCs w:val="18"/>
                    </w:rPr>
                  </w:pPr>
                  <w:r>
                    <w:rPr>
                      <w:color w:val="auto"/>
                      <w:sz w:val="18"/>
                      <w:szCs w:val="18"/>
                    </w:rPr>
                    <w:t>矿物油</w:t>
                  </w:r>
                </w:p>
              </w:tc>
              <w:tc>
                <w:tcPr>
                  <w:tcW w:w="643" w:type="dxa"/>
                  <w:tcBorders>
                    <w:tl2br w:val="nil"/>
                    <w:tr2bl w:val="nil"/>
                  </w:tcBorders>
                  <w:vAlign w:val="center"/>
                </w:tcPr>
                <w:p>
                  <w:pPr>
                    <w:jc w:val="center"/>
                    <w:rPr>
                      <w:color w:val="auto"/>
                      <w:sz w:val="18"/>
                      <w:szCs w:val="18"/>
                    </w:rPr>
                  </w:pPr>
                  <w:r>
                    <w:rPr>
                      <w:color w:val="auto"/>
                      <w:sz w:val="18"/>
                      <w:szCs w:val="18"/>
                    </w:rPr>
                    <w:t>T、I</w:t>
                  </w:r>
                </w:p>
              </w:tc>
              <w:tc>
                <w:tcPr>
                  <w:tcW w:w="696" w:type="dxa"/>
                  <w:tcBorders>
                    <w:tl2br w:val="nil"/>
                    <w:tr2bl w:val="nil"/>
                  </w:tcBorders>
                  <w:vAlign w:val="center"/>
                </w:tcPr>
                <w:p>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HW08</w:t>
                  </w:r>
                </w:p>
              </w:tc>
              <w:tc>
                <w:tcPr>
                  <w:tcW w:w="1196" w:type="dxa"/>
                  <w:tcBorders>
                    <w:tl2br w:val="nil"/>
                    <w:tr2bl w:val="nil"/>
                  </w:tcBorders>
                  <w:vAlign w:val="center"/>
                </w:tcPr>
                <w:p>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900-214-08</w:t>
                  </w:r>
                </w:p>
              </w:tc>
              <w:tc>
                <w:tcPr>
                  <w:tcW w:w="767" w:type="dxa"/>
                  <w:tcBorders>
                    <w:tl2br w:val="nil"/>
                    <w:tr2bl w:val="nil"/>
                  </w:tcBorders>
                  <w:vAlign w:val="center"/>
                </w:tcPr>
                <w:p>
                  <w:pPr>
                    <w:jc w:val="center"/>
                    <w:rPr>
                      <w:rFonts w:hint="eastAsia"/>
                      <w:color w:val="auto"/>
                      <w:sz w:val="18"/>
                      <w:szCs w:val="18"/>
                      <w:lang w:val="en-US" w:eastAsia="zh-CN"/>
                    </w:rPr>
                  </w:pPr>
                  <w:r>
                    <w:rPr>
                      <w:rFonts w:hint="eastAsia"/>
                      <w:color w:val="auto"/>
                      <w:sz w:val="18"/>
                      <w:szCs w:val="18"/>
                      <w:lang w:val="en-US" w:eastAsia="zh-CN"/>
                    </w:rPr>
                    <w:t>0.01</w:t>
                  </w:r>
                </w:p>
              </w:tc>
              <w:tc>
                <w:tcPr>
                  <w:tcW w:w="615" w:type="dxa"/>
                  <w:vMerge w:val="continue"/>
                  <w:tcBorders>
                    <w:tl2br w:val="nil"/>
                    <w:tr2bl w:val="nil"/>
                  </w:tcBorders>
                  <w:vAlign w:val="center"/>
                </w:tcPr>
                <w:p>
                  <w:pPr>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396" w:type="dxa"/>
                  <w:tcBorders>
                    <w:tl2br w:val="nil"/>
                    <w:tr2bl w:val="nil"/>
                  </w:tcBorders>
                  <w:shd w:val="clear" w:color="auto" w:fill="auto"/>
                  <w:vAlign w:val="center"/>
                </w:tcPr>
                <w:p>
                  <w:pPr>
                    <w:jc w:val="center"/>
                    <w:rPr>
                      <w:rFonts w:hint="eastAsia" w:ascii="Times New Roman" w:hAnsi="Times New Roman" w:eastAsia="宋体" w:cs="Times New Roman"/>
                      <w:kern w:val="2"/>
                      <w:sz w:val="18"/>
                      <w:szCs w:val="18"/>
                      <w:lang w:val="en-US" w:eastAsia="zh-CN" w:bidi="ar-SA"/>
                    </w:rPr>
                  </w:pPr>
                  <w:r>
                    <w:rPr>
                      <w:rFonts w:hint="eastAsia" w:cs="Times New Roman"/>
                      <w:kern w:val="2"/>
                      <w:sz w:val="18"/>
                      <w:szCs w:val="18"/>
                      <w:lang w:val="en-US" w:eastAsia="zh-CN" w:bidi="ar-SA"/>
                    </w:rPr>
                    <w:t>11</w:t>
                  </w:r>
                </w:p>
              </w:tc>
              <w:tc>
                <w:tcPr>
                  <w:tcW w:w="846" w:type="dxa"/>
                  <w:tcBorders>
                    <w:tl2br w:val="nil"/>
                    <w:tr2bl w:val="nil"/>
                  </w:tcBorders>
                  <w:shd w:val="clear" w:color="auto" w:fill="auto"/>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废乳化液</w:t>
                  </w:r>
                </w:p>
              </w:tc>
              <w:tc>
                <w:tcPr>
                  <w:tcW w:w="614" w:type="dxa"/>
                  <w:vMerge w:val="continue"/>
                  <w:tcBorders>
                    <w:tl2br w:val="nil"/>
                    <w:tr2bl w:val="nil"/>
                  </w:tcBorders>
                  <w:vAlign w:val="center"/>
                </w:tcPr>
                <w:p>
                  <w:pPr>
                    <w:jc w:val="center"/>
                    <w:rPr>
                      <w:color w:val="auto"/>
                      <w:sz w:val="18"/>
                      <w:szCs w:val="18"/>
                    </w:rPr>
                  </w:pPr>
                </w:p>
              </w:tc>
              <w:tc>
                <w:tcPr>
                  <w:tcW w:w="614" w:type="dxa"/>
                  <w:tcBorders>
                    <w:tl2br w:val="nil"/>
                    <w:tr2bl w:val="nil"/>
                  </w:tcBorders>
                  <w:vAlign w:val="center"/>
                </w:tcPr>
                <w:p>
                  <w:pPr>
                    <w:jc w:val="center"/>
                    <w:rPr>
                      <w:color w:val="auto"/>
                      <w:sz w:val="18"/>
                      <w:szCs w:val="18"/>
                    </w:rPr>
                  </w:pPr>
                  <w:r>
                    <w:rPr>
                      <w:color w:val="auto"/>
                      <w:sz w:val="18"/>
                      <w:szCs w:val="18"/>
                    </w:rPr>
                    <w:t>设备保养</w:t>
                  </w:r>
                </w:p>
              </w:tc>
              <w:tc>
                <w:tcPr>
                  <w:tcW w:w="614" w:type="dxa"/>
                  <w:tcBorders>
                    <w:tl2br w:val="nil"/>
                    <w:tr2bl w:val="nil"/>
                  </w:tcBorders>
                  <w:vAlign w:val="center"/>
                </w:tcPr>
                <w:p>
                  <w:pPr>
                    <w:jc w:val="center"/>
                    <w:rPr>
                      <w:color w:val="auto"/>
                      <w:sz w:val="18"/>
                      <w:szCs w:val="18"/>
                    </w:rPr>
                  </w:pPr>
                  <w:r>
                    <w:rPr>
                      <w:color w:val="auto"/>
                      <w:sz w:val="18"/>
                      <w:szCs w:val="18"/>
                    </w:rPr>
                    <w:t>液态</w:t>
                  </w:r>
                </w:p>
              </w:tc>
              <w:tc>
                <w:tcPr>
                  <w:tcW w:w="614" w:type="dxa"/>
                  <w:tcBorders>
                    <w:tl2br w:val="nil"/>
                    <w:tr2bl w:val="nil"/>
                  </w:tcBorders>
                  <w:vAlign w:val="center"/>
                </w:tcPr>
                <w:p>
                  <w:pPr>
                    <w:jc w:val="center"/>
                    <w:rPr>
                      <w:color w:val="auto"/>
                      <w:sz w:val="18"/>
                      <w:szCs w:val="18"/>
                    </w:rPr>
                  </w:pPr>
                  <w:r>
                    <w:rPr>
                      <w:color w:val="auto"/>
                      <w:sz w:val="18"/>
                      <w:szCs w:val="18"/>
                    </w:rPr>
                    <w:t>矿物油</w:t>
                  </w:r>
                </w:p>
              </w:tc>
              <w:tc>
                <w:tcPr>
                  <w:tcW w:w="643" w:type="dxa"/>
                  <w:tcBorders>
                    <w:tl2br w:val="nil"/>
                    <w:tr2bl w:val="nil"/>
                  </w:tcBorders>
                  <w:vAlign w:val="center"/>
                </w:tcPr>
                <w:p>
                  <w:pPr>
                    <w:jc w:val="center"/>
                    <w:rPr>
                      <w:color w:val="auto"/>
                      <w:sz w:val="18"/>
                      <w:szCs w:val="18"/>
                    </w:rPr>
                  </w:pPr>
                  <w:r>
                    <w:rPr>
                      <w:color w:val="auto"/>
                      <w:sz w:val="18"/>
                      <w:szCs w:val="18"/>
                    </w:rPr>
                    <w:t>T</w:t>
                  </w:r>
                </w:p>
              </w:tc>
              <w:tc>
                <w:tcPr>
                  <w:tcW w:w="696" w:type="dxa"/>
                  <w:tcBorders>
                    <w:tl2br w:val="nil"/>
                    <w:tr2bl w:val="nil"/>
                  </w:tcBorders>
                  <w:vAlign w:val="center"/>
                </w:tcPr>
                <w:p>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HW09</w:t>
                  </w:r>
                </w:p>
              </w:tc>
              <w:tc>
                <w:tcPr>
                  <w:tcW w:w="1196" w:type="dxa"/>
                  <w:tcBorders>
                    <w:tl2br w:val="nil"/>
                    <w:tr2bl w:val="nil"/>
                  </w:tcBorders>
                  <w:vAlign w:val="center"/>
                </w:tcPr>
                <w:p>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900-006-09</w:t>
                  </w:r>
                </w:p>
              </w:tc>
              <w:tc>
                <w:tcPr>
                  <w:tcW w:w="767" w:type="dxa"/>
                  <w:tcBorders>
                    <w:tl2br w:val="nil"/>
                    <w:tr2bl w:val="nil"/>
                  </w:tcBorders>
                  <w:vAlign w:val="center"/>
                </w:tcPr>
                <w:p>
                  <w:pPr>
                    <w:jc w:val="center"/>
                    <w:rPr>
                      <w:rFonts w:hint="eastAsia"/>
                      <w:color w:val="auto"/>
                      <w:sz w:val="18"/>
                      <w:szCs w:val="18"/>
                      <w:lang w:val="en-US" w:eastAsia="zh-CN"/>
                    </w:rPr>
                  </w:pPr>
                  <w:r>
                    <w:rPr>
                      <w:rFonts w:hint="eastAsia"/>
                      <w:color w:val="auto"/>
                      <w:sz w:val="18"/>
                      <w:szCs w:val="18"/>
                      <w:lang w:val="en-US" w:eastAsia="zh-CN"/>
                    </w:rPr>
                    <w:t>0.01</w:t>
                  </w:r>
                </w:p>
              </w:tc>
              <w:tc>
                <w:tcPr>
                  <w:tcW w:w="615" w:type="dxa"/>
                  <w:vMerge w:val="continue"/>
                  <w:tcBorders>
                    <w:tl2br w:val="nil"/>
                    <w:tr2bl w:val="nil"/>
                  </w:tcBorders>
                  <w:vAlign w:val="center"/>
                </w:tcPr>
                <w:p>
                  <w:pPr>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396" w:type="dxa"/>
                  <w:tcBorders>
                    <w:tl2br w:val="nil"/>
                    <w:tr2bl w:val="nil"/>
                  </w:tcBorders>
                  <w:shd w:val="clear" w:color="auto" w:fill="auto"/>
                  <w:vAlign w:val="center"/>
                </w:tcPr>
                <w:p>
                  <w:pPr>
                    <w:jc w:val="center"/>
                    <w:rPr>
                      <w:rFonts w:hint="default" w:ascii="Times New Roman" w:hAnsi="Times New Roman" w:eastAsia="宋体" w:cs="Times New Roman"/>
                      <w:kern w:val="2"/>
                      <w:sz w:val="18"/>
                      <w:szCs w:val="18"/>
                      <w:lang w:val="en-US" w:eastAsia="zh-CN" w:bidi="ar-SA"/>
                    </w:rPr>
                  </w:pPr>
                  <w:r>
                    <w:rPr>
                      <w:rFonts w:hint="eastAsia" w:cs="Times New Roman"/>
                      <w:kern w:val="2"/>
                      <w:sz w:val="18"/>
                      <w:szCs w:val="18"/>
                      <w:lang w:val="en-US" w:eastAsia="zh-CN" w:bidi="ar-SA"/>
                    </w:rPr>
                    <w:t>12</w:t>
                  </w:r>
                </w:p>
              </w:tc>
              <w:tc>
                <w:tcPr>
                  <w:tcW w:w="846" w:type="dxa"/>
                  <w:tcBorders>
                    <w:tl2br w:val="nil"/>
                    <w:tr2bl w:val="nil"/>
                  </w:tcBorders>
                  <w:shd w:val="clear" w:color="auto" w:fill="auto"/>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废包装桶</w:t>
                  </w:r>
                </w:p>
              </w:tc>
              <w:tc>
                <w:tcPr>
                  <w:tcW w:w="614" w:type="dxa"/>
                  <w:vMerge w:val="continue"/>
                  <w:tcBorders>
                    <w:tl2br w:val="nil"/>
                    <w:tr2bl w:val="nil"/>
                  </w:tcBorders>
                  <w:vAlign w:val="center"/>
                </w:tcPr>
                <w:p>
                  <w:pPr>
                    <w:jc w:val="center"/>
                    <w:rPr>
                      <w:color w:val="auto"/>
                      <w:sz w:val="18"/>
                      <w:szCs w:val="18"/>
                    </w:rPr>
                  </w:pPr>
                </w:p>
              </w:tc>
              <w:tc>
                <w:tcPr>
                  <w:tcW w:w="614" w:type="dxa"/>
                  <w:tcBorders>
                    <w:tl2br w:val="nil"/>
                    <w:tr2bl w:val="nil"/>
                  </w:tcBorders>
                  <w:vAlign w:val="center"/>
                </w:tcPr>
                <w:p>
                  <w:pPr>
                    <w:jc w:val="center"/>
                    <w:rPr>
                      <w:color w:val="auto"/>
                      <w:sz w:val="18"/>
                      <w:szCs w:val="18"/>
                    </w:rPr>
                  </w:pPr>
                  <w:r>
                    <w:rPr>
                      <w:rFonts w:hint="eastAsia" w:ascii="Times New Roman" w:hAnsi="Times New Roman" w:eastAsia="宋体" w:cs="Times New Roman"/>
                      <w:color w:val="auto"/>
                      <w:sz w:val="18"/>
                      <w:szCs w:val="18"/>
                      <w:lang w:val="en-US" w:eastAsia="zh-CN"/>
                    </w:rPr>
                    <w:t>金属加工</w:t>
                  </w:r>
                </w:p>
              </w:tc>
              <w:tc>
                <w:tcPr>
                  <w:tcW w:w="614" w:type="dxa"/>
                  <w:tcBorders>
                    <w:tl2br w:val="nil"/>
                    <w:tr2bl w:val="nil"/>
                  </w:tcBorders>
                  <w:vAlign w:val="center"/>
                </w:tcPr>
                <w:p>
                  <w:pPr>
                    <w:jc w:val="center"/>
                    <w:rPr>
                      <w:color w:val="auto"/>
                      <w:sz w:val="18"/>
                      <w:szCs w:val="18"/>
                    </w:rPr>
                  </w:pPr>
                  <w:r>
                    <w:rPr>
                      <w:color w:val="auto"/>
                      <w:sz w:val="18"/>
                      <w:szCs w:val="18"/>
                    </w:rPr>
                    <w:t>固态</w:t>
                  </w:r>
                </w:p>
              </w:tc>
              <w:tc>
                <w:tcPr>
                  <w:tcW w:w="614" w:type="dxa"/>
                  <w:tcBorders>
                    <w:tl2br w:val="nil"/>
                    <w:tr2bl w:val="nil"/>
                  </w:tcBorders>
                  <w:vAlign w:val="center"/>
                </w:tcPr>
                <w:p>
                  <w:pPr>
                    <w:jc w:val="center"/>
                    <w:rPr>
                      <w:color w:val="auto"/>
                      <w:sz w:val="18"/>
                      <w:szCs w:val="18"/>
                    </w:rPr>
                  </w:pPr>
                  <w:r>
                    <w:rPr>
                      <w:rFonts w:hint="eastAsia"/>
                      <w:color w:val="auto"/>
                      <w:sz w:val="18"/>
                      <w:szCs w:val="18"/>
                      <w:lang w:eastAsia="zh-CN"/>
                    </w:rPr>
                    <w:t>有机物</w:t>
                  </w:r>
                </w:p>
              </w:tc>
              <w:tc>
                <w:tcPr>
                  <w:tcW w:w="643" w:type="dxa"/>
                  <w:tcBorders>
                    <w:tl2br w:val="nil"/>
                    <w:tr2bl w:val="nil"/>
                  </w:tcBorders>
                  <w:vAlign w:val="center"/>
                </w:tcPr>
                <w:p>
                  <w:pPr>
                    <w:jc w:val="center"/>
                    <w:rPr>
                      <w:color w:val="auto"/>
                      <w:sz w:val="18"/>
                      <w:szCs w:val="18"/>
                    </w:rPr>
                  </w:pPr>
                  <w:r>
                    <w:rPr>
                      <w:color w:val="auto"/>
                      <w:sz w:val="18"/>
                      <w:szCs w:val="18"/>
                    </w:rPr>
                    <w:t>T/In</w:t>
                  </w:r>
                </w:p>
              </w:tc>
              <w:tc>
                <w:tcPr>
                  <w:tcW w:w="696" w:type="dxa"/>
                  <w:tcBorders>
                    <w:tl2br w:val="nil"/>
                    <w:tr2bl w:val="nil"/>
                  </w:tcBorders>
                  <w:vAlign w:val="center"/>
                </w:tcPr>
                <w:p>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HW</w:t>
                  </w:r>
                  <w:r>
                    <w:rPr>
                      <w:rFonts w:hint="eastAsia" w:ascii="Times New Roman" w:hAnsi="Times New Roman" w:eastAsia="宋体" w:cs="Times New Roman"/>
                      <w:color w:val="auto"/>
                      <w:sz w:val="18"/>
                      <w:szCs w:val="18"/>
                      <w:lang w:val="en-US" w:eastAsia="zh-CN"/>
                    </w:rPr>
                    <w:t>4</w:t>
                  </w:r>
                  <w:r>
                    <w:rPr>
                      <w:rFonts w:ascii="Times New Roman" w:hAnsi="Times New Roman" w:eastAsia="宋体" w:cs="Times New Roman"/>
                      <w:color w:val="auto"/>
                      <w:sz w:val="18"/>
                      <w:szCs w:val="18"/>
                    </w:rPr>
                    <w:t>9</w:t>
                  </w:r>
                </w:p>
              </w:tc>
              <w:tc>
                <w:tcPr>
                  <w:tcW w:w="1196" w:type="dxa"/>
                  <w:tcBorders>
                    <w:tl2br w:val="nil"/>
                    <w:tr2bl w:val="nil"/>
                  </w:tcBorders>
                  <w:vAlign w:val="center"/>
                </w:tcPr>
                <w:p>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900-041-49</w:t>
                  </w:r>
                </w:p>
              </w:tc>
              <w:tc>
                <w:tcPr>
                  <w:tcW w:w="767" w:type="dxa"/>
                  <w:tcBorders>
                    <w:tl2br w:val="nil"/>
                    <w:tr2bl w:val="nil"/>
                  </w:tcBorders>
                  <w:vAlign w:val="center"/>
                </w:tcPr>
                <w:p>
                  <w:pPr>
                    <w:jc w:val="center"/>
                    <w:rPr>
                      <w:rFonts w:hint="eastAsia"/>
                      <w:color w:val="auto"/>
                      <w:sz w:val="18"/>
                      <w:szCs w:val="18"/>
                      <w:lang w:val="en-US" w:eastAsia="zh-CN"/>
                    </w:rPr>
                  </w:pPr>
                  <w:r>
                    <w:rPr>
                      <w:rFonts w:hint="eastAsia"/>
                      <w:color w:val="auto"/>
                      <w:sz w:val="18"/>
                      <w:szCs w:val="18"/>
                      <w:lang w:val="en-US" w:eastAsia="zh-CN"/>
                    </w:rPr>
                    <w:t>0.2</w:t>
                  </w:r>
                </w:p>
              </w:tc>
              <w:tc>
                <w:tcPr>
                  <w:tcW w:w="615" w:type="dxa"/>
                  <w:vMerge w:val="continue"/>
                  <w:tcBorders>
                    <w:tl2br w:val="nil"/>
                    <w:tr2bl w:val="nil"/>
                  </w:tcBorders>
                  <w:vAlign w:val="center"/>
                </w:tcPr>
                <w:p>
                  <w:pPr>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396" w:type="dxa"/>
                  <w:tcBorders>
                    <w:tl2br w:val="nil"/>
                    <w:tr2bl w:val="nil"/>
                  </w:tcBorders>
                  <w:shd w:val="clear" w:color="auto" w:fill="auto"/>
                  <w:vAlign w:val="center"/>
                </w:tcPr>
                <w:p>
                  <w:pPr>
                    <w:jc w:val="center"/>
                    <w:rPr>
                      <w:rFonts w:hint="default" w:ascii="Times New Roman" w:hAnsi="Times New Roman" w:eastAsia="宋体" w:cs="Times New Roman"/>
                      <w:kern w:val="2"/>
                      <w:sz w:val="18"/>
                      <w:szCs w:val="18"/>
                      <w:lang w:val="en-US" w:eastAsia="zh-CN" w:bidi="ar-SA"/>
                    </w:rPr>
                  </w:pPr>
                  <w:r>
                    <w:rPr>
                      <w:rFonts w:hint="eastAsia" w:cs="Times New Roman"/>
                      <w:kern w:val="2"/>
                      <w:sz w:val="18"/>
                      <w:szCs w:val="18"/>
                      <w:lang w:val="en-US" w:eastAsia="zh-CN" w:bidi="ar-SA"/>
                    </w:rPr>
                    <w:t>13</w:t>
                  </w:r>
                </w:p>
              </w:tc>
              <w:tc>
                <w:tcPr>
                  <w:tcW w:w="846" w:type="dxa"/>
                  <w:tcBorders>
                    <w:tl2br w:val="nil"/>
                    <w:tr2bl w:val="nil"/>
                  </w:tcBorders>
                  <w:vAlign w:val="center"/>
                </w:tcPr>
                <w:p>
                  <w:pPr>
                    <w:jc w:val="center"/>
                    <w:rPr>
                      <w:rFonts w:hint="eastAsia" w:eastAsia="宋体"/>
                      <w:sz w:val="18"/>
                      <w:szCs w:val="18"/>
                      <w:lang w:eastAsia="zh-CN"/>
                    </w:rPr>
                  </w:pPr>
                  <w:r>
                    <w:rPr>
                      <w:rFonts w:hint="eastAsia"/>
                      <w:sz w:val="18"/>
                      <w:szCs w:val="18"/>
                      <w:lang w:eastAsia="zh-CN"/>
                    </w:rPr>
                    <w:t>生活垃圾</w:t>
                  </w:r>
                </w:p>
              </w:tc>
              <w:tc>
                <w:tcPr>
                  <w:tcW w:w="614" w:type="dxa"/>
                  <w:vMerge w:val="restart"/>
                  <w:tcBorders>
                    <w:tl2br w:val="nil"/>
                    <w:tr2bl w:val="nil"/>
                  </w:tcBorders>
                  <w:vAlign w:val="center"/>
                </w:tcPr>
                <w:p>
                  <w:pPr>
                    <w:jc w:val="center"/>
                    <w:rPr>
                      <w:sz w:val="18"/>
                      <w:szCs w:val="18"/>
                    </w:rPr>
                  </w:pPr>
                  <w:r>
                    <w:rPr>
                      <w:rFonts w:hint="eastAsia"/>
                      <w:sz w:val="18"/>
                      <w:szCs w:val="18"/>
                      <w:lang w:eastAsia="zh-CN"/>
                    </w:rPr>
                    <w:t>生活垃圾</w:t>
                  </w:r>
                </w:p>
              </w:tc>
              <w:tc>
                <w:tcPr>
                  <w:tcW w:w="614" w:type="dxa"/>
                  <w:tcBorders>
                    <w:tl2br w:val="nil"/>
                    <w:tr2bl w:val="nil"/>
                  </w:tcBorders>
                  <w:vAlign w:val="center"/>
                </w:tcPr>
                <w:p>
                  <w:pPr>
                    <w:jc w:val="center"/>
                    <w:rPr>
                      <w:rFonts w:hint="eastAsia" w:eastAsia="宋体"/>
                      <w:sz w:val="18"/>
                      <w:szCs w:val="18"/>
                      <w:lang w:eastAsia="zh-CN"/>
                    </w:rPr>
                  </w:pPr>
                  <w:r>
                    <w:rPr>
                      <w:rFonts w:hint="eastAsia"/>
                      <w:sz w:val="18"/>
                      <w:szCs w:val="18"/>
                      <w:lang w:eastAsia="zh-CN"/>
                    </w:rPr>
                    <w:t>员工生活</w:t>
                  </w:r>
                </w:p>
              </w:tc>
              <w:tc>
                <w:tcPr>
                  <w:tcW w:w="614" w:type="dxa"/>
                  <w:tcBorders>
                    <w:tl2br w:val="nil"/>
                    <w:tr2bl w:val="nil"/>
                  </w:tcBorders>
                  <w:vAlign w:val="center"/>
                </w:tcPr>
                <w:p>
                  <w:pPr>
                    <w:jc w:val="center"/>
                    <w:rPr>
                      <w:rFonts w:hint="eastAsia" w:eastAsia="宋体"/>
                      <w:sz w:val="18"/>
                      <w:szCs w:val="18"/>
                      <w:lang w:eastAsia="zh-CN"/>
                    </w:rPr>
                  </w:pPr>
                  <w:r>
                    <w:rPr>
                      <w:rFonts w:hint="eastAsia"/>
                      <w:sz w:val="18"/>
                      <w:szCs w:val="18"/>
                      <w:lang w:eastAsia="zh-CN"/>
                    </w:rPr>
                    <w:t>固态</w:t>
                  </w:r>
                </w:p>
              </w:tc>
              <w:tc>
                <w:tcPr>
                  <w:tcW w:w="614" w:type="dxa"/>
                  <w:tcBorders>
                    <w:tl2br w:val="nil"/>
                    <w:tr2bl w:val="nil"/>
                  </w:tcBorders>
                  <w:vAlign w:val="center"/>
                </w:tcPr>
                <w:p>
                  <w:pPr>
                    <w:jc w:val="center"/>
                    <w:rPr>
                      <w:rFonts w:hint="eastAsia" w:eastAsia="宋体"/>
                      <w:sz w:val="18"/>
                      <w:szCs w:val="18"/>
                      <w:lang w:val="en-US" w:eastAsia="zh-CN"/>
                    </w:rPr>
                  </w:pPr>
                  <w:r>
                    <w:rPr>
                      <w:rFonts w:hint="eastAsia"/>
                      <w:sz w:val="18"/>
                      <w:szCs w:val="18"/>
                      <w:lang w:val="en-US" w:eastAsia="zh-CN"/>
                    </w:rPr>
                    <w:t>/</w:t>
                  </w:r>
                </w:p>
              </w:tc>
              <w:tc>
                <w:tcPr>
                  <w:tcW w:w="643" w:type="dxa"/>
                  <w:tcBorders>
                    <w:tl2br w:val="nil"/>
                    <w:tr2bl w:val="nil"/>
                  </w:tcBorders>
                  <w:vAlign w:val="center"/>
                </w:tcPr>
                <w:p>
                  <w:pPr>
                    <w:jc w:val="center"/>
                    <w:rPr>
                      <w:rFonts w:hint="eastAsia" w:eastAsia="宋体"/>
                      <w:sz w:val="18"/>
                      <w:szCs w:val="18"/>
                      <w:lang w:val="en-US" w:eastAsia="zh-CN"/>
                    </w:rPr>
                  </w:pPr>
                  <w:r>
                    <w:rPr>
                      <w:rFonts w:hint="eastAsia"/>
                      <w:sz w:val="18"/>
                      <w:szCs w:val="18"/>
                      <w:lang w:val="en-US" w:eastAsia="zh-CN"/>
                    </w:rPr>
                    <w:t>/</w:t>
                  </w:r>
                </w:p>
              </w:tc>
              <w:tc>
                <w:tcPr>
                  <w:tcW w:w="696" w:type="dxa"/>
                  <w:tcBorders>
                    <w:tl2br w:val="nil"/>
                    <w:tr2bl w:val="nil"/>
                  </w:tcBorders>
                  <w:vAlign w:val="center"/>
                </w:tcPr>
                <w:p>
                  <w:pPr>
                    <w:jc w:val="center"/>
                    <w:rPr>
                      <w:rFonts w:hint="eastAsia"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SW64</w:t>
                  </w:r>
                </w:p>
              </w:tc>
              <w:tc>
                <w:tcPr>
                  <w:tcW w:w="1196" w:type="dxa"/>
                  <w:tcBorders>
                    <w:tl2br w:val="nil"/>
                    <w:tr2bl w:val="nil"/>
                  </w:tcBorders>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lang w:val="en-US" w:eastAsia="zh-CN"/>
                    </w:rPr>
                    <w:t>900-099-S64</w:t>
                  </w:r>
                </w:p>
              </w:tc>
              <w:tc>
                <w:tcPr>
                  <w:tcW w:w="767" w:type="dxa"/>
                  <w:tcBorders>
                    <w:tl2br w:val="nil"/>
                    <w:tr2bl w:val="nil"/>
                  </w:tcBorders>
                  <w:vAlign w:val="center"/>
                </w:tcPr>
                <w:p>
                  <w:pPr>
                    <w:jc w:val="center"/>
                    <w:rPr>
                      <w:rFonts w:hint="default" w:eastAsia="宋体"/>
                      <w:sz w:val="18"/>
                      <w:szCs w:val="18"/>
                      <w:lang w:val="en-US" w:eastAsia="zh-CN"/>
                    </w:rPr>
                  </w:pPr>
                  <w:r>
                    <w:rPr>
                      <w:rFonts w:hint="eastAsia"/>
                      <w:sz w:val="18"/>
                      <w:szCs w:val="18"/>
                      <w:lang w:val="en-US" w:eastAsia="zh-CN"/>
                    </w:rPr>
                    <w:t>6</w:t>
                  </w:r>
                </w:p>
              </w:tc>
              <w:tc>
                <w:tcPr>
                  <w:tcW w:w="615" w:type="dxa"/>
                  <w:tcBorders>
                    <w:tl2br w:val="nil"/>
                    <w:tr2bl w:val="nil"/>
                  </w:tcBorders>
                  <w:vAlign w:val="center"/>
                </w:tcPr>
                <w:p>
                  <w:pPr>
                    <w:jc w:val="center"/>
                    <w:rPr>
                      <w:rFonts w:hint="eastAsia" w:eastAsia="宋体"/>
                      <w:sz w:val="18"/>
                      <w:szCs w:val="18"/>
                      <w:lang w:eastAsia="zh-CN"/>
                    </w:rPr>
                  </w:pPr>
                  <w:r>
                    <w:rPr>
                      <w:rFonts w:hint="eastAsia"/>
                      <w:sz w:val="18"/>
                      <w:szCs w:val="18"/>
                      <w:lang w:eastAsia="zh-CN"/>
                    </w:rPr>
                    <w:t>环卫部门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396" w:type="dxa"/>
                  <w:tcBorders>
                    <w:tl2br w:val="nil"/>
                    <w:tr2bl w:val="nil"/>
                  </w:tcBorders>
                  <w:shd w:val="clear" w:color="auto" w:fill="auto"/>
                  <w:vAlign w:val="center"/>
                </w:tcPr>
                <w:p>
                  <w:pPr>
                    <w:jc w:val="center"/>
                    <w:rPr>
                      <w:rFonts w:hint="default" w:cs="Times New Roman"/>
                      <w:kern w:val="2"/>
                      <w:sz w:val="18"/>
                      <w:szCs w:val="18"/>
                      <w:lang w:val="en-US" w:eastAsia="zh-CN" w:bidi="ar-SA"/>
                    </w:rPr>
                  </w:pPr>
                  <w:r>
                    <w:rPr>
                      <w:rFonts w:hint="eastAsia" w:cs="Times New Roman"/>
                      <w:kern w:val="2"/>
                      <w:sz w:val="18"/>
                      <w:szCs w:val="18"/>
                      <w:lang w:val="en-US" w:eastAsia="zh-CN" w:bidi="ar-SA"/>
                    </w:rPr>
                    <w:t>14</w:t>
                  </w:r>
                </w:p>
              </w:tc>
              <w:tc>
                <w:tcPr>
                  <w:tcW w:w="846" w:type="dxa"/>
                  <w:tcBorders>
                    <w:tl2br w:val="nil"/>
                    <w:tr2bl w:val="nil"/>
                  </w:tcBorders>
                  <w:shd w:val="clear" w:color="auto" w:fill="auto"/>
                  <w:vAlign w:val="center"/>
                </w:tcPr>
                <w:p>
                  <w:pPr>
                    <w:jc w:val="center"/>
                    <w:rPr>
                      <w:rFonts w:hint="eastAsia" w:ascii="Times New Roman" w:hAnsi="Times New Roman" w:eastAsia="宋体" w:cs="Times New Roman"/>
                      <w:kern w:val="2"/>
                      <w:sz w:val="18"/>
                      <w:szCs w:val="18"/>
                      <w:lang w:val="en-US" w:eastAsia="zh-CN" w:bidi="ar-SA"/>
                    </w:rPr>
                  </w:pPr>
                  <w:r>
                    <w:rPr>
                      <w:rFonts w:hint="eastAsia" w:ascii="Times New Roman" w:hAnsi="Times New Roman" w:eastAsia="宋体" w:cs="Times New Roman"/>
                      <w:sz w:val="18"/>
                      <w:szCs w:val="18"/>
                      <w:lang w:val="en-US" w:eastAsia="zh-CN"/>
                    </w:rPr>
                    <w:t>餐厨垃圾</w:t>
                  </w:r>
                </w:p>
              </w:tc>
              <w:tc>
                <w:tcPr>
                  <w:tcW w:w="614" w:type="dxa"/>
                  <w:vMerge w:val="continue"/>
                  <w:tcBorders>
                    <w:tl2br w:val="nil"/>
                    <w:tr2bl w:val="nil"/>
                  </w:tcBorders>
                  <w:shd w:val="clear" w:color="auto" w:fill="auto"/>
                  <w:vAlign w:val="center"/>
                </w:tcPr>
                <w:p>
                  <w:pPr>
                    <w:autoSpaceDE w:val="0"/>
                    <w:autoSpaceDN w:val="0"/>
                    <w:snapToGrid w:val="0"/>
                    <w:jc w:val="center"/>
                    <w:rPr>
                      <w:rFonts w:hint="eastAsia" w:ascii="Times New Roman" w:hAnsi="Times New Roman" w:eastAsia="宋体" w:cs="Times New Roman"/>
                      <w:snapToGrid w:val="0"/>
                      <w:kern w:val="0"/>
                      <w:sz w:val="18"/>
                      <w:szCs w:val="18"/>
                      <w:lang w:val="en-US" w:eastAsia="zh-CN" w:bidi="ar-SA"/>
                    </w:rPr>
                  </w:pPr>
                </w:p>
              </w:tc>
              <w:tc>
                <w:tcPr>
                  <w:tcW w:w="614" w:type="dxa"/>
                  <w:tcBorders>
                    <w:tl2br w:val="nil"/>
                    <w:tr2bl w:val="nil"/>
                  </w:tcBorders>
                  <w:shd w:val="clear" w:color="auto" w:fill="auto"/>
                  <w:vAlign w:val="center"/>
                </w:tcPr>
                <w:p>
                  <w:pPr>
                    <w:jc w:val="center"/>
                    <w:rPr>
                      <w:rFonts w:hint="eastAsia" w:ascii="Times New Roman" w:hAnsi="Times New Roman" w:eastAsia="宋体" w:cs="Times New Roman"/>
                      <w:snapToGrid w:val="0"/>
                      <w:kern w:val="0"/>
                      <w:sz w:val="18"/>
                      <w:szCs w:val="18"/>
                      <w:lang w:val="en-US" w:eastAsia="zh-CN" w:bidi="ar-SA"/>
                    </w:rPr>
                  </w:pPr>
                  <w:r>
                    <w:rPr>
                      <w:rFonts w:hint="eastAsia" w:ascii="Times New Roman" w:hAnsi="Times New Roman" w:eastAsia="宋体" w:cs="Times New Roman"/>
                      <w:sz w:val="18"/>
                      <w:szCs w:val="18"/>
                      <w:lang w:val="en-US" w:eastAsia="zh-CN"/>
                    </w:rPr>
                    <w:t>食堂</w:t>
                  </w:r>
                </w:p>
              </w:tc>
              <w:tc>
                <w:tcPr>
                  <w:tcW w:w="614" w:type="dxa"/>
                  <w:tcBorders>
                    <w:tl2br w:val="nil"/>
                    <w:tr2bl w:val="nil"/>
                  </w:tcBorders>
                  <w:shd w:val="clear" w:color="auto" w:fill="auto"/>
                  <w:vAlign w:val="center"/>
                </w:tcPr>
                <w:p>
                  <w:pPr>
                    <w:jc w:val="center"/>
                    <w:rPr>
                      <w:rFonts w:hint="eastAsia" w:ascii="Times New Roman" w:hAnsi="Times New Roman" w:eastAsia="宋体" w:cs="Times New Roman"/>
                      <w:snapToGrid w:val="0"/>
                      <w:kern w:val="0"/>
                      <w:sz w:val="18"/>
                      <w:szCs w:val="18"/>
                      <w:lang w:val="en-US" w:eastAsia="zh-CN" w:bidi="ar-SA"/>
                    </w:rPr>
                  </w:pPr>
                  <w:r>
                    <w:rPr>
                      <w:rFonts w:hint="eastAsia" w:ascii="Times New Roman" w:hAnsi="Times New Roman" w:eastAsia="宋体" w:cs="Times New Roman"/>
                      <w:sz w:val="18"/>
                      <w:szCs w:val="18"/>
                      <w:lang w:eastAsia="zh-CN"/>
                    </w:rPr>
                    <w:t>半固</w:t>
                  </w:r>
                </w:p>
              </w:tc>
              <w:tc>
                <w:tcPr>
                  <w:tcW w:w="614" w:type="dxa"/>
                  <w:tcBorders>
                    <w:tl2br w:val="nil"/>
                    <w:tr2bl w:val="nil"/>
                  </w:tcBorders>
                  <w:shd w:val="clear" w:color="auto" w:fill="auto"/>
                  <w:vAlign w:val="center"/>
                </w:tcPr>
                <w:p>
                  <w:pPr>
                    <w:jc w:val="center"/>
                    <w:rPr>
                      <w:rFonts w:hint="eastAsia" w:ascii="Times New Roman" w:hAnsi="Times New Roman" w:eastAsia="宋体" w:cs="Times New Roman"/>
                      <w:snapToGrid w:val="0"/>
                      <w:kern w:val="0"/>
                      <w:sz w:val="18"/>
                      <w:szCs w:val="18"/>
                      <w:lang w:val="en-US" w:eastAsia="zh-CN" w:bidi="ar-SA"/>
                    </w:rPr>
                  </w:pPr>
                  <w:r>
                    <w:rPr>
                      <w:rFonts w:hint="eastAsia" w:ascii="Times New Roman" w:hAnsi="Times New Roman" w:eastAsia="宋体" w:cs="Times New Roman"/>
                      <w:sz w:val="18"/>
                      <w:szCs w:val="18"/>
                      <w:lang w:val="en-US" w:eastAsia="zh-CN"/>
                    </w:rPr>
                    <w:t>饭菜、废油脂等</w:t>
                  </w:r>
                </w:p>
              </w:tc>
              <w:tc>
                <w:tcPr>
                  <w:tcW w:w="643" w:type="dxa"/>
                  <w:tcBorders>
                    <w:tl2br w:val="nil"/>
                    <w:tr2bl w:val="nil"/>
                  </w:tcBorders>
                  <w:shd w:val="clear" w:color="auto" w:fill="auto"/>
                  <w:vAlign w:val="center"/>
                </w:tcPr>
                <w:p>
                  <w:pPr>
                    <w:autoSpaceDE w:val="0"/>
                    <w:autoSpaceDN w:val="0"/>
                    <w:snapToGrid w:val="0"/>
                    <w:jc w:val="center"/>
                    <w:rPr>
                      <w:rFonts w:hint="eastAsia" w:ascii="Times New Roman" w:hAnsi="Times New Roman" w:eastAsia="宋体" w:cs="Times New Roman"/>
                      <w:snapToGrid w:val="0"/>
                      <w:color w:val="auto"/>
                      <w:kern w:val="0"/>
                      <w:sz w:val="18"/>
                      <w:szCs w:val="18"/>
                      <w:lang w:val="en-US" w:eastAsia="zh-CN" w:bidi="ar-SA"/>
                    </w:rPr>
                  </w:pPr>
                  <w:r>
                    <w:rPr>
                      <w:rFonts w:hint="eastAsia"/>
                      <w:sz w:val="18"/>
                      <w:szCs w:val="18"/>
                      <w:lang w:val="en-US" w:eastAsia="zh-CN"/>
                    </w:rPr>
                    <w:t>/</w:t>
                  </w:r>
                </w:p>
              </w:tc>
              <w:tc>
                <w:tcPr>
                  <w:tcW w:w="696" w:type="dxa"/>
                  <w:tcBorders>
                    <w:tl2br w:val="nil"/>
                    <w:tr2bl w:val="nil"/>
                  </w:tcBorders>
                  <w:shd w:val="clear" w:color="auto" w:fill="auto"/>
                  <w:vAlign w:val="center"/>
                </w:tcPr>
                <w:p>
                  <w:pPr>
                    <w:autoSpaceDE w:val="0"/>
                    <w:autoSpaceDN w:val="0"/>
                    <w:snapToGrid w:val="0"/>
                    <w:jc w:val="center"/>
                    <w:rPr>
                      <w:rFonts w:hint="default" w:ascii="Times New Roman" w:hAnsi="Times New Roman" w:eastAsia="宋体" w:cs="Times New Roman"/>
                      <w:snapToGrid w:val="0"/>
                      <w:color w:val="auto"/>
                      <w:kern w:val="0"/>
                      <w:sz w:val="18"/>
                      <w:szCs w:val="18"/>
                      <w:lang w:val="en-US" w:eastAsia="zh-CN" w:bidi="ar-SA"/>
                    </w:rPr>
                  </w:pPr>
                  <w:r>
                    <w:rPr>
                      <w:rFonts w:hint="eastAsia" w:ascii="Times New Roman" w:hAnsi="Times New Roman" w:eastAsia="宋体" w:cs="Times New Roman"/>
                      <w:color w:val="auto"/>
                      <w:spacing w:val="-8"/>
                      <w:sz w:val="18"/>
                      <w:szCs w:val="18"/>
                      <w:lang w:val="en-US" w:eastAsia="zh-CN"/>
                    </w:rPr>
                    <w:t>SW61</w:t>
                  </w:r>
                </w:p>
              </w:tc>
              <w:tc>
                <w:tcPr>
                  <w:tcW w:w="1196" w:type="dxa"/>
                  <w:tcBorders>
                    <w:tl2br w:val="nil"/>
                    <w:tr2bl w:val="nil"/>
                  </w:tcBorders>
                  <w:shd w:val="clear" w:color="auto" w:fill="auto"/>
                  <w:vAlign w:val="center"/>
                </w:tcPr>
                <w:p>
                  <w:pPr>
                    <w:autoSpaceDE w:val="0"/>
                    <w:autoSpaceDN w:val="0"/>
                    <w:snapToGrid w:val="0"/>
                    <w:jc w:val="center"/>
                    <w:rPr>
                      <w:rFonts w:hint="eastAsia" w:ascii="Times New Roman" w:hAnsi="Times New Roman" w:eastAsia="宋体" w:cs="Times New Roman"/>
                      <w:color w:val="auto"/>
                      <w:spacing w:val="-8"/>
                      <w:kern w:val="2"/>
                      <w:sz w:val="18"/>
                      <w:szCs w:val="18"/>
                      <w:lang w:val="en-US" w:eastAsia="zh-CN" w:bidi="ar-SA"/>
                    </w:rPr>
                  </w:pPr>
                  <w:r>
                    <w:rPr>
                      <w:rFonts w:hint="eastAsia" w:ascii="Times New Roman" w:hAnsi="Times New Roman" w:eastAsia="宋体" w:cs="Times New Roman"/>
                      <w:color w:val="auto"/>
                      <w:spacing w:val="-8"/>
                      <w:sz w:val="18"/>
                      <w:szCs w:val="18"/>
                      <w:lang w:val="en-US" w:eastAsia="zh-CN"/>
                    </w:rPr>
                    <w:t>900-002-S61</w:t>
                  </w:r>
                </w:p>
              </w:tc>
              <w:tc>
                <w:tcPr>
                  <w:tcW w:w="767" w:type="dxa"/>
                  <w:tcBorders>
                    <w:tl2br w:val="nil"/>
                    <w:tr2bl w:val="nil"/>
                  </w:tcBorders>
                  <w:shd w:val="clear" w:color="auto" w:fill="auto"/>
                  <w:vAlign w:val="center"/>
                </w:tcPr>
                <w:p>
                  <w:pPr>
                    <w:autoSpaceDE w:val="0"/>
                    <w:autoSpaceDN w:val="0"/>
                    <w:snapToGrid w:val="0"/>
                    <w:jc w:val="center"/>
                    <w:rPr>
                      <w:rFonts w:hint="default" w:ascii="Times New Roman" w:hAnsi="Times New Roman" w:eastAsia="宋体" w:cs="Times New Roman"/>
                      <w:color w:val="auto"/>
                      <w:spacing w:val="-8"/>
                      <w:kern w:val="2"/>
                      <w:sz w:val="18"/>
                      <w:szCs w:val="18"/>
                      <w:lang w:val="en-US" w:eastAsia="zh-CN" w:bidi="ar-SA"/>
                    </w:rPr>
                  </w:pPr>
                  <w:r>
                    <w:rPr>
                      <w:rFonts w:hint="eastAsia" w:ascii="Times New Roman" w:hAnsi="Times New Roman" w:eastAsia="宋体" w:cs="Times New Roman"/>
                      <w:color w:val="auto"/>
                      <w:spacing w:val="-8"/>
                      <w:sz w:val="18"/>
                      <w:szCs w:val="18"/>
                      <w:lang w:val="en-US" w:eastAsia="zh-CN"/>
                    </w:rPr>
                    <w:t>30</w:t>
                  </w:r>
                </w:p>
              </w:tc>
              <w:tc>
                <w:tcPr>
                  <w:tcW w:w="615" w:type="dxa"/>
                  <w:tcBorders>
                    <w:tl2br w:val="nil"/>
                    <w:tr2bl w:val="nil"/>
                  </w:tcBorders>
                  <w:shd w:val="clear" w:color="auto" w:fill="auto"/>
                  <w:vAlign w:val="center"/>
                </w:tcPr>
                <w:p>
                  <w:pPr>
                    <w:jc w:val="center"/>
                    <w:rPr>
                      <w:rFonts w:hint="eastAsia" w:ascii="Times New Roman" w:hAnsi="Times New Roman" w:eastAsia="宋体" w:cs="Times New Roman"/>
                      <w:color w:val="FF0000"/>
                      <w:kern w:val="2"/>
                      <w:sz w:val="18"/>
                      <w:szCs w:val="18"/>
                      <w:lang w:val="en-US" w:eastAsia="zh-CN" w:bidi="ar-SA"/>
                    </w:rPr>
                  </w:pPr>
                  <w:r>
                    <w:rPr>
                      <w:rFonts w:hint="eastAsia" w:ascii="Times New Roman" w:hAnsi="Times New Roman" w:eastAsia="宋体" w:cs="Times New Roman"/>
                      <w:snapToGrid w:val="0"/>
                      <w:kern w:val="0"/>
                      <w:sz w:val="18"/>
                      <w:szCs w:val="18"/>
                      <w:lang w:val="en-US" w:eastAsia="zh-CN"/>
                    </w:rPr>
                    <w:t>委托专业的餐厨垃圾处置公司处置</w:t>
                  </w:r>
                </w:p>
              </w:tc>
            </w:tr>
          </w:tbl>
          <w:p>
            <w:pPr>
              <w:adjustRightInd w:val="0"/>
              <w:snapToGrid w:val="0"/>
              <w:spacing w:line="500" w:lineRule="exact"/>
              <w:ind w:firstLine="420" w:firstLineChars="200"/>
            </w:pPr>
            <w:r>
              <w:t>4、固体废物贮存、处置情况</w:t>
            </w:r>
          </w:p>
          <w:p>
            <w:pPr>
              <w:adjustRightInd w:val="0"/>
              <w:snapToGrid w:val="0"/>
              <w:spacing w:line="500" w:lineRule="exact"/>
              <w:ind w:firstLine="420" w:firstLineChars="200"/>
            </w:pPr>
            <w:r>
              <w:t>1）一般工业固废贮存场所（设施）情况</w:t>
            </w:r>
          </w:p>
          <w:p>
            <w:pPr>
              <w:adjustRightInd w:val="0"/>
              <w:snapToGrid w:val="0"/>
              <w:spacing w:line="500" w:lineRule="exact"/>
              <w:ind w:firstLine="420" w:firstLineChars="200"/>
              <w:rPr>
                <w:rFonts w:hint="default" w:eastAsia="宋体"/>
                <w:bCs/>
                <w:color w:val="auto"/>
                <w:szCs w:val="21"/>
                <w:lang w:val="en-US" w:eastAsia="zh-CN"/>
              </w:rPr>
            </w:pPr>
            <w:r>
              <w:rPr>
                <w:rFonts w:ascii="Times New Roman" w:hAnsi="Times New Roman" w:eastAsia="宋体" w:cs="Times New Roman"/>
              </w:rPr>
              <w:t>项目产生的</w:t>
            </w:r>
            <w:r>
              <w:rPr>
                <w:rFonts w:hint="eastAsia" w:ascii="Times New Roman" w:hAnsi="Times New Roman" w:eastAsia="宋体" w:cs="Times New Roman"/>
                <w:lang w:val="en-US" w:eastAsia="zh-CN"/>
              </w:rPr>
              <w:t>废氧化皮</w:t>
            </w:r>
            <w:r>
              <w:rPr>
                <w:rFonts w:ascii="Times New Roman" w:hAnsi="Times New Roman" w:eastAsia="宋体" w:cs="Times New Roman"/>
              </w:rPr>
              <w:t>、废边角料</w:t>
            </w:r>
            <w:r>
              <w:rPr>
                <w:rFonts w:hint="eastAsia" w:cs="Times New Roman"/>
                <w:lang w:eastAsia="zh-CN"/>
              </w:rPr>
              <w:t>、沉渣、除尘灰</w:t>
            </w:r>
            <w:r>
              <w:rPr>
                <w:rFonts w:ascii="Times New Roman" w:hAnsi="Times New Roman" w:eastAsia="宋体" w:cs="Times New Roman"/>
              </w:rPr>
              <w:t>属于</w:t>
            </w:r>
            <w:r>
              <w:t>一般工业固废，由企业收集后出售</w:t>
            </w:r>
            <w:r>
              <w:rPr>
                <w:rFonts w:hint="eastAsia"/>
                <w:lang w:eastAsia="zh-CN"/>
              </w:rPr>
              <w:t>。</w:t>
            </w:r>
            <w:r>
              <w:rPr>
                <w:rFonts w:hint="eastAsia"/>
                <w:bCs/>
                <w:color w:val="auto"/>
                <w:szCs w:val="21"/>
                <w:lang w:val="en-US" w:eastAsia="zh-CN"/>
              </w:rPr>
              <w:t>项</w:t>
            </w:r>
            <w:r>
              <w:rPr>
                <w:rFonts w:hint="eastAsia" w:ascii="Times New Roman" w:hAnsi="Times New Roman" w:eastAsia="宋体" w:cs="Times New Roman"/>
                <w:bCs/>
                <w:color w:val="auto"/>
                <w:szCs w:val="21"/>
                <w:lang w:val="en-US" w:eastAsia="zh-CN"/>
              </w:rPr>
              <w:t>目餐厨垃圾委托专业的餐厨垃圾处置公司处置，</w:t>
            </w:r>
            <w:r>
              <w:rPr>
                <w:rFonts w:hint="eastAsia" w:ascii="Times New Roman" w:hAnsi="Times New Roman" w:eastAsia="宋体" w:cs="Times New Roman"/>
                <w:bCs/>
                <w:color w:val="auto"/>
                <w:szCs w:val="21"/>
              </w:rPr>
              <w:t>生</w:t>
            </w:r>
            <w:r>
              <w:rPr>
                <w:rFonts w:hint="eastAsia"/>
                <w:bCs/>
                <w:color w:val="auto"/>
                <w:szCs w:val="21"/>
              </w:rPr>
              <w:t>活垃圾委托环卫部门清运处置</w:t>
            </w:r>
            <w:r>
              <w:rPr>
                <w:rFonts w:hint="eastAsia"/>
                <w:bCs/>
                <w:color w:val="auto"/>
                <w:szCs w:val="21"/>
                <w:lang w:eastAsia="zh-CN"/>
              </w:rPr>
              <w:t>，</w:t>
            </w:r>
            <w:r>
              <w:rPr>
                <w:rFonts w:hint="eastAsia"/>
                <w:bCs/>
                <w:color w:val="auto"/>
                <w:szCs w:val="21"/>
                <w:lang w:val="en-US" w:eastAsia="zh-CN"/>
              </w:rPr>
              <w:t>生活垃圾暂存标准执行《城市生活垃圾处理及污染防治技术政策》（建城〔2000〕120号）和《生活垃圾处理技术指南》（建城〔2010〕61号）以及国家、省市关于固体废物污染环境防治的法律法规。</w:t>
            </w:r>
          </w:p>
          <w:p>
            <w:pPr>
              <w:adjustRightInd w:val="0"/>
              <w:snapToGrid w:val="0"/>
              <w:spacing w:line="500" w:lineRule="exact"/>
              <w:ind w:firstLine="420" w:firstLineChars="200"/>
              <w:rPr>
                <w:rFonts w:hint="eastAsia"/>
                <w:bCs/>
                <w:color w:val="auto"/>
                <w:szCs w:val="21"/>
              </w:rPr>
            </w:pPr>
            <w:r>
              <w:rPr>
                <w:rFonts w:hint="eastAsia"/>
                <w:bCs/>
                <w:color w:val="auto"/>
                <w:szCs w:val="21"/>
              </w:rPr>
              <w:t>项目设置一般固废贮存场所，占地面积为</w:t>
            </w:r>
            <w:r>
              <w:rPr>
                <w:rFonts w:hint="eastAsia"/>
                <w:bCs/>
                <w:color w:val="auto"/>
                <w:szCs w:val="21"/>
                <w:lang w:val="en-US" w:eastAsia="zh-CN"/>
              </w:rPr>
              <w:t>100</w:t>
            </w:r>
            <w:r>
              <w:rPr>
                <w:rFonts w:hint="eastAsia"/>
                <w:bCs/>
                <w:color w:val="auto"/>
                <w:szCs w:val="21"/>
              </w:rPr>
              <w:t>m</w:t>
            </w:r>
            <w:r>
              <w:rPr>
                <w:rFonts w:hint="eastAsia"/>
                <w:bCs/>
                <w:color w:val="auto"/>
                <w:szCs w:val="21"/>
                <w:vertAlign w:val="superscript"/>
              </w:rPr>
              <w:t>2</w:t>
            </w:r>
            <w:r>
              <w:rPr>
                <w:rFonts w:hint="eastAsia"/>
                <w:bCs/>
                <w:color w:val="auto"/>
                <w:szCs w:val="21"/>
              </w:rPr>
              <w:t>。一般工业固废暂存场所需按照《一般工业固体废物贮存和填埋污染控制标准》（GB18599-2020）要求建设，具体要求如下：</w:t>
            </w:r>
          </w:p>
          <w:p>
            <w:pPr>
              <w:adjustRightInd w:val="0"/>
              <w:snapToGrid w:val="0"/>
              <w:spacing w:line="500" w:lineRule="exact"/>
              <w:ind w:firstLine="420" w:firstLineChars="200"/>
              <w:rPr>
                <w:rFonts w:hint="eastAsia"/>
                <w:bCs/>
                <w:color w:val="auto"/>
                <w:szCs w:val="21"/>
              </w:rPr>
            </w:pPr>
            <w:r>
              <w:rPr>
                <w:rFonts w:hint="eastAsia"/>
                <w:bCs/>
                <w:color w:val="auto"/>
                <w:szCs w:val="21"/>
              </w:rPr>
              <w:t>① 贮存、处置场的建设类型，必须与将要堆放一般工业固体废物的类别相一致；</w:t>
            </w:r>
          </w:p>
          <w:p>
            <w:pPr>
              <w:adjustRightInd w:val="0"/>
              <w:snapToGrid w:val="0"/>
              <w:spacing w:line="500" w:lineRule="exact"/>
              <w:ind w:firstLine="420" w:firstLineChars="200"/>
              <w:rPr>
                <w:rFonts w:hint="eastAsia"/>
                <w:bCs/>
                <w:color w:val="auto"/>
                <w:szCs w:val="21"/>
              </w:rPr>
            </w:pPr>
            <w:r>
              <w:rPr>
                <w:rFonts w:hint="eastAsia"/>
                <w:bCs/>
                <w:color w:val="auto"/>
                <w:szCs w:val="21"/>
              </w:rPr>
              <w:t>② 贮存、处置场应采取防止粉尘污染的措施；</w:t>
            </w:r>
          </w:p>
          <w:p>
            <w:pPr>
              <w:adjustRightInd w:val="0"/>
              <w:snapToGrid w:val="0"/>
              <w:spacing w:line="500" w:lineRule="exact"/>
              <w:ind w:firstLine="420" w:firstLineChars="200"/>
              <w:rPr>
                <w:rFonts w:hint="eastAsia"/>
                <w:bCs/>
                <w:color w:val="auto"/>
                <w:szCs w:val="21"/>
              </w:rPr>
            </w:pPr>
            <w:r>
              <w:rPr>
                <w:rFonts w:hint="eastAsia"/>
                <w:bCs/>
                <w:color w:val="auto"/>
                <w:szCs w:val="21"/>
              </w:rPr>
              <w:t>③ 为防止雨水径流进入贮存、处置场内，避免渗滤液量增加和滑坡，贮存、处置场周边应设置导流渠；</w:t>
            </w:r>
          </w:p>
          <w:p>
            <w:pPr>
              <w:adjustRightInd w:val="0"/>
              <w:snapToGrid w:val="0"/>
              <w:spacing w:line="500" w:lineRule="exact"/>
              <w:ind w:firstLine="420" w:firstLineChars="200"/>
              <w:rPr>
                <w:rFonts w:hint="eastAsia"/>
                <w:bCs/>
                <w:color w:val="auto"/>
                <w:szCs w:val="21"/>
              </w:rPr>
            </w:pPr>
            <w:r>
              <w:rPr>
                <w:rFonts w:hint="eastAsia"/>
                <w:bCs/>
                <w:color w:val="auto"/>
                <w:szCs w:val="21"/>
              </w:rPr>
              <w:t>④ 应设计渗滤液集排水设施；</w:t>
            </w:r>
          </w:p>
          <w:p>
            <w:pPr>
              <w:adjustRightInd w:val="0"/>
              <w:snapToGrid w:val="0"/>
              <w:spacing w:line="500" w:lineRule="exact"/>
              <w:ind w:firstLine="420" w:firstLineChars="200"/>
              <w:rPr>
                <w:rFonts w:hint="eastAsia"/>
                <w:bCs/>
                <w:color w:val="auto"/>
                <w:szCs w:val="21"/>
              </w:rPr>
            </w:pPr>
            <w:r>
              <w:rPr>
                <w:rFonts w:hint="eastAsia"/>
                <w:bCs/>
                <w:color w:val="auto"/>
                <w:szCs w:val="21"/>
              </w:rPr>
              <w:t>⑤ 为防止一般工业固体废物和渗滤液的流失，应构筑堤土墙等设施；</w:t>
            </w:r>
          </w:p>
          <w:p>
            <w:pPr>
              <w:adjustRightInd w:val="0"/>
              <w:snapToGrid w:val="0"/>
              <w:spacing w:line="500" w:lineRule="exact"/>
              <w:ind w:firstLine="420" w:firstLineChars="200"/>
              <w:rPr>
                <w:rFonts w:hint="eastAsia"/>
                <w:bCs/>
                <w:color w:val="auto"/>
                <w:szCs w:val="21"/>
              </w:rPr>
            </w:pPr>
            <w:r>
              <w:rPr>
                <w:rFonts w:hint="eastAsia"/>
                <w:bCs/>
                <w:color w:val="auto"/>
                <w:szCs w:val="21"/>
              </w:rPr>
              <w:t>⑥ 为保障设施、设备</w:t>
            </w:r>
            <w:r>
              <w:rPr>
                <w:rFonts w:hint="eastAsia"/>
                <w:bCs/>
                <w:color w:val="auto"/>
                <w:szCs w:val="21"/>
                <w:lang w:eastAsia="zh-CN"/>
              </w:rPr>
              <w:t>正常运行</w:t>
            </w:r>
            <w:r>
              <w:rPr>
                <w:rFonts w:hint="eastAsia"/>
                <w:bCs/>
                <w:color w:val="auto"/>
                <w:szCs w:val="21"/>
              </w:rPr>
              <w:t>，必要时应采取措施防止地基下沉，尤其是防止不均匀或局部下沉。</w:t>
            </w:r>
          </w:p>
          <w:p>
            <w:pPr>
              <w:adjustRightInd w:val="0"/>
              <w:snapToGrid w:val="0"/>
              <w:spacing w:line="500" w:lineRule="exact"/>
              <w:ind w:firstLine="420" w:firstLineChars="200"/>
              <w:rPr>
                <w:rFonts w:hint="eastAsia"/>
                <w:bCs/>
                <w:color w:val="auto"/>
                <w:szCs w:val="21"/>
              </w:rPr>
            </w:pPr>
            <w:r>
              <w:rPr>
                <w:rFonts w:hint="eastAsia"/>
                <w:bCs/>
                <w:color w:val="auto"/>
                <w:szCs w:val="21"/>
              </w:rPr>
              <w:t>建设项目一般工业固废的暂存场所按照《一般工业固体废物贮存和填埋污染控制标准》（GB18599-2020）要求建设，对一般固废堆放区地面进行了硬化，并做好防腐、防渗和防漏处理，制定了“一般固废仓库管理制度”、“一般工业固废处置管理规定”，由专人维护。因此，项目一般工业固废的收集、贮存对环境的影响较小。</w:t>
            </w:r>
          </w:p>
          <w:p>
            <w:pPr>
              <w:adjustRightInd w:val="0"/>
              <w:snapToGrid w:val="0"/>
              <w:spacing w:line="500" w:lineRule="exact"/>
              <w:ind w:firstLine="422" w:firstLineChars="200"/>
              <w:rPr>
                <w:rFonts w:ascii="Times New Roman" w:hAnsi="Times New Roman" w:cs="Times New Roman"/>
                <w:b/>
                <w:color w:val="auto"/>
                <w:szCs w:val="21"/>
                <w:highlight w:val="none"/>
              </w:rPr>
            </w:pPr>
            <w:r>
              <w:rPr>
                <w:rFonts w:hint="eastAsia" w:ascii="Times New Roman" w:hAnsi="Times New Roman" w:cs="Times New Roman"/>
                <w:b/>
                <w:color w:val="auto"/>
                <w:szCs w:val="21"/>
                <w:highlight w:val="none"/>
                <w:lang w:eastAsia="zh-CN"/>
              </w:rPr>
              <w:t>一</w:t>
            </w:r>
            <w:r>
              <w:rPr>
                <w:rFonts w:ascii="Times New Roman" w:hAnsi="Times New Roman" w:cs="Times New Roman"/>
                <w:b/>
                <w:color w:val="auto"/>
                <w:szCs w:val="21"/>
                <w:highlight w:val="none"/>
              </w:rPr>
              <w:t>般固废贮存场所</w:t>
            </w:r>
            <w:r>
              <w:rPr>
                <w:rFonts w:hint="eastAsia" w:ascii="Times New Roman" w:hAnsi="Times New Roman" w:eastAsia="宋体" w:cs="Times New Roman"/>
                <w:b/>
                <w:color w:val="auto"/>
                <w:szCs w:val="21"/>
                <w:highlight w:val="none"/>
                <w:lang w:val="en-US" w:eastAsia="zh-CN"/>
              </w:rPr>
              <w:t>依托的可行性</w:t>
            </w:r>
            <w:r>
              <w:rPr>
                <w:rFonts w:ascii="Times New Roman" w:hAnsi="Times New Roman" w:cs="Times New Roman"/>
                <w:b/>
                <w:color w:val="auto"/>
                <w:szCs w:val="21"/>
                <w:highlight w:val="none"/>
              </w:rPr>
              <w:t>分析：</w:t>
            </w:r>
          </w:p>
          <w:p>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lang w:eastAsia="zh-CN"/>
              </w:rPr>
              <w:t>改扩建项目完成后，</w:t>
            </w:r>
            <w:r>
              <w:rPr>
                <w:rFonts w:hint="eastAsia" w:ascii="Times New Roman" w:hAnsi="Times New Roman" w:eastAsia="宋体" w:cs="Times New Roman"/>
                <w:bCs/>
                <w:color w:val="auto"/>
                <w:sz w:val="21"/>
                <w:szCs w:val="21"/>
                <w:highlight w:val="none"/>
                <w:lang w:val="en-US" w:eastAsia="zh-CN"/>
              </w:rPr>
              <w:t>废氧化皮</w:t>
            </w:r>
            <w:r>
              <w:rPr>
                <w:rFonts w:hint="eastAsia" w:ascii="Times New Roman" w:hAnsi="Times New Roman" w:eastAsia="宋体" w:cs="Times New Roman"/>
                <w:bCs/>
                <w:color w:val="auto"/>
                <w:sz w:val="21"/>
                <w:szCs w:val="21"/>
                <w:highlight w:val="none"/>
                <w:lang w:eastAsia="zh-CN"/>
              </w:rPr>
              <w:t>产生量为</w:t>
            </w:r>
            <w:r>
              <w:rPr>
                <w:rFonts w:hint="eastAsia" w:ascii="Times New Roman" w:hAnsi="Times New Roman" w:eastAsia="宋体" w:cs="Times New Roman"/>
                <w:bCs/>
                <w:color w:val="auto"/>
                <w:sz w:val="21"/>
                <w:szCs w:val="21"/>
                <w:highlight w:val="none"/>
                <w:lang w:val="en-US" w:eastAsia="zh-CN"/>
              </w:rPr>
              <w:t>99.36t/a，</w:t>
            </w:r>
            <w:r>
              <w:rPr>
                <w:rFonts w:hint="default" w:ascii="Times New Roman" w:hAnsi="Times New Roman" w:eastAsia="宋体" w:cs="Times New Roman"/>
                <w:bCs/>
                <w:color w:val="auto"/>
                <w:sz w:val="21"/>
                <w:szCs w:val="21"/>
                <w:highlight w:val="none"/>
                <w:lang w:eastAsia="zh-CN"/>
              </w:rPr>
              <w:t>所需</w:t>
            </w:r>
            <w:r>
              <w:rPr>
                <w:rFonts w:hint="default" w:ascii="Times New Roman" w:hAnsi="Times New Roman" w:eastAsia="宋体" w:cs="Times New Roman"/>
                <w:bCs/>
                <w:color w:val="auto"/>
                <w:sz w:val="21"/>
                <w:szCs w:val="21"/>
                <w:highlight w:val="none"/>
              </w:rPr>
              <w:t>暂存面积约为</w:t>
            </w:r>
            <w:r>
              <w:rPr>
                <w:rFonts w:hint="eastAsia" w:ascii="Times New Roman" w:hAnsi="Times New Roman" w:eastAsia="宋体" w:cs="Times New Roman"/>
                <w:bCs/>
                <w:color w:val="auto"/>
                <w:sz w:val="21"/>
                <w:szCs w:val="21"/>
                <w:highlight w:val="none"/>
                <w:lang w:val="en-US" w:eastAsia="zh-CN"/>
              </w:rPr>
              <w:t>10</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2</w:t>
            </w:r>
            <w:r>
              <w:rPr>
                <w:rFonts w:hint="default" w:ascii="Times New Roman" w:hAnsi="Times New Roman" w:eastAsia="宋体" w:cs="Times New Roman"/>
                <w:bCs/>
                <w:color w:val="auto"/>
                <w:sz w:val="21"/>
                <w:szCs w:val="21"/>
                <w:highlight w:val="none"/>
              </w:rPr>
              <w:t>。</w:t>
            </w:r>
          </w:p>
          <w:p>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lang w:eastAsia="zh-CN"/>
              </w:rPr>
              <w:t>改扩建项目完成后，废边角料产生量为</w:t>
            </w:r>
            <w:r>
              <w:rPr>
                <w:rFonts w:hint="eastAsia" w:ascii="Times New Roman" w:hAnsi="Times New Roman" w:eastAsia="宋体" w:cs="Times New Roman"/>
                <w:bCs/>
                <w:color w:val="auto"/>
                <w:sz w:val="21"/>
                <w:szCs w:val="21"/>
                <w:highlight w:val="none"/>
                <w:lang w:val="en-US" w:eastAsia="zh-CN"/>
              </w:rPr>
              <w:t>99.36t/a，</w:t>
            </w:r>
            <w:r>
              <w:rPr>
                <w:rFonts w:hint="default" w:ascii="Times New Roman" w:hAnsi="Times New Roman" w:eastAsia="宋体" w:cs="Times New Roman"/>
                <w:bCs/>
                <w:color w:val="auto"/>
                <w:sz w:val="21"/>
                <w:szCs w:val="21"/>
                <w:highlight w:val="none"/>
                <w:lang w:eastAsia="zh-CN"/>
              </w:rPr>
              <w:t>所</w:t>
            </w:r>
            <w:r>
              <w:rPr>
                <w:rFonts w:hint="default" w:ascii="Times New Roman" w:hAnsi="Times New Roman" w:eastAsia="宋体" w:cs="Times New Roman"/>
                <w:bCs/>
                <w:color w:val="auto"/>
                <w:sz w:val="21"/>
                <w:szCs w:val="21"/>
                <w:highlight w:val="none"/>
              </w:rPr>
              <w:t>需暂存面积约为</w:t>
            </w:r>
            <w:r>
              <w:rPr>
                <w:rFonts w:hint="eastAsia" w:ascii="Times New Roman" w:hAnsi="Times New Roman" w:eastAsia="宋体" w:cs="Times New Roman"/>
                <w:bCs/>
                <w:color w:val="auto"/>
                <w:sz w:val="21"/>
                <w:szCs w:val="21"/>
                <w:highlight w:val="none"/>
                <w:lang w:val="en-US" w:eastAsia="zh-CN"/>
              </w:rPr>
              <w:t>10</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2</w:t>
            </w:r>
            <w:r>
              <w:rPr>
                <w:rFonts w:hint="default" w:ascii="Times New Roman" w:hAnsi="Times New Roman" w:eastAsia="宋体" w:cs="Times New Roman"/>
                <w:bCs/>
                <w:color w:val="auto"/>
                <w:sz w:val="21"/>
                <w:szCs w:val="21"/>
                <w:highlight w:val="none"/>
              </w:rPr>
              <w:t>。</w:t>
            </w:r>
          </w:p>
          <w:p>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lang w:eastAsia="zh-CN"/>
              </w:rPr>
              <w:t>改扩建项目完成后，</w:t>
            </w:r>
            <w:r>
              <w:rPr>
                <w:rFonts w:hint="eastAsia" w:ascii="Times New Roman" w:hAnsi="Times New Roman" w:eastAsia="宋体" w:cs="Times New Roman"/>
                <w:bCs/>
                <w:color w:val="auto"/>
                <w:sz w:val="21"/>
                <w:szCs w:val="21"/>
                <w:highlight w:val="none"/>
                <w:lang w:val="en-US" w:eastAsia="zh-CN"/>
              </w:rPr>
              <w:t>沉渣</w:t>
            </w:r>
            <w:r>
              <w:rPr>
                <w:rFonts w:hint="eastAsia" w:ascii="Times New Roman" w:hAnsi="Times New Roman" w:eastAsia="宋体" w:cs="Times New Roman"/>
                <w:bCs/>
                <w:color w:val="auto"/>
                <w:sz w:val="21"/>
                <w:szCs w:val="21"/>
                <w:highlight w:val="none"/>
                <w:lang w:eastAsia="zh-CN"/>
              </w:rPr>
              <w:t>产生量为</w:t>
            </w:r>
            <w:r>
              <w:rPr>
                <w:rFonts w:hint="eastAsia" w:ascii="Times New Roman" w:hAnsi="Times New Roman" w:eastAsia="宋体" w:cs="Times New Roman"/>
                <w:bCs/>
                <w:color w:val="auto"/>
                <w:sz w:val="21"/>
                <w:szCs w:val="21"/>
                <w:highlight w:val="none"/>
                <w:lang w:val="en-US" w:eastAsia="zh-CN"/>
              </w:rPr>
              <w:t>99.36t/a，</w:t>
            </w:r>
            <w:r>
              <w:rPr>
                <w:rFonts w:hint="default" w:ascii="Times New Roman" w:hAnsi="Times New Roman" w:eastAsia="宋体" w:cs="Times New Roman"/>
                <w:bCs/>
                <w:color w:val="auto"/>
                <w:sz w:val="21"/>
                <w:szCs w:val="21"/>
                <w:highlight w:val="none"/>
                <w:lang w:eastAsia="zh-CN"/>
              </w:rPr>
              <w:t>所需暂存</w:t>
            </w:r>
            <w:r>
              <w:rPr>
                <w:rFonts w:hint="default" w:ascii="Times New Roman" w:hAnsi="Times New Roman" w:eastAsia="宋体" w:cs="Times New Roman"/>
                <w:bCs/>
                <w:color w:val="auto"/>
                <w:sz w:val="21"/>
                <w:szCs w:val="21"/>
                <w:highlight w:val="none"/>
              </w:rPr>
              <w:t>面积约为</w:t>
            </w:r>
            <w:r>
              <w:rPr>
                <w:rFonts w:hint="eastAsia" w:ascii="Times New Roman" w:hAnsi="Times New Roman" w:eastAsia="宋体" w:cs="Times New Roman"/>
                <w:bCs/>
                <w:color w:val="auto"/>
                <w:sz w:val="21"/>
                <w:szCs w:val="21"/>
                <w:highlight w:val="none"/>
                <w:lang w:val="en-US" w:eastAsia="zh-CN"/>
              </w:rPr>
              <w:t>10</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2</w:t>
            </w:r>
            <w:r>
              <w:rPr>
                <w:rFonts w:hint="default" w:ascii="Times New Roman" w:hAnsi="Times New Roman" w:eastAsia="宋体" w:cs="Times New Roman"/>
                <w:bCs/>
                <w:color w:val="auto"/>
                <w:sz w:val="21"/>
                <w:szCs w:val="21"/>
                <w:highlight w:val="none"/>
              </w:rPr>
              <w:t>。</w:t>
            </w:r>
          </w:p>
          <w:p>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lang w:eastAsia="zh-CN"/>
              </w:rPr>
              <w:t>改扩建项目完成后，</w:t>
            </w:r>
            <w:r>
              <w:rPr>
                <w:rFonts w:hint="eastAsia" w:ascii="Times New Roman" w:hAnsi="Times New Roman" w:eastAsia="宋体" w:cs="Times New Roman"/>
                <w:bCs/>
                <w:color w:val="auto"/>
                <w:sz w:val="21"/>
                <w:szCs w:val="21"/>
                <w:highlight w:val="none"/>
                <w:lang w:val="en-US" w:eastAsia="zh-CN"/>
              </w:rPr>
              <w:t>除尘灰</w:t>
            </w:r>
            <w:r>
              <w:rPr>
                <w:rFonts w:hint="default" w:ascii="Times New Roman" w:hAnsi="Times New Roman" w:eastAsia="宋体" w:cs="Times New Roman"/>
                <w:bCs/>
                <w:color w:val="auto"/>
                <w:sz w:val="21"/>
                <w:szCs w:val="21"/>
                <w:highlight w:val="none"/>
                <w:lang w:eastAsia="zh-CN"/>
              </w:rPr>
              <w:t>采用10</w:t>
            </w:r>
            <w:r>
              <w:rPr>
                <w:rFonts w:hint="eastAsia" w:ascii="Times New Roman" w:hAnsi="Times New Roman" w:eastAsia="宋体" w:cs="Times New Roman"/>
                <w:bCs/>
                <w:color w:val="auto"/>
                <w:sz w:val="21"/>
                <w:szCs w:val="21"/>
                <w:highlight w:val="none"/>
                <w:lang w:val="en-US" w:eastAsia="zh-CN"/>
              </w:rPr>
              <w:t>0</w:t>
            </w:r>
            <w:r>
              <w:rPr>
                <w:rFonts w:hint="default" w:ascii="Times New Roman" w:hAnsi="Times New Roman" w:eastAsia="宋体" w:cs="Times New Roman"/>
                <w:bCs/>
                <w:color w:val="auto"/>
                <w:sz w:val="21"/>
                <w:szCs w:val="21"/>
                <w:highlight w:val="none"/>
              </w:rPr>
              <w:t>kg的专用袋储存</w:t>
            </w:r>
            <w:r>
              <w:rPr>
                <w:rFonts w:hint="eastAsia" w:ascii="Times New Roman" w:hAnsi="Times New Roman" w:eastAsia="宋体"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rPr>
              <w:t>每只专用袋占地面积约为0.</w:t>
            </w:r>
            <w:r>
              <w:rPr>
                <w:rFonts w:hint="default" w:ascii="Times New Roman" w:hAnsi="Times New Roman" w:eastAsia="宋体" w:cs="Times New Roman"/>
                <w:bCs/>
                <w:color w:val="auto"/>
                <w:sz w:val="21"/>
                <w:szCs w:val="21"/>
                <w:highlight w:val="none"/>
                <w:lang w:val="en-US" w:eastAsia="zh-CN"/>
              </w:rPr>
              <w:t>1</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2</w:t>
            </w:r>
            <w:r>
              <w:rPr>
                <w:rFonts w:hint="default" w:ascii="Times New Roman" w:hAnsi="Times New Roman" w:eastAsia="宋体" w:cs="Times New Roman"/>
                <w:bCs/>
                <w:color w:val="auto"/>
                <w:sz w:val="21"/>
                <w:szCs w:val="21"/>
                <w:highlight w:val="none"/>
              </w:rPr>
              <w:t>，按堆放</w:t>
            </w:r>
            <w:r>
              <w:rPr>
                <w:rFonts w:hint="eastAsia" w:ascii="Times New Roman" w:hAnsi="Times New Roman" w:eastAsia="宋体" w:cs="Times New Roman"/>
                <w:bCs/>
                <w:color w:val="auto"/>
                <w:sz w:val="21"/>
                <w:szCs w:val="21"/>
                <w:highlight w:val="none"/>
                <w:lang w:eastAsia="zh-CN"/>
              </w:rPr>
              <w:t>三</w:t>
            </w:r>
            <w:r>
              <w:rPr>
                <w:rFonts w:hint="default" w:ascii="Times New Roman" w:hAnsi="Times New Roman" w:eastAsia="宋体" w:cs="Times New Roman"/>
                <w:bCs/>
                <w:color w:val="auto"/>
                <w:sz w:val="21"/>
                <w:szCs w:val="21"/>
                <w:highlight w:val="none"/>
              </w:rPr>
              <w:t>层计</w:t>
            </w:r>
            <w:r>
              <w:rPr>
                <w:rFonts w:hint="default" w:ascii="Times New Roman" w:hAnsi="Times New Roman" w:eastAsia="宋体" w:cs="Times New Roman"/>
                <w:bCs/>
                <w:color w:val="auto"/>
                <w:sz w:val="21"/>
                <w:szCs w:val="21"/>
                <w:highlight w:val="none"/>
                <w:lang w:eastAsia="zh-CN"/>
              </w:rPr>
              <w:t>算，</w:t>
            </w:r>
            <w:r>
              <w:rPr>
                <w:rFonts w:hint="eastAsia" w:ascii="Times New Roman" w:hAnsi="Times New Roman" w:eastAsia="宋体" w:cs="Times New Roman"/>
                <w:bCs/>
                <w:color w:val="auto"/>
                <w:sz w:val="21"/>
                <w:szCs w:val="21"/>
                <w:highlight w:val="none"/>
                <w:lang w:eastAsia="zh-CN"/>
              </w:rPr>
              <w:t>技改扩建完成后，</w:t>
            </w:r>
            <w:r>
              <w:rPr>
                <w:rFonts w:hint="eastAsia" w:ascii="Times New Roman" w:hAnsi="Times New Roman" w:eastAsia="宋体" w:cs="Times New Roman"/>
                <w:bCs/>
                <w:color w:val="auto"/>
                <w:sz w:val="21"/>
                <w:szCs w:val="21"/>
                <w:highlight w:val="none"/>
                <w:lang w:val="en-US" w:eastAsia="zh-CN"/>
              </w:rPr>
              <w:t>除尘灰</w:t>
            </w:r>
            <w:r>
              <w:rPr>
                <w:rFonts w:hint="eastAsia" w:ascii="Times New Roman" w:hAnsi="Times New Roman" w:eastAsia="宋体" w:cs="Times New Roman"/>
                <w:bCs/>
                <w:color w:val="auto"/>
                <w:sz w:val="21"/>
                <w:szCs w:val="21"/>
                <w:highlight w:val="none"/>
                <w:lang w:eastAsia="zh-CN"/>
              </w:rPr>
              <w:t>产生量为</w:t>
            </w:r>
            <w:r>
              <w:rPr>
                <w:rFonts w:hint="eastAsia" w:ascii="Times New Roman" w:hAnsi="Times New Roman" w:eastAsia="宋体" w:cs="Times New Roman"/>
                <w:bCs/>
                <w:color w:val="auto"/>
                <w:sz w:val="21"/>
                <w:szCs w:val="21"/>
                <w:highlight w:val="none"/>
                <w:lang w:val="en-US" w:eastAsia="zh-CN"/>
              </w:rPr>
              <w:t>25.8124t/a，</w:t>
            </w:r>
            <w:r>
              <w:rPr>
                <w:rFonts w:hint="default" w:ascii="Times New Roman" w:hAnsi="Times New Roman" w:eastAsia="宋体" w:cs="Times New Roman"/>
                <w:bCs/>
                <w:color w:val="auto"/>
                <w:sz w:val="21"/>
                <w:szCs w:val="21"/>
                <w:highlight w:val="none"/>
                <w:lang w:eastAsia="zh-CN"/>
              </w:rPr>
              <w:t>所需</w:t>
            </w:r>
            <w:r>
              <w:rPr>
                <w:rFonts w:hint="default" w:ascii="Times New Roman" w:hAnsi="Times New Roman" w:eastAsia="宋体" w:cs="Times New Roman"/>
                <w:bCs/>
                <w:color w:val="auto"/>
                <w:sz w:val="21"/>
                <w:szCs w:val="21"/>
                <w:highlight w:val="none"/>
              </w:rPr>
              <w:t>暂存面积约为</w:t>
            </w:r>
            <w:r>
              <w:rPr>
                <w:rFonts w:hint="eastAsia" w:ascii="Times New Roman" w:hAnsi="Times New Roman" w:eastAsia="宋体" w:cs="Times New Roman"/>
                <w:bCs/>
                <w:color w:val="auto"/>
                <w:sz w:val="21"/>
                <w:szCs w:val="21"/>
                <w:highlight w:val="none"/>
                <w:lang w:val="en-US" w:eastAsia="zh-CN"/>
              </w:rPr>
              <w:t>8.6</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2</w:t>
            </w:r>
            <w:r>
              <w:rPr>
                <w:rFonts w:hint="default" w:ascii="Times New Roman" w:hAnsi="Times New Roman" w:eastAsia="宋体" w:cs="Times New Roman"/>
                <w:bCs/>
                <w:color w:val="auto"/>
                <w:sz w:val="21"/>
                <w:szCs w:val="21"/>
                <w:highlight w:val="none"/>
              </w:rPr>
              <w:t>。</w:t>
            </w:r>
          </w:p>
          <w:p>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rPr>
                <w:rFonts w:hint="eastAsia" w:ascii="Times New Roman" w:hAnsi="Times New Roman" w:eastAsia="宋体" w:cs="Times New Roman"/>
                <w:bCs/>
                <w:color w:val="auto"/>
                <w:szCs w:val="21"/>
                <w:highlight w:val="none"/>
                <w:lang w:eastAsia="zh-CN"/>
              </w:rPr>
            </w:pPr>
            <w:r>
              <w:rPr>
                <w:rFonts w:hint="eastAsia" w:ascii="Times New Roman" w:hAnsi="Times New Roman" w:eastAsia="宋体" w:cs="Times New Roman"/>
                <w:bCs/>
                <w:color w:val="auto"/>
                <w:szCs w:val="21"/>
                <w:highlight w:val="none"/>
                <w:lang w:eastAsia="zh-CN"/>
              </w:rPr>
              <w:t>综上所述，项目</w:t>
            </w:r>
            <w:r>
              <w:rPr>
                <w:rFonts w:hint="eastAsia" w:ascii="Times New Roman" w:hAnsi="Times New Roman" w:eastAsia="宋体" w:cs="Times New Roman"/>
                <w:bCs/>
                <w:color w:val="auto"/>
                <w:sz w:val="21"/>
                <w:szCs w:val="21"/>
                <w:highlight w:val="none"/>
                <w:lang w:eastAsia="zh-CN"/>
              </w:rPr>
              <w:t>改扩建</w:t>
            </w:r>
            <w:r>
              <w:rPr>
                <w:rFonts w:hint="eastAsia" w:ascii="Times New Roman" w:hAnsi="Times New Roman" w:eastAsia="宋体" w:cs="Times New Roman"/>
                <w:bCs/>
                <w:color w:val="auto"/>
                <w:szCs w:val="21"/>
                <w:highlight w:val="none"/>
                <w:lang w:eastAsia="zh-CN"/>
              </w:rPr>
              <w:t>后所产生的一般固废最大需约</w:t>
            </w:r>
            <w:r>
              <w:rPr>
                <w:rFonts w:hint="eastAsia" w:ascii="Times New Roman" w:hAnsi="Times New Roman" w:eastAsia="宋体" w:cs="Times New Roman"/>
                <w:bCs/>
                <w:color w:val="auto"/>
                <w:szCs w:val="21"/>
                <w:highlight w:val="none"/>
                <w:lang w:val="en-US" w:eastAsia="zh-CN"/>
              </w:rPr>
              <w:t>38.6</w:t>
            </w:r>
            <w:r>
              <w:rPr>
                <w:rFonts w:hint="eastAsia" w:ascii="Times New Roman" w:hAnsi="Times New Roman" w:eastAsia="宋体" w:cs="Times New Roman"/>
                <w:bCs/>
                <w:color w:val="auto"/>
                <w:szCs w:val="21"/>
                <w:highlight w:val="none"/>
                <w:lang w:eastAsia="zh-CN"/>
              </w:rPr>
              <w:t>m</w:t>
            </w:r>
            <w:r>
              <w:rPr>
                <w:rFonts w:hint="eastAsia" w:ascii="Times New Roman" w:hAnsi="Times New Roman" w:eastAsia="宋体" w:cs="Times New Roman"/>
                <w:bCs/>
                <w:color w:val="auto"/>
                <w:szCs w:val="21"/>
                <w:highlight w:val="none"/>
                <w:vertAlign w:val="superscript"/>
                <w:lang w:eastAsia="zh-CN"/>
              </w:rPr>
              <w:t>2</w:t>
            </w:r>
            <w:r>
              <w:rPr>
                <w:rFonts w:hint="eastAsia" w:ascii="Times New Roman" w:hAnsi="Times New Roman" w:eastAsia="宋体" w:cs="Times New Roman"/>
                <w:bCs/>
                <w:color w:val="auto"/>
                <w:szCs w:val="21"/>
                <w:highlight w:val="none"/>
                <w:lang w:eastAsia="zh-CN"/>
              </w:rPr>
              <w:t>区域暂存，因此项目已建</w:t>
            </w:r>
            <w:r>
              <w:rPr>
                <w:rFonts w:hint="eastAsia" w:ascii="Times New Roman" w:hAnsi="Times New Roman" w:eastAsia="宋体" w:cs="Times New Roman"/>
                <w:bCs/>
                <w:color w:val="auto"/>
                <w:szCs w:val="21"/>
                <w:highlight w:val="none"/>
                <w:lang w:val="en-US" w:eastAsia="zh-CN"/>
              </w:rPr>
              <w:t>100</w:t>
            </w:r>
            <w:r>
              <w:rPr>
                <w:rFonts w:hint="eastAsia" w:ascii="Times New Roman" w:hAnsi="Times New Roman" w:eastAsia="宋体" w:cs="Times New Roman"/>
                <w:bCs/>
                <w:color w:val="auto"/>
                <w:szCs w:val="21"/>
                <w:highlight w:val="none"/>
                <w:lang w:eastAsia="zh-CN"/>
              </w:rPr>
              <w:t>m</w:t>
            </w:r>
            <w:r>
              <w:rPr>
                <w:rFonts w:hint="eastAsia" w:ascii="Times New Roman" w:hAnsi="Times New Roman" w:eastAsia="宋体" w:cs="Times New Roman"/>
                <w:bCs/>
                <w:color w:val="auto"/>
                <w:szCs w:val="21"/>
                <w:highlight w:val="none"/>
                <w:vertAlign w:val="superscript"/>
                <w:lang w:eastAsia="zh-CN"/>
              </w:rPr>
              <w:t>2</w:t>
            </w:r>
            <w:r>
              <w:rPr>
                <w:rFonts w:hint="eastAsia" w:ascii="Times New Roman" w:hAnsi="Times New Roman" w:eastAsia="宋体" w:cs="Times New Roman"/>
                <w:bCs/>
                <w:color w:val="auto"/>
                <w:szCs w:val="21"/>
                <w:highlight w:val="none"/>
                <w:lang w:eastAsia="zh-CN"/>
              </w:rPr>
              <w:t>的一般固废贮存场所，还余</w:t>
            </w:r>
            <w:r>
              <w:rPr>
                <w:rFonts w:hint="eastAsia" w:ascii="Times New Roman" w:hAnsi="Times New Roman" w:eastAsia="宋体" w:cs="Times New Roman"/>
                <w:bCs/>
                <w:color w:val="auto"/>
                <w:szCs w:val="21"/>
                <w:highlight w:val="none"/>
                <w:lang w:val="en-US" w:eastAsia="zh-CN"/>
              </w:rPr>
              <w:t>50m</w:t>
            </w:r>
            <w:r>
              <w:rPr>
                <w:rFonts w:hint="eastAsia" w:ascii="Times New Roman" w:hAnsi="Times New Roman" w:eastAsia="宋体" w:cs="Times New Roman"/>
                <w:bCs/>
                <w:color w:val="auto"/>
                <w:szCs w:val="21"/>
                <w:highlight w:val="none"/>
                <w:vertAlign w:val="superscript"/>
                <w:lang w:val="en-US" w:eastAsia="zh-CN"/>
              </w:rPr>
              <w:t>2</w:t>
            </w:r>
            <w:r>
              <w:rPr>
                <w:rFonts w:hint="eastAsia" w:ascii="Times New Roman" w:hAnsi="Times New Roman" w:eastAsia="宋体" w:cs="Times New Roman"/>
                <w:bCs/>
                <w:color w:val="auto"/>
                <w:szCs w:val="21"/>
                <w:highlight w:val="none"/>
                <w:lang w:eastAsia="zh-CN"/>
              </w:rPr>
              <w:t>面积充足，依托原有可满足其贮存能力。</w:t>
            </w:r>
          </w:p>
          <w:p>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rPr>
                <w:rFonts w:hint="eastAsia"/>
                <w:bCs/>
                <w:color w:val="auto"/>
                <w:szCs w:val="21"/>
              </w:rPr>
            </w:pPr>
            <w:r>
              <w:rPr>
                <w:rFonts w:hint="eastAsia"/>
                <w:bCs/>
                <w:color w:val="auto"/>
                <w:szCs w:val="21"/>
              </w:rPr>
              <w:t>2）危险废物贮存场所（设施）情况</w:t>
            </w:r>
          </w:p>
          <w:p>
            <w:pPr>
              <w:adjustRightInd w:val="0"/>
              <w:snapToGrid w:val="0"/>
              <w:spacing w:line="500" w:lineRule="exact"/>
              <w:ind w:firstLine="420" w:firstLineChars="200"/>
              <w:rPr>
                <w:rFonts w:hint="default" w:eastAsia="宋体"/>
                <w:b w:val="0"/>
                <w:bCs/>
                <w:color w:val="auto"/>
                <w:szCs w:val="21"/>
                <w:lang w:val="en-US" w:eastAsia="zh-CN"/>
              </w:rPr>
            </w:pPr>
            <w:r>
              <w:rPr>
                <w:rFonts w:hint="eastAsia"/>
                <w:bCs/>
                <w:color w:val="auto"/>
                <w:szCs w:val="21"/>
              </w:rPr>
              <w:t>项目产生的危险固废为</w:t>
            </w:r>
            <w:r>
              <w:rPr>
                <w:rFonts w:hint="eastAsia" w:ascii="Times New Roman" w:hAnsi="Times New Roman" w:eastAsia="宋体" w:cs="Times New Roman"/>
                <w:bCs/>
                <w:color w:val="auto"/>
                <w:szCs w:val="21"/>
                <w:highlight w:val="none"/>
                <w:lang w:val="en-US" w:eastAsia="zh-CN"/>
              </w:rPr>
              <w:t>废机油、废油桶、废液压油、废金</w:t>
            </w:r>
            <w:r>
              <w:rPr>
                <w:rFonts w:hint="eastAsia" w:ascii="Times New Roman" w:hAnsi="Times New Roman" w:eastAsia="宋体" w:cs="Times New Roman"/>
                <w:b w:val="0"/>
                <w:bCs w:val="0"/>
                <w:color w:val="auto"/>
                <w:kern w:val="2"/>
                <w:sz w:val="21"/>
                <w:szCs w:val="24"/>
                <w:lang w:val="en-US" w:eastAsia="zh-CN" w:bidi="ar-SA"/>
              </w:rPr>
              <w:t>属屑、废切削液、废润滑油、废乳化液</w:t>
            </w:r>
            <w:r>
              <w:rPr>
                <w:rFonts w:hint="eastAsia" w:cs="Times New Roman"/>
                <w:b w:val="0"/>
                <w:bCs w:val="0"/>
                <w:color w:val="auto"/>
                <w:kern w:val="2"/>
                <w:sz w:val="21"/>
                <w:szCs w:val="24"/>
                <w:lang w:val="en-US" w:eastAsia="zh-CN" w:bidi="ar-SA"/>
              </w:rPr>
              <w:t>、</w:t>
            </w:r>
            <w:r>
              <w:rPr>
                <w:rFonts w:hint="eastAsia" w:ascii="Times New Roman" w:hAnsi="Times New Roman" w:eastAsia="宋体" w:cs="Times New Roman"/>
                <w:bCs/>
                <w:color w:val="auto"/>
                <w:szCs w:val="21"/>
                <w:lang w:val="en-US" w:eastAsia="zh-CN"/>
              </w:rPr>
              <w:t>废包装桶</w:t>
            </w:r>
            <w:r>
              <w:rPr>
                <w:rFonts w:hint="eastAsia"/>
                <w:bCs/>
                <w:color w:val="auto"/>
                <w:szCs w:val="21"/>
              </w:rPr>
              <w:t>，委托有资质的单位处置。危险废物均</w:t>
            </w:r>
            <w:r>
              <w:rPr>
                <w:rFonts w:hint="eastAsia"/>
                <w:bCs/>
                <w:color w:val="auto"/>
                <w:szCs w:val="21"/>
                <w:lang w:val="en-US" w:eastAsia="zh-CN"/>
              </w:rPr>
              <w:t>在</w:t>
            </w:r>
            <w:r>
              <w:rPr>
                <w:rFonts w:hint="eastAsia"/>
                <w:bCs/>
                <w:color w:val="auto"/>
                <w:szCs w:val="21"/>
              </w:rPr>
              <w:t>各产污</w:t>
            </w:r>
            <w:r>
              <w:rPr>
                <w:rFonts w:hint="eastAsia"/>
                <w:bCs/>
                <w:color w:val="auto"/>
                <w:szCs w:val="21"/>
                <w:lang w:eastAsia="zh-CN"/>
              </w:rPr>
              <w:t>环节</w:t>
            </w:r>
            <w:r>
              <w:rPr>
                <w:rFonts w:hint="eastAsia"/>
                <w:bCs/>
                <w:color w:val="auto"/>
                <w:szCs w:val="21"/>
              </w:rPr>
              <w:t>做到分类收集和贮存，避免混入生活垃圾中。在运出厂区之前暂存在专门的危废暂存区内。项目设置危险废物</w:t>
            </w:r>
            <w:r>
              <w:rPr>
                <w:rFonts w:hint="eastAsia"/>
                <w:bCs/>
                <w:color w:val="auto"/>
                <w:szCs w:val="21"/>
                <w:lang w:eastAsia="zh-CN"/>
              </w:rPr>
              <w:t>贮存</w:t>
            </w:r>
            <w:r>
              <w:rPr>
                <w:rFonts w:hint="eastAsia"/>
                <w:bCs/>
                <w:color w:val="auto"/>
                <w:szCs w:val="21"/>
              </w:rPr>
              <w:t>场所，占地面积为</w:t>
            </w:r>
            <w:r>
              <w:rPr>
                <w:rFonts w:hint="eastAsia"/>
                <w:bCs/>
                <w:color w:val="auto"/>
                <w:szCs w:val="21"/>
                <w:lang w:val="en-US" w:eastAsia="zh-CN"/>
              </w:rPr>
              <w:t>20</w:t>
            </w:r>
            <w:r>
              <w:rPr>
                <w:rFonts w:hint="eastAsia"/>
                <w:bCs/>
                <w:color w:val="auto"/>
                <w:szCs w:val="21"/>
              </w:rPr>
              <w:t>m</w:t>
            </w:r>
            <w:r>
              <w:rPr>
                <w:rFonts w:hint="eastAsia"/>
                <w:bCs/>
                <w:color w:val="auto"/>
                <w:szCs w:val="21"/>
                <w:vertAlign w:val="superscript"/>
              </w:rPr>
              <w:t>2</w:t>
            </w:r>
            <w:r>
              <w:rPr>
                <w:rFonts w:hint="eastAsia"/>
                <w:bCs/>
                <w:color w:val="auto"/>
                <w:szCs w:val="21"/>
              </w:rPr>
              <w:t>，建议存储期</w:t>
            </w:r>
            <w:r>
              <w:rPr>
                <w:rFonts w:hint="eastAsia"/>
                <w:bCs/>
                <w:color w:val="auto"/>
                <w:szCs w:val="21"/>
                <w:lang w:val="en-US" w:eastAsia="zh-CN"/>
              </w:rPr>
              <w:t>不超过</w:t>
            </w:r>
            <w:r>
              <w:rPr>
                <w:rFonts w:hint="eastAsia"/>
                <w:bCs/>
                <w:color w:val="auto"/>
                <w:szCs w:val="21"/>
              </w:rPr>
              <w:t>3个月。危废暂存间选址所在区域地质结构稳定，地震强度4度，满足地震烈度不超过7级的要求；危废暂存间底部高于地下水最高水位；项目危废暂存间不位于溶洞区或易遭受严重自然灾害如洪水、滑坡、泥石流、潮汐等影响的地区；项目危废暂存间建在易燃、易爆等危险品仓库、高压输电线路防护区域以外。危废暂存间应做好防腐、防渗和防漏处理，四周设置围堰，预防废物泄漏。</w:t>
            </w:r>
          </w:p>
          <w:p>
            <w:pPr>
              <w:adjustRightInd w:val="0"/>
              <w:snapToGrid w:val="0"/>
              <w:spacing w:line="500" w:lineRule="exact"/>
              <w:ind w:firstLine="422" w:firstLineChars="200"/>
              <w:rPr>
                <w:rFonts w:ascii="Times New Roman" w:hAnsi="Times New Roman" w:cs="Times New Roman"/>
                <w:b/>
                <w:color w:val="auto"/>
                <w:szCs w:val="21"/>
              </w:rPr>
            </w:pPr>
            <w:r>
              <w:rPr>
                <w:rFonts w:ascii="Times New Roman" w:hAnsi="Times New Roman" w:cs="Times New Roman"/>
                <w:b/>
                <w:color w:val="auto"/>
                <w:szCs w:val="21"/>
              </w:rPr>
              <w:t>危险废物贮存场所</w:t>
            </w:r>
            <w:r>
              <w:rPr>
                <w:rFonts w:hint="eastAsia" w:ascii="Times New Roman" w:hAnsi="Times New Roman" w:eastAsia="宋体" w:cs="Times New Roman"/>
                <w:b/>
                <w:color w:val="auto"/>
                <w:szCs w:val="21"/>
                <w:highlight w:val="none"/>
                <w:lang w:val="en-US" w:eastAsia="zh-CN"/>
              </w:rPr>
              <w:t>依托的可行性分析</w:t>
            </w:r>
            <w:r>
              <w:rPr>
                <w:rFonts w:ascii="Times New Roman" w:hAnsi="Times New Roman" w:cs="Times New Roman"/>
                <w:b/>
                <w:color w:val="auto"/>
                <w:szCs w:val="21"/>
              </w:rPr>
              <w:t>：</w:t>
            </w:r>
          </w:p>
          <w:p>
            <w:pPr>
              <w:adjustRightInd w:val="0"/>
              <w:snapToGrid w:val="0"/>
              <w:spacing w:line="500" w:lineRule="exact"/>
              <w:ind w:firstLine="420" w:firstLineChars="200"/>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highlight w:val="none"/>
                <w:lang w:val="en-US" w:eastAsia="zh-CN"/>
              </w:rPr>
              <w:t>废机油</w:t>
            </w:r>
            <w:r>
              <w:rPr>
                <w:rFonts w:hint="eastAsia" w:ascii="Times New Roman" w:hAnsi="Times New Roman" w:eastAsia="宋体" w:cs="Times New Roman"/>
                <w:bCs/>
                <w:color w:val="auto"/>
                <w:szCs w:val="21"/>
              </w:rPr>
              <w:t>所需暂存面积约为0.</w:t>
            </w:r>
            <w:r>
              <w:rPr>
                <w:rFonts w:hint="eastAsia" w:ascii="Times New Roman" w:hAnsi="Times New Roman" w:eastAsia="宋体" w:cs="Times New Roman"/>
                <w:bCs/>
                <w:color w:val="auto"/>
                <w:szCs w:val="21"/>
                <w:lang w:val="en-US" w:eastAsia="zh-CN"/>
              </w:rPr>
              <w:t>1</w:t>
            </w:r>
            <w:r>
              <w:rPr>
                <w:rFonts w:hint="eastAsia" w:ascii="Times New Roman" w:hAnsi="Times New Roman" w:eastAsia="宋体" w:cs="Times New Roman"/>
                <w:bCs/>
                <w:color w:val="auto"/>
                <w:szCs w:val="21"/>
              </w:rPr>
              <w:t>m</w:t>
            </w:r>
            <w:r>
              <w:rPr>
                <w:rFonts w:hint="eastAsia" w:ascii="Times New Roman" w:hAnsi="Times New Roman" w:eastAsia="宋体" w:cs="Times New Roman"/>
                <w:bCs/>
                <w:color w:val="auto"/>
                <w:szCs w:val="21"/>
                <w:vertAlign w:val="superscript"/>
              </w:rPr>
              <w:t>2</w:t>
            </w:r>
            <w:r>
              <w:rPr>
                <w:rFonts w:hint="eastAsia" w:ascii="Times New Roman" w:hAnsi="Times New Roman" w:eastAsia="宋体" w:cs="Times New Roman"/>
                <w:bCs/>
                <w:color w:val="auto"/>
                <w:szCs w:val="21"/>
              </w:rPr>
              <w:t>。</w:t>
            </w:r>
          </w:p>
          <w:p>
            <w:pPr>
              <w:adjustRightInd w:val="0"/>
              <w:snapToGrid w:val="0"/>
              <w:spacing w:line="500" w:lineRule="exact"/>
              <w:ind w:firstLine="420" w:firstLineChars="200"/>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highlight w:val="none"/>
                <w:lang w:val="en-US" w:eastAsia="zh-CN"/>
              </w:rPr>
              <w:t>废液压油</w:t>
            </w:r>
            <w:r>
              <w:rPr>
                <w:rFonts w:hint="eastAsia" w:ascii="Times New Roman" w:hAnsi="Times New Roman" w:eastAsia="宋体" w:cs="Times New Roman"/>
                <w:bCs/>
                <w:color w:val="auto"/>
                <w:szCs w:val="21"/>
              </w:rPr>
              <w:t>所需暂存面积约为0.</w:t>
            </w:r>
            <w:r>
              <w:rPr>
                <w:rFonts w:hint="eastAsia" w:ascii="Times New Roman" w:hAnsi="Times New Roman" w:eastAsia="宋体" w:cs="Times New Roman"/>
                <w:bCs/>
                <w:color w:val="auto"/>
                <w:szCs w:val="21"/>
                <w:lang w:val="en-US" w:eastAsia="zh-CN"/>
              </w:rPr>
              <w:t>5</w:t>
            </w:r>
            <w:r>
              <w:rPr>
                <w:rFonts w:hint="eastAsia" w:ascii="Times New Roman" w:hAnsi="Times New Roman" w:eastAsia="宋体" w:cs="Times New Roman"/>
                <w:bCs/>
                <w:color w:val="auto"/>
                <w:szCs w:val="21"/>
              </w:rPr>
              <w:t>m</w:t>
            </w:r>
            <w:r>
              <w:rPr>
                <w:rFonts w:hint="eastAsia" w:ascii="Times New Roman" w:hAnsi="Times New Roman" w:eastAsia="宋体" w:cs="Times New Roman"/>
                <w:bCs/>
                <w:color w:val="auto"/>
                <w:szCs w:val="21"/>
                <w:vertAlign w:val="superscript"/>
              </w:rPr>
              <w:t>2</w:t>
            </w:r>
            <w:r>
              <w:rPr>
                <w:rFonts w:hint="eastAsia" w:ascii="Times New Roman" w:hAnsi="Times New Roman" w:eastAsia="宋体" w:cs="Times New Roman"/>
                <w:bCs/>
                <w:color w:val="auto"/>
                <w:szCs w:val="21"/>
              </w:rPr>
              <w:t>。</w:t>
            </w:r>
          </w:p>
          <w:p>
            <w:pPr>
              <w:adjustRightInd w:val="0"/>
              <w:snapToGrid w:val="0"/>
              <w:spacing w:line="500" w:lineRule="exact"/>
              <w:ind w:firstLine="420" w:firstLineChars="200"/>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highlight w:val="none"/>
                <w:lang w:val="en-US" w:eastAsia="zh-CN"/>
              </w:rPr>
              <w:t>废金</w:t>
            </w:r>
            <w:r>
              <w:rPr>
                <w:rFonts w:hint="eastAsia" w:ascii="Times New Roman" w:hAnsi="Times New Roman" w:eastAsia="宋体" w:cs="Times New Roman"/>
                <w:b w:val="0"/>
                <w:bCs w:val="0"/>
                <w:color w:val="auto"/>
                <w:kern w:val="2"/>
                <w:sz w:val="21"/>
                <w:szCs w:val="24"/>
                <w:lang w:val="en-US" w:eastAsia="zh-CN" w:bidi="ar-SA"/>
              </w:rPr>
              <w:t>属屑</w:t>
            </w:r>
            <w:r>
              <w:rPr>
                <w:rFonts w:hint="eastAsia" w:ascii="Times New Roman" w:hAnsi="Times New Roman" w:eastAsia="宋体" w:cs="Times New Roman"/>
                <w:bCs/>
                <w:color w:val="auto"/>
                <w:szCs w:val="21"/>
              </w:rPr>
              <w:t>所需暂存面积约为</w:t>
            </w:r>
            <w:r>
              <w:rPr>
                <w:rFonts w:hint="eastAsia" w:ascii="Times New Roman" w:hAnsi="Times New Roman" w:eastAsia="宋体" w:cs="Times New Roman"/>
                <w:bCs/>
                <w:color w:val="auto"/>
                <w:szCs w:val="21"/>
                <w:lang w:val="en-US" w:eastAsia="zh-CN"/>
              </w:rPr>
              <w:t>5</w:t>
            </w:r>
            <w:r>
              <w:rPr>
                <w:rFonts w:hint="eastAsia" w:ascii="Times New Roman" w:hAnsi="Times New Roman" w:eastAsia="宋体" w:cs="Times New Roman"/>
                <w:bCs/>
                <w:color w:val="auto"/>
                <w:szCs w:val="21"/>
              </w:rPr>
              <w:t>m</w:t>
            </w:r>
            <w:r>
              <w:rPr>
                <w:rFonts w:hint="eastAsia" w:ascii="Times New Roman" w:hAnsi="Times New Roman" w:eastAsia="宋体" w:cs="Times New Roman"/>
                <w:bCs/>
                <w:color w:val="auto"/>
                <w:szCs w:val="21"/>
                <w:vertAlign w:val="superscript"/>
              </w:rPr>
              <w:t>2</w:t>
            </w:r>
            <w:r>
              <w:rPr>
                <w:rFonts w:hint="eastAsia" w:ascii="Times New Roman" w:hAnsi="Times New Roman" w:eastAsia="宋体" w:cs="Times New Roman"/>
                <w:bCs/>
                <w:color w:val="auto"/>
                <w:szCs w:val="21"/>
              </w:rPr>
              <w:t>。</w:t>
            </w:r>
          </w:p>
          <w:p>
            <w:pPr>
              <w:adjustRightInd w:val="0"/>
              <w:snapToGrid w:val="0"/>
              <w:spacing w:line="500" w:lineRule="exact"/>
              <w:ind w:firstLine="420" w:firstLineChars="200"/>
              <w:rPr>
                <w:rFonts w:hint="eastAsia" w:ascii="Times New Roman" w:hAnsi="Times New Roman" w:eastAsia="宋体" w:cs="Times New Roman"/>
                <w:bCs/>
                <w:color w:val="auto"/>
                <w:szCs w:val="21"/>
              </w:rPr>
            </w:pPr>
            <w:r>
              <w:rPr>
                <w:rFonts w:hint="eastAsia" w:ascii="Times New Roman" w:hAnsi="Times New Roman" w:eastAsia="宋体" w:cs="Times New Roman"/>
                <w:b w:val="0"/>
                <w:bCs w:val="0"/>
                <w:color w:val="auto"/>
                <w:kern w:val="2"/>
                <w:sz w:val="21"/>
                <w:szCs w:val="24"/>
                <w:lang w:val="en-US" w:eastAsia="zh-CN" w:bidi="ar-SA"/>
              </w:rPr>
              <w:t>废切削液</w:t>
            </w:r>
            <w:r>
              <w:rPr>
                <w:rFonts w:hint="eastAsia" w:ascii="Times New Roman" w:hAnsi="Times New Roman" w:eastAsia="宋体" w:cs="Times New Roman"/>
                <w:bCs/>
                <w:color w:val="auto"/>
                <w:szCs w:val="21"/>
              </w:rPr>
              <w:t>所需暂存面积约为</w:t>
            </w:r>
            <w:r>
              <w:rPr>
                <w:rFonts w:hint="eastAsia" w:ascii="Times New Roman" w:hAnsi="Times New Roman" w:eastAsia="宋体" w:cs="Times New Roman"/>
                <w:bCs/>
                <w:color w:val="auto"/>
                <w:szCs w:val="21"/>
                <w:lang w:val="en-US" w:eastAsia="zh-CN"/>
              </w:rPr>
              <w:t>1</w:t>
            </w:r>
            <w:r>
              <w:rPr>
                <w:rFonts w:hint="eastAsia" w:ascii="Times New Roman" w:hAnsi="Times New Roman" w:eastAsia="宋体" w:cs="Times New Roman"/>
                <w:bCs/>
                <w:color w:val="auto"/>
                <w:szCs w:val="21"/>
              </w:rPr>
              <w:t>m</w:t>
            </w:r>
            <w:r>
              <w:rPr>
                <w:rFonts w:hint="eastAsia" w:ascii="Times New Roman" w:hAnsi="Times New Roman" w:eastAsia="宋体" w:cs="Times New Roman"/>
                <w:bCs/>
                <w:color w:val="auto"/>
                <w:szCs w:val="21"/>
                <w:vertAlign w:val="superscript"/>
              </w:rPr>
              <w:t>2</w:t>
            </w:r>
            <w:r>
              <w:rPr>
                <w:rFonts w:hint="eastAsia" w:ascii="Times New Roman" w:hAnsi="Times New Roman" w:eastAsia="宋体" w:cs="Times New Roman"/>
                <w:bCs/>
                <w:color w:val="auto"/>
                <w:szCs w:val="21"/>
              </w:rPr>
              <w:t>。</w:t>
            </w:r>
          </w:p>
          <w:p>
            <w:pPr>
              <w:adjustRightInd w:val="0"/>
              <w:snapToGrid w:val="0"/>
              <w:spacing w:line="500" w:lineRule="exact"/>
              <w:ind w:firstLine="420" w:firstLineChars="200"/>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废润滑油</w:t>
            </w:r>
            <w:r>
              <w:rPr>
                <w:rFonts w:hint="eastAsia" w:ascii="Times New Roman" w:hAnsi="Times New Roman" w:eastAsia="宋体" w:cs="Times New Roman"/>
                <w:bCs/>
                <w:color w:val="auto"/>
                <w:szCs w:val="21"/>
              </w:rPr>
              <w:t>所需暂存面积约为0.</w:t>
            </w:r>
            <w:r>
              <w:rPr>
                <w:rFonts w:hint="eastAsia" w:ascii="Times New Roman" w:hAnsi="Times New Roman" w:eastAsia="宋体" w:cs="Times New Roman"/>
                <w:bCs/>
                <w:color w:val="auto"/>
                <w:szCs w:val="21"/>
                <w:lang w:val="en-US" w:eastAsia="zh-CN"/>
              </w:rPr>
              <w:t>1</w:t>
            </w:r>
            <w:r>
              <w:rPr>
                <w:rFonts w:hint="eastAsia" w:ascii="Times New Roman" w:hAnsi="Times New Roman" w:eastAsia="宋体" w:cs="Times New Roman"/>
                <w:bCs/>
                <w:color w:val="auto"/>
                <w:szCs w:val="21"/>
              </w:rPr>
              <w:t>m</w:t>
            </w:r>
            <w:r>
              <w:rPr>
                <w:rFonts w:hint="eastAsia" w:ascii="Times New Roman" w:hAnsi="Times New Roman" w:eastAsia="宋体" w:cs="Times New Roman"/>
                <w:bCs/>
                <w:color w:val="auto"/>
                <w:szCs w:val="21"/>
                <w:vertAlign w:val="superscript"/>
              </w:rPr>
              <w:t>2</w:t>
            </w:r>
            <w:r>
              <w:rPr>
                <w:rFonts w:hint="eastAsia" w:ascii="Times New Roman" w:hAnsi="Times New Roman" w:eastAsia="宋体" w:cs="Times New Roman"/>
                <w:bCs/>
                <w:color w:val="auto"/>
                <w:szCs w:val="21"/>
              </w:rPr>
              <w:t>。</w:t>
            </w:r>
          </w:p>
          <w:p>
            <w:pPr>
              <w:adjustRightInd w:val="0"/>
              <w:snapToGrid w:val="0"/>
              <w:spacing w:line="500" w:lineRule="exact"/>
              <w:ind w:firstLine="420" w:firstLineChars="200"/>
              <w:rPr>
                <w:rFonts w:hint="eastAsia" w:ascii="Times New Roman" w:hAnsi="Times New Roman" w:eastAsia="宋体" w:cs="Times New Roman"/>
                <w:bCs/>
                <w:color w:val="auto"/>
                <w:szCs w:val="21"/>
              </w:rPr>
            </w:pPr>
            <w:r>
              <w:rPr>
                <w:rFonts w:hint="eastAsia" w:ascii="Times New Roman" w:hAnsi="Times New Roman" w:eastAsia="宋体" w:cs="Times New Roman"/>
                <w:b w:val="0"/>
                <w:bCs w:val="0"/>
                <w:color w:val="auto"/>
                <w:kern w:val="2"/>
                <w:sz w:val="21"/>
                <w:szCs w:val="24"/>
                <w:lang w:val="en-US" w:eastAsia="zh-CN" w:bidi="ar-SA"/>
              </w:rPr>
              <w:t>废乳化液</w:t>
            </w:r>
            <w:r>
              <w:rPr>
                <w:rFonts w:hint="eastAsia" w:ascii="Times New Roman" w:hAnsi="Times New Roman" w:eastAsia="宋体" w:cs="Times New Roman"/>
                <w:bCs/>
                <w:color w:val="auto"/>
                <w:szCs w:val="21"/>
              </w:rPr>
              <w:t>所需暂存面积约为0.</w:t>
            </w:r>
            <w:r>
              <w:rPr>
                <w:rFonts w:hint="eastAsia" w:ascii="Times New Roman" w:hAnsi="Times New Roman" w:eastAsia="宋体" w:cs="Times New Roman"/>
                <w:bCs/>
                <w:color w:val="auto"/>
                <w:szCs w:val="21"/>
                <w:lang w:val="en-US" w:eastAsia="zh-CN"/>
              </w:rPr>
              <w:t>1</w:t>
            </w:r>
            <w:r>
              <w:rPr>
                <w:rFonts w:hint="eastAsia" w:ascii="Times New Roman" w:hAnsi="Times New Roman" w:eastAsia="宋体" w:cs="Times New Roman"/>
                <w:bCs/>
                <w:color w:val="auto"/>
                <w:szCs w:val="21"/>
              </w:rPr>
              <w:t>m</w:t>
            </w:r>
            <w:r>
              <w:rPr>
                <w:rFonts w:hint="eastAsia" w:ascii="Times New Roman" w:hAnsi="Times New Roman" w:eastAsia="宋体" w:cs="Times New Roman"/>
                <w:bCs/>
                <w:color w:val="auto"/>
                <w:szCs w:val="21"/>
                <w:vertAlign w:val="superscript"/>
              </w:rPr>
              <w:t>2</w:t>
            </w:r>
            <w:r>
              <w:rPr>
                <w:rFonts w:hint="eastAsia" w:ascii="Times New Roman" w:hAnsi="Times New Roman" w:eastAsia="宋体" w:cs="Times New Roman"/>
                <w:bCs/>
                <w:color w:val="auto"/>
                <w:szCs w:val="21"/>
              </w:rPr>
              <w:t>。</w:t>
            </w:r>
          </w:p>
          <w:p>
            <w:pPr>
              <w:adjustRightInd w:val="0"/>
              <w:snapToGrid w:val="0"/>
              <w:spacing w:line="500" w:lineRule="exact"/>
              <w:ind w:firstLine="420" w:firstLineChars="200"/>
              <w:rPr>
                <w:rFonts w:hint="eastAsia"/>
                <w:color w:val="auto"/>
              </w:rPr>
            </w:pPr>
            <w:r>
              <w:rPr>
                <w:rFonts w:hint="eastAsia" w:ascii="Times New Roman" w:hAnsi="Times New Roman" w:eastAsia="宋体" w:cs="Times New Roman"/>
                <w:bCs/>
                <w:color w:val="auto"/>
                <w:szCs w:val="21"/>
              </w:rPr>
              <w:t>废</w:t>
            </w:r>
            <w:r>
              <w:rPr>
                <w:rFonts w:hint="eastAsia" w:ascii="Times New Roman" w:hAnsi="Times New Roman" w:eastAsia="宋体" w:cs="Times New Roman"/>
                <w:bCs/>
                <w:color w:val="auto"/>
                <w:szCs w:val="21"/>
                <w:lang w:eastAsia="zh-CN"/>
              </w:rPr>
              <w:t>油</w:t>
            </w:r>
            <w:r>
              <w:rPr>
                <w:rFonts w:hint="eastAsia" w:ascii="Times New Roman" w:hAnsi="Times New Roman" w:eastAsia="宋体" w:cs="Times New Roman"/>
                <w:bCs/>
                <w:color w:val="auto"/>
                <w:szCs w:val="21"/>
              </w:rPr>
              <w:t>桶所需暂存面积约为</w:t>
            </w:r>
            <w:r>
              <w:rPr>
                <w:rFonts w:hint="eastAsia" w:ascii="Times New Roman" w:hAnsi="Times New Roman" w:eastAsia="宋体" w:cs="Times New Roman"/>
                <w:bCs/>
                <w:color w:val="auto"/>
                <w:szCs w:val="21"/>
                <w:lang w:val="en-US" w:eastAsia="zh-CN"/>
              </w:rPr>
              <w:t>1</w:t>
            </w:r>
            <w:r>
              <w:rPr>
                <w:rFonts w:hint="eastAsia" w:ascii="Times New Roman" w:hAnsi="Times New Roman" w:eastAsia="宋体" w:cs="Times New Roman"/>
                <w:bCs/>
                <w:color w:val="auto"/>
                <w:szCs w:val="21"/>
              </w:rPr>
              <w:t>m</w:t>
            </w:r>
            <w:r>
              <w:rPr>
                <w:rFonts w:hint="eastAsia" w:ascii="Times New Roman" w:hAnsi="Times New Roman" w:eastAsia="宋体" w:cs="Times New Roman"/>
                <w:bCs/>
                <w:color w:val="auto"/>
                <w:szCs w:val="21"/>
                <w:vertAlign w:val="superscript"/>
              </w:rPr>
              <w:t>2</w:t>
            </w:r>
            <w:r>
              <w:rPr>
                <w:rFonts w:hint="eastAsia" w:ascii="Times New Roman" w:hAnsi="Times New Roman" w:eastAsia="宋体" w:cs="Times New Roman"/>
                <w:bCs/>
                <w:color w:val="auto"/>
                <w:szCs w:val="21"/>
              </w:rPr>
              <w:t>。</w:t>
            </w:r>
          </w:p>
          <w:p>
            <w:pPr>
              <w:adjustRightInd w:val="0"/>
              <w:snapToGrid w:val="0"/>
              <w:spacing w:line="500" w:lineRule="exact"/>
              <w:ind w:firstLine="420" w:firstLineChars="200"/>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bCs/>
                <w:color w:val="auto"/>
                <w:szCs w:val="21"/>
                <w:lang w:val="en-US" w:eastAsia="zh-CN"/>
              </w:rPr>
              <w:t>废包装桶</w:t>
            </w:r>
            <w:r>
              <w:rPr>
                <w:rFonts w:hint="eastAsia" w:ascii="Times New Roman" w:hAnsi="Times New Roman" w:eastAsia="宋体" w:cs="Times New Roman"/>
                <w:bCs/>
                <w:color w:val="auto"/>
                <w:szCs w:val="21"/>
              </w:rPr>
              <w:t>所需暂存面积约为</w:t>
            </w:r>
            <w:r>
              <w:rPr>
                <w:rFonts w:hint="eastAsia" w:ascii="Times New Roman" w:hAnsi="Times New Roman" w:eastAsia="宋体" w:cs="Times New Roman"/>
                <w:bCs/>
                <w:color w:val="auto"/>
                <w:szCs w:val="21"/>
                <w:lang w:val="en-US" w:eastAsia="zh-CN"/>
              </w:rPr>
              <w:t>0.1</w:t>
            </w:r>
            <w:r>
              <w:rPr>
                <w:rFonts w:hint="eastAsia" w:ascii="Times New Roman" w:hAnsi="Times New Roman" w:eastAsia="宋体" w:cs="Times New Roman"/>
                <w:bCs/>
                <w:color w:val="auto"/>
                <w:szCs w:val="21"/>
              </w:rPr>
              <w:t>m</w:t>
            </w:r>
            <w:r>
              <w:rPr>
                <w:rFonts w:hint="eastAsia" w:ascii="Times New Roman" w:hAnsi="Times New Roman" w:eastAsia="宋体" w:cs="Times New Roman"/>
                <w:bCs/>
                <w:color w:val="auto"/>
                <w:szCs w:val="21"/>
                <w:vertAlign w:val="superscript"/>
              </w:rPr>
              <w:t>2</w:t>
            </w:r>
            <w:r>
              <w:rPr>
                <w:rFonts w:hint="eastAsia" w:ascii="Times New Roman" w:hAnsi="Times New Roman" w:eastAsia="宋体" w:cs="Times New Roman"/>
                <w:bCs/>
                <w:color w:val="auto"/>
                <w:szCs w:val="21"/>
              </w:rPr>
              <w:t>。</w:t>
            </w:r>
          </w:p>
          <w:p>
            <w:pPr>
              <w:adjustRightInd w:val="0"/>
              <w:snapToGrid w:val="0"/>
              <w:spacing w:line="500" w:lineRule="exact"/>
              <w:ind w:firstLine="420" w:firstLineChars="200"/>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bCs/>
                <w:color w:val="auto"/>
                <w:szCs w:val="21"/>
                <w:lang w:eastAsia="zh-CN"/>
              </w:rPr>
              <w:t>综上所述，项目所产生的危废最大需约</w:t>
            </w:r>
            <w:r>
              <w:rPr>
                <w:rFonts w:hint="eastAsia" w:ascii="Times New Roman" w:hAnsi="Times New Roman" w:eastAsia="宋体" w:cs="Times New Roman"/>
                <w:bCs/>
                <w:color w:val="auto"/>
                <w:szCs w:val="21"/>
                <w:lang w:val="en-US" w:eastAsia="zh-CN"/>
              </w:rPr>
              <w:t>7.9</w:t>
            </w:r>
            <w:r>
              <w:rPr>
                <w:rFonts w:hint="eastAsia" w:ascii="Times New Roman" w:hAnsi="Times New Roman" w:eastAsia="宋体" w:cs="Times New Roman"/>
                <w:bCs/>
                <w:color w:val="auto"/>
                <w:szCs w:val="21"/>
                <w:lang w:eastAsia="zh-CN"/>
              </w:rPr>
              <w:t>m</w:t>
            </w:r>
            <w:r>
              <w:rPr>
                <w:rFonts w:hint="eastAsia" w:ascii="Times New Roman" w:hAnsi="Times New Roman" w:eastAsia="宋体" w:cs="Times New Roman"/>
                <w:bCs/>
                <w:color w:val="auto"/>
                <w:szCs w:val="21"/>
                <w:vertAlign w:val="superscript"/>
                <w:lang w:eastAsia="zh-CN"/>
              </w:rPr>
              <w:t>2</w:t>
            </w:r>
            <w:r>
              <w:rPr>
                <w:rFonts w:hint="eastAsia" w:ascii="Times New Roman" w:hAnsi="Times New Roman" w:eastAsia="宋体" w:cs="Times New Roman"/>
                <w:bCs/>
                <w:color w:val="auto"/>
                <w:szCs w:val="21"/>
                <w:lang w:eastAsia="zh-CN"/>
              </w:rPr>
              <w:t>区域暂存，另外考虑过道、导流沟槽等预留空间，因此项目依托原有</w:t>
            </w:r>
            <w:r>
              <w:rPr>
                <w:rFonts w:hint="eastAsia" w:ascii="Times New Roman" w:hAnsi="Times New Roman" w:eastAsia="宋体" w:cs="Times New Roman"/>
                <w:bCs/>
                <w:color w:val="auto"/>
                <w:szCs w:val="21"/>
                <w:lang w:val="en-US" w:eastAsia="zh-CN"/>
              </w:rPr>
              <w:t>20</w:t>
            </w:r>
            <w:r>
              <w:rPr>
                <w:rFonts w:hint="eastAsia" w:ascii="Times New Roman" w:hAnsi="Times New Roman" w:eastAsia="宋体" w:cs="Times New Roman"/>
                <w:bCs/>
                <w:color w:val="auto"/>
                <w:szCs w:val="21"/>
                <w:lang w:eastAsia="zh-CN"/>
              </w:rPr>
              <w:t>m</w:t>
            </w:r>
            <w:r>
              <w:rPr>
                <w:rFonts w:hint="eastAsia" w:ascii="Times New Roman" w:hAnsi="Times New Roman" w:eastAsia="宋体" w:cs="Times New Roman"/>
                <w:bCs/>
                <w:color w:val="auto"/>
                <w:szCs w:val="21"/>
                <w:vertAlign w:val="superscript"/>
                <w:lang w:eastAsia="zh-CN"/>
              </w:rPr>
              <w:t>2</w:t>
            </w:r>
            <w:r>
              <w:rPr>
                <w:rFonts w:hint="eastAsia" w:ascii="Times New Roman" w:hAnsi="Times New Roman" w:eastAsia="宋体" w:cs="Times New Roman"/>
                <w:bCs/>
                <w:color w:val="auto"/>
                <w:szCs w:val="21"/>
                <w:lang w:eastAsia="zh-CN"/>
              </w:rPr>
              <w:t>的危废暂存区，</w:t>
            </w:r>
            <w:r>
              <w:rPr>
                <w:rFonts w:hint="eastAsia" w:ascii="Times New Roman" w:hAnsi="Times New Roman" w:eastAsia="宋体" w:cs="Times New Roman"/>
                <w:bCs/>
                <w:color w:val="auto"/>
                <w:szCs w:val="21"/>
                <w:highlight w:val="none"/>
                <w:lang w:eastAsia="zh-CN"/>
              </w:rPr>
              <w:t>还余</w:t>
            </w:r>
            <w:r>
              <w:rPr>
                <w:rFonts w:hint="eastAsia" w:ascii="Times New Roman" w:hAnsi="Times New Roman" w:eastAsia="宋体" w:cs="Times New Roman"/>
                <w:bCs/>
                <w:color w:val="auto"/>
                <w:szCs w:val="21"/>
                <w:highlight w:val="none"/>
                <w:lang w:val="en-US" w:eastAsia="zh-CN"/>
              </w:rPr>
              <w:t>15m</w:t>
            </w:r>
            <w:r>
              <w:rPr>
                <w:rFonts w:hint="eastAsia" w:ascii="Times New Roman" w:hAnsi="Times New Roman" w:eastAsia="宋体" w:cs="Times New Roman"/>
                <w:bCs/>
                <w:color w:val="auto"/>
                <w:szCs w:val="21"/>
                <w:highlight w:val="none"/>
                <w:vertAlign w:val="superscript"/>
                <w:lang w:val="en-US" w:eastAsia="zh-CN"/>
              </w:rPr>
              <w:t>2</w:t>
            </w:r>
            <w:r>
              <w:rPr>
                <w:rFonts w:hint="eastAsia" w:ascii="Times New Roman" w:hAnsi="Times New Roman" w:eastAsia="宋体" w:cs="Times New Roman"/>
                <w:bCs/>
                <w:color w:val="auto"/>
                <w:szCs w:val="21"/>
                <w:highlight w:val="none"/>
                <w:lang w:eastAsia="zh-CN"/>
              </w:rPr>
              <w:t>面积充足，</w:t>
            </w:r>
            <w:r>
              <w:rPr>
                <w:rFonts w:hint="eastAsia" w:ascii="Times New Roman" w:hAnsi="Times New Roman" w:eastAsia="宋体" w:cs="Times New Roman"/>
                <w:bCs/>
                <w:color w:val="auto"/>
                <w:szCs w:val="21"/>
                <w:lang w:eastAsia="zh-CN"/>
              </w:rPr>
              <w:t>可以满足贮存需求。</w:t>
            </w:r>
          </w:p>
          <w:p>
            <w:pPr>
              <w:adjustRightInd w:val="0"/>
              <w:snapToGrid w:val="0"/>
              <w:spacing w:line="500" w:lineRule="exact"/>
              <w:ind w:firstLine="420" w:firstLineChars="200"/>
              <w:rPr>
                <w:rFonts w:hint="eastAsia"/>
                <w:bCs/>
                <w:color w:val="auto"/>
                <w:szCs w:val="21"/>
              </w:rPr>
            </w:pPr>
            <w:r>
              <w:rPr>
                <w:rFonts w:hint="eastAsia"/>
                <w:bCs/>
                <w:color w:val="auto"/>
                <w:szCs w:val="21"/>
              </w:rPr>
              <w:t>3、运输过程的环境影响分析</w:t>
            </w:r>
          </w:p>
          <w:p>
            <w:pPr>
              <w:adjustRightInd w:val="0"/>
              <w:snapToGrid w:val="0"/>
              <w:spacing w:line="500" w:lineRule="exact"/>
              <w:ind w:firstLine="420" w:firstLineChars="200"/>
              <w:rPr>
                <w:rFonts w:hint="eastAsia"/>
                <w:bCs/>
                <w:color w:val="auto"/>
                <w:szCs w:val="21"/>
              </w:rPr>
            </w:pPr>
            <w:r>
              <w:rPr>
                <w:rFonts w:hint="eastAsia"/>
                <w:bCs/>
                <w:color w:val="auto"/>
                <w:szCs w:val="21"/>
              </w:rPr>
              <w:t>危险废物的收集、运输按照《危险废物收集、贮存、运输技术规范》（HJ2025-2012）的要求进行。在运输过程中，按照《江苏省固体废物污染环境防治条例》中对危险废物的包装、运输的有关标准、技术规范和要求进行，有效防止危险废物转移过程中污染环境。项目需处理的危险废物采用专门的车辆，密闭运输，严格禁止抛洒滴漏，杜绝在运输过程中造成环境的二次污染。在危险废物的运输中执行《危险废物转移联单管理办法》中有关的规定和要求。</w:t>
            </w:r>
          </w:p>
          <w:p>
            <w:pPr>
              <w:adjustRightInd w:val="0"/>
              <w:snapToGrid w:val="0"/>
              <w:spacing w:line="500" w:lineRule="exact"/>
              <w:ind w:firstLine="420" w:firstLineChars="200"/>
              <w:rPr>
                <w:rFonts w:hint="eastAsia"/>
                <w:bCs/>
                <w:color w:val="auto"/>
                <w:szCs w:val="21"/>
              </w:rPr>
            </w:pPr>
            <w:r>
              <w:rPr>
                <w:rFonts w:hint="eastAsia"/>
                <w:bCs/>
                <w:color w:val="auto"/>
                <w:szCs w:val="21"/>
              </w:rPr>
              <w:t>建设单位拟针对此对员工进行培训，加强安全生产及防止污染的意识，培训通过后方可上岗，对于固体废弃物的收集、运输要实施专人专职管理制度并建立好台账。</w:t>
            </w:r>
          </w:p>
          <w:p>
            <w:pPr>
              <w:adjustRightInd w:val="0"/>
              <w:snapToGrid w:val="0"/>
              <w:spacing w:line="500" w:lineRule="exact"/>
              <w:ind w:firstLine="420" w:firstLineChars="200"/>
              <w:rPr>
                <w:rFonts w:hint="eastAsia"/>
                <w:bCs/>
                <w:color w:val="auto"/>
                <w:szCs w:val="21"/>
              </w:rPr>
            </w:pPr>
            <w:r>
              <w:rPr>
                <w:rFonts w:hint="eastAsia"/>
                <w:bCs/>
                <w:color w:val="auto"/>
                <w:szCs w:val="21"/>
                <w:lang w:val="en-US" w:eastAsia="zh-CN"/>
              </w:rPr>
              <w:t>5</w:t>
            </w:r>
            <w:r>
              <w:rPr>
                <w:rFonts w:hint="eastAsia"/>
                <w:bCs/>
                <w:color w:val="auto"/>
                <w:szCs w:val="21"/>
              </w:rPr>
              <w:t>、环境管理要求</w:t>
            </w:r>
          </w:p>
          <w:p>
            <w:pPr>
              <w:adjustRightInd w:val="0"/>
              <w:snapToGrid w:val="0"/>
              <w:spacing w:line="500" w:lineRule="exact"/>
              <w:ind w:firstLine="420" w:firstLineChars="200"/>
              <w:rPr>
                <w:rFonts w:hint="eastAsia"/>
                <w:bCs/>
                <w:color w:val="auto"/>
                <w:szCs w:val="21"/>
              </w:rPr>
            </w:pPr>
            <w:r>
              <w:rPr>
                <w:rFonts w:hint="eastAsia"/>
                <w:bCs/>
                <w:color w:val="auto"/>
                <w:szCs w:val="21"/>
              </w:rPr>
              <w:t>在日常营运中，应制定固废管理计划，将固废的产生、贮存、利用、处置等情况纳入生产记录，建立固废管理台账和企业内部产生和收集贮存部门交接制度。</w:t>
            </w:r>
          </w:p>
          <w:p>
            <w:pPr>
              <w:adjustRightInd w:val="0"/>
              <w:snapToGrid w:val="0"/>
              <w:spacing w:line="500" w:lineRule="exact"/>
              <w:ind w:firstLine="420" w:firstLineChars="200"/>
              <w:rPr>
                <w:rFonts w:hint="eastAsia"/>
                <w:bCs/>
                <w:color w:val="auto"/>
                <w:szCs w:val="21"/>
              </w:rPr>
            </w:pPr>
            <w:r>
              <w:rPr>
                <w:rFonts w:hint="eastAsia"/>
                <w:bCs/>
                <w:color w:val="auto"/>
                <w:szCs w:val="21"/>
              </w:rPr>
              <w:t>企业为固体废物污染防治的责任主体，应建立风险管理及应急救援体系，执行环境监测计划、转移联单管理制度及国家和省有关转移管理的相关规定、处置过程安全操作规程、人员培训考核制度、档案管理制度、处置全过程管理制度等。</w:t>
            </w:r>
          </w:p>
          <w:p>
            <w:pPr>
              <w:adjustRightInd w:val="0"/>
              <w:snapToGrid w:val="0"/>
              <w:spacing w:line="500" w:lineRule="exact"/>
              <w:ind w:firstLine="420" w:firstLineChars="200"/>
              <w:rPr>
                <w:rFonts w:hint="eastAsia"/>
                <w:b/>
                <w:bCs/>
                <w:color w:val="auto"/>
                <w:szCs w:val="21"/>
              </w:rPr>
            </w:pPr>
            <w:r>
              <w:rPr>
                <w:rFonts w:hint="eastAsia"/>
                <w:bCs/>
                <w:color w:val="auto"/>
                <w:szCs w:val="21"/>
              </w:rPr>
              <w:t>拟建危险废物贮存场所与《江苏省固体废物全过程环境监管工作意见》（苏环办〔2024〕16号）相符性分析：</w:t>
            </w:r>
          </w:p>
          <w:p>
            <w:pPr>
              <w:adjustRightInd w:val="0"/>
              <w:spacing w:line="500" w:lineRule="exact"/>
              <w:jc w:val="center"/>
              <w:rPr>
                <w:rFonts w:hint="eastAsia"/>
                <w:b/>
                <w:bCs/>
                <w:color w:val="auto"/>
                <w:szCs w:val="21"/>
              </w:rPr>
            </w:pPr>
            <w:r>
              <w:rPr>
                <w:rFonts w:hint="eastAsia"/>
                <w:b/>
                <w:bCs/>
                <w:color w:val="auto"/>
                <w:szCs w:val="21"/>
              </w:rPr>
              <w:t>表4-</w:t>
            </w:r>
            <w:r>
              <w:rPr>
                <w:rFonts w:hint="eastAsia"/>
                <w:b/>
                <w:bCs/>
                <w:color w:val="auto"/>
                <w:szCs w:val="21"/>
                <w:lang w:val="en-US" w:eastAsia="zh-CN"/>
              </w:rPr>
              <w:t>23</w:t>
            </w:r>
            <w:r>
              <w:rPr>
                <w:rFonts w:hint="eastAsia"/>
                <w:b/>
                <w:bCs/>
                <w:color w:val="auto"/>
                <w:szCs w:val="21"/>
                <w:lang w:eastAsia="zh-CN"/>
              </w:rPr>
              <w:t xml:space="preserve">  </w:t>
            </w:r>
            <w:r>
              <w:rPr>
                <w:rFonts w:hint="eastAsia"/>
                <w:b/>
                <w:bCs/>
                <w:color w:val="auto"/>
                <w:szCs w:val="21"/>
              </w:rPr>
              <w:t>主要构筑物及设备情况一览表</w:t>
            </w:r>
          </w:p>
          <w:tbl>
            <w:tblPr>
              <w:tblStyle w:val="21"/>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79"/>
              <w:gridCol w:w="4278"/>
              <w:gridCol w:w="1972"/>
              <w:gridCol w:w="69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385" w:type="pct"/>
                  <w:noWrap w:val="0"/>
                  <w:vAlign w:val="center"/>
                </w:tcPr>
                <w:p>
                  <w:pPr>
                    <w:adjustRightInd w:val="0"/>
                    <w:snapToGrid w:val="0"/>
                    <w:jc w:val="center"/>
                    <w:rPr>
                      <w:rFonts w:hint="eastAsia"/>
                      <w:b/>
                      <w:bCs/>
                      <w:color w:val="auto"/>
                      <w:sz w:val="18"/>
                      <w:szCs w:val="18"/>
                    </w:rPr>
                  </w:pPr>
                  <w:r>
                    <w:rPr>
                      <w:rFonts w:hint="eastAsia"/>
                      <w:b/>
                      <w:bCs/>
                      <w:color w:val="auto"/>
                      <w:sz w:val="18"/>
                      <w:szCs w:val="18"/>
                    </w:rPr>
                    <w:t>序号</w:t>
                  </w:r>
                </w:p>
              </w:tc>
              <w:tc>
                <w:tcPr>
                  <w:tcW w:w="2840" w:type="pct"/>
                  <w:noWrap w:val="0"/>
                  <w:vAlign w:val="center"/>
                </w:tcPr>
                <w:p>
                  <w:pPr>
                    <w:adjustRightInd w:val="0"/>
                    <w:snapToGrid w:val="0"/>
                    <w:jc w:val="center"/>
                    <w:rPr>
                      <w:rFonts w:hint="eastAsia"/>
                      <w:b/>
                      <w:bCs/>
                      <w:color w:val="auto"/>
                      <w:sz w:val="18"/>
                      <w:szCs w:val="18"/>
                    </w:rPr>
                  </w:pPr>
                  <w:r>
                    <w:rPr>
                      <w:rFonts w:hint="eastAsia"/>
                      <w:b/>
                      <w:bCs/>
                      <w:color w:val="auto"/>
                      <w:sz w:val="18"/>
                      <w:szCs w:val="18"/>
                    </w:rPr>
                    <w:t>文件规定要求</w:t>
                  </w:r>
                </w:p>
              </w:tc>
              <w:tc>
                <w:tcPr>
                  <w:tcW w:w="1309" w:type="pct"/>
                  <w:noWrap w:val="0"/>
                  <w:vAlign w:val="center"/>
                </w:tcPr>
                <w:p>
                  <w:pPr>
                    <w:adjustRightInd w:val="0"/>
                    <w:snapToGrid w:val="0"/>
                    <w:jc w:val="center"/>
                    <w:rPr>
                      <w:b/>
                      <w:bCs/>
                      <w:color w:val="auto"/>
                      <w:sz w:val="18"/>
                      <w:szCs w:val="18"/>
                    </w:rPr>
                  </w:pPr>
                  <w:r>
                    <w:rPr>
                      <w:rFonts w:hint="eastAsia"/>
                      <w:b/>
                      <w:bCs/>
                      <w:color w:val="auto"/>
                      <w:sz w:val="18"/>
                      <w:szCs w:val="18"/>
                    </w:rPr>
                    <w:t>拟实施情况</w:t>
                  </w:r>
                </w:p>
              </w:tc>
              <w:tc>
                <w:tcPr>
                  <w:tcW w:w="463" w:type="pct"/>
                  <w:noWrap w:val="0"/>
                  <w:vAlign w:val="center"/>
                </w:tcPr>
                <w:p>
                  <w:pPr>
                    <w:adjustRightInd w:val="0"/>
                    <w:snapToGrid w:val="0"/>
                    <w:jc w:val="center"/>
                    <w:rPr>
                      <w:rFonts w:hint="eastAsia"/>
                      <w:b/>
                      <w:bCs/>
                      <w:color w:val="auto"/>
                      <w:sz w:val="18"/>
                      <w:szCs w:val="18"/>
                    </w:rPr>
                  </w:pPr>
                  <w:r>
                    <w:rPr>
                      <w:rFonts w:hint="eastAsia"/>
                      <w:b/>
                      <w:bCs/>
                      <w:color w:val="auto"/>
                      <w:sz w:val="18"/>
                      <w:szCs w:val="18"/>
                    </w:rPr>
                    <w:t>相符性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385" w:type="pct"/>
                  <w:noWrap w:val="0"/>
                  <w:vAlign w:val="center"/>
                </w:tcPr>
                <w:p>
                  <w:pPr>
                    <w:adjustRightInd w:val="0"/>
                    <w:snapToGrid w:val="0"/>
                    <w:jc w:val="center"/>
                    <w:rPr>
                      <w:rFonts w:hint="eastAsia"/>
                      <w:b/>
                      <w:bCs/>
                      <w:color w:val="auto"/>
                      <w:sz w:val="18"/>
                      <w:szCs w:val="18"/>
                    </w:rPr>
                  </w:pPr>
                  <w:r>
                    <w:rPr>
                      <w:rFonts w:hint="eastAsia"/>
                      <w:color w:val="auto"/>
                      <w:sz w:val="18"/>
                      <w:szCs w:val="18"/>
                    </w:rPr>
                    <w:t>1</w:t>
                  </w:r>
                </w:p>
              </w:tc>
              <w:tc>
                <w:tcPr>
                  <w:tcW w:w="2840" w:type="pct"/>
                  <w:noWrap w:val="0"/>
                  <w:vAlign w:val="center"/>
                </w:tcPr>
                <w:p>
                  <w:pPr>
                    <w:adjustRightInd w:val="0"/>
                    <w:snapToGrid w:val="0"/>
                    <w:jc w:val="center"/>
                    <w:rPr>
                      <w:rFonts w:hint="eastAsia"/>
                      <w:color w:val="auto"/>
                      <w:kern w:val="2"/>
                      <w:sz w:val="18"/>
                      <w:szCs w:val="18"/>
                      <w:lang w:val="en-US" w:eastAsia="zh-CN" w:bidi="ar-SA"/>
                    </w:rPr>
                  </w:pPr>
                  <w:r>
                    <w:rPr>
                      <w:rFonts w:hint="eastAsia"/>
                      <w:color w:val="auto"/>
                      <w:sz w:val="18"/>
                      <w:szCs w:val="18"/>
                    </w:rPr>
                    <w:t>规范项目环评审批。建设项目环评要评价产生的固体废物种类、数量、来源和属性，论述贮存、转移和利用处置方式合规性、合理性，提出切实可行的污染防治对策措施。所有产物要按照以下五类属性给予明确并规范表述：目标产物（产品、副产品）、鉴别属于产品（符合国家、地方或行业标准）、可定向用于特定用途按产品管理（如符合团体标准）、一般固体废物和危险废物。不得将不符合GB34330、HJ1091等标准的产物认定为“再生产品”，不得出现“中间产物”“再生产物”等不规范表述，严禁以“副产品”名义逃避监管。不能排除危险特性的固体废物，须在环评文件中明确具体鉴别方案，鉴别前按危险废物管理，鉴别后根据结论按一般固废或危险废物管理。危险废物经营单位项目环评审批要点要与危险废物经营许可审查要求衔接一致。</w:t>
                  </w:r>
                </w:p>
              </w:tc>
              <w:tc>
                <w:tcPr>
                  <w:tcW w:w="1309" w:type="pct"/>
                  <w:noWrap w:val="0"/>
                  <w:vAlign w:val="center"/>
                </w:tcPr>
                <w:p>
                  <w:pPr>
                    <w:adjustRightInd w:val="0"/>
                    <w:snapToGrid w:val="0"/>
                    <w:jc w:val="center"/>
                    <w:rPr>
                      <w:rFonts w:hint="eastAsia"/>
                      <w:color w:val="auto"/>
                      <w:kern w:val="2"/>
                      <w:sz w:val="18"/>
                      <w:szCs w:val="18"/>
                      <w:lang w:val="en-US" w:eastAsia="zh-CN" w:bidi="ar-SA"/>
                    </w:rPr>
                  </w:pPr>
                  <w:r>
                    <w:rPr>
                      <w:rFonts w:hint="eastAsia"/>
                      <w:color w:val="auto"/>
                      <w:sz w:val="18"/>
                      <w:szCs w:val="18"/>
                    </w:rPr>
                    <w:t>本项目按要求核算固体废物，明确种类、数量、来源、属性；按要求提出污染防治对策措施；明确本项目产物属性为一般固体废物和危险废物。</w:t>
                  </w:r>
                </w:p>
              </w:tc>
              <w:tc>
                <w:tcPr>
                  <w:tcW w:w="463" w:type="pct"/>
                  <w:noWrap w:val="0"/>
                  <w:vAlign w:val="center"/>
                </w:tcPr>
                <w:p>
                  <w:pPr>
                    <w:adjustRightInd w:val="0"/>
                    <w:snapToGrid w:val="0"/>
                    <w:jc w:val="center"/>
                    <w:rPr>
                      <w:rFonts w:hint="eastAsia"/>
                      <w:b/>
                      <w:bCs/>
                      <w:color w:val="auto"/>
                      <w:sz w:val="18"/>
                      <w:szCs w:val="18"/>
                    </w:rPr>
                  </w:pPr>
                  <w:r>
                    <w:rPr>
                      <w:rFonts w:hint="eastAsia"/>
                      <w:color w:val="auto"/>
                      <w:sz w:val="18"/>
                      <w:szCs w:val="18"/>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385" w:type="pct"/>
                  <w:noWrap w:val="0"/>
                  <w:vAlign w:val="center"/>
                </w:tcPr>
                <w:p>
                  <w:pPr>
                    <w:adjustRightInd w:val="0"/>
                    <w:snapToGrid w:val="0"/>
                    <w:jc w:val="center"/>
                    <w:rPr>
                      <w:rFonts w:hint="eastAsia"/>
                      <w:b/>
                      <w:bCs/>
                      <w:color w:val="auto"/>
                      <w:sz w:val="18"/>
                      <w:szCs w:val="18"/>
                    </w:rPr>
                  </w:pPr>
                  <w:r>
                    <w:rPr>
                      <w:rFonts w:hint="eastAsia"/>
                      <w:color w:val="auto"/>
                      <w:sz w:val="18"/>
                      <w:szCs w:val="18"/>
                    </w:rPr>
                    <w:t>2</w:t>
                  </w:r>
                </w:p>
              </w:tc>
              <w:tc>
                <w:tcPr>
                  <w:tcW w:w="2840" w:type="pct"/>
                  <w:noWrap w:val="0"/>
                  <w:vAlign w:val="center"/>
                </w:tcPr>
                <w:p>
                  <w:pPr>
                    <w:adjustRightInd w:val="0"/>
                    <w:snapToGrid w:val="0"/>
                    <w:jc w:val="center"/>
                    <w:rPr>
                      <w:rFonts w:hint="eastAsia"/>
                      <w:color w:val="auto"/>
                      <w:kern w:val="2"/>
                      <w:sz w:val="18"/>
                      <w:szCs w:val="18"/>
                      <w:lang w:val="en-US" w:eastAsia="zh-CN" w:bidi="ar-SA"/>
                    </w:rPr>
                  </w:pPr>
                  <w:r>
                    <w:rPr>
                      <w:rFonts w:hint="eastAsia"/>
                      <w:color w:val="auto"/>
                      <w:sz w:val="18"/>
                      <w:szCs w:val="18"/>
                    </w:rPr>
                    <w:t>落实排污许可制度。企业要在排污许可管理系统中全面、准确申报工业固体废物产生种类，以及贮存设施和利用处置等相关情况，并对其真实性负责。实际产生、转移、贮存和利用处置情况对照项目环评发生变动的，要根据变动情况及时采取重新报批环评、纳入环境保护竣工验收等手续，并及时变更排污许可。</w:t>
                  </w:r>
                </w:p>
              </w:tc>
              <w:tc>
                <w:tcPr>
                  <w:tcW w:w="1309" w:type="pct"/>
                  <w:noWrap w:val="0"/>
                  <w:vAlign w:val="center"/>
                </w:tcPr>
                <w:p>
                  <w:pPr>
                    <w:adjustRightInd w:val="0"/>
                    <w:snapToGrid w:val="0"/>
                    <w:jc w:val="center"/>
                    <w:rPr>
                      <w:rFonts w:hint="eastAsia" w:eastAsia="宋体"/>
                      <w:color w:val="auto"/>
                      <w:kern w:val="2"/>
                      <w:sz w:val="18"/>
                      <w:szCs w:val="18"/>
                      <w:lang w:val="en-US" w:eastAsia="zh-CN" w:bidi="ar-SA"/>
                    </w:rPr>
                  </w:pPr>
                  <w:r>
                    <w:rPr>
                      <w:rFonts w:hint="eastAsia"/>
                      <w:color w:val="auto"/>
                      <w:sz w:val="18"/>
                      <w:szCs w:val="18"/>
                    </w:rPr>
                    <w:t>本项目建成后按要求申报排污许可证</w:t>
                  </w:r>
                  <w:r>
                    <w:rPr>
                      <w:rFonts w:hint="eastAsia"/>
                      <w:color w:val="auto"/>
                      <w:sz w:val="18"/>
                      <w:szCs w:val="18"/>
                      <w:lang w:eastAsia="zh-CN"/>
                    </w:rPr>
                    <w:t>。</w:t>
                  </w:r>
                </w:p>
              </w:tc>
              <w:tc>
                <w:tcPr>
                  <w:tcW w:w="463" w:type="pct"/>
                  <w:noWrap w:val="0"/>
                  <w:vAlign w:val="center"/>
                </w:tcPr>
                <w:p>
                  <w:pPr>
                    <w:adjustRightInd w:val="0"/>
                    <w:snapToGrid w:val="0"/>
                    <w:jc w:val="center"/>
                    <w:rPr>
                      <w:rFonts w:hint="eastAsia"/>
                      <w:b/>
                      <w:bCs/>
                      <w:color w:val="auto"/>
                      <w:sz w:val="18"/>
                      <w:szCs w:val="18"/>
                    </w:rPr>
                  </w:pPr>
                  <w:r>
                    <w:rPr>
                      <w:rFonts w:hint="eastAsia"/>
                      <w:color w:val="auto"/>
                      <w:sz w:val="18"/>
                      <w:szCs w:val="18"/>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385" w:type="pct"/>
                  <w:noWrap w:val="0"/>
                  <w:vAlign w:val="center"/>
                </w:tcPr>
                <w:p>
                  <w:pPr>
                    <w:adjustRightInd w:val="0"/>
                    <w:snapToGrid w:val="0"/>
                    <w:jc w:val="center"/>
                    <w:rPr>
                      <w:rFonts w:hint="eastAsia"/>
                      <w:b/>
                      <w:bCs/>
                      <w:color w:val="auto"/>
                      <w:sz w:val="18"/>
                      <w:szCs w:val="18"/>
                    </w:rPr>
                  </w:pPr>
                  <w:r>
                    <w:rPr>
                      <w:rFonts w:hint="eastAsia"/>
                      <w:color w:val="auto"/>
                      <w:sz w:val="18"/>
                      <w:szCs w:val="18"/>
                    </w:rPr>
                    <w:t>3</w:t>
                  </w:r>
                </w:p>
              </w:tc>
              <w:tc>
                <w:tcPr>
                  <w:tcW w:w="2840" w:type="pct"/>
                  <w:noWrap w:val="0"/>
                  <w:vAlign w:val="center"/>
                </w:tcPr>
                <w:p>
                  <w:pPr>
                    <w:adjustRightInd w:val="0"/>
                    <w:snapToGrid w:val="0"/>
                    <w:jc w:val="center"/>
                    <w:rPr>
                      <w:rFonts w:hint="eastAsia"/>
                      <w:color w:val="auto"/>
                      <w:kern w:val="2"/>
                      <w:sz w:val="18"/>
                      <w:szCs w:val="18"/>
                      <w:lang w:val="en-US" w:eastAsia="zh-CN" w:bidi="ar-SA"/>
                    </w:rPr>
                  </w:pPr>
                  <w:r>
                    <w:rPr>
                      <w:rFonts w:hint="eastAsia"/>
                      <w:color w:val="auto"/>
                      <w:sz w:val="18"/>
                      <w:szCs w:val="18"/>
                    </w:rPr>
                    <w:t>规范贮存管理要求。根据《危险废物贮存污染控制标准》（GB18597-2023），企业可根据实际情况选择采用危险废物贮存设施或贮存点两类方式进行贮存，符合相应的污染控制标准；不具备建设贮存设施条件、选用贮存点方式的，除符合国家关于贮存点控制要求外，还要执行《江苏省危险废物集中收集体系建设工作方案（试行）》（苏环办〔2021〕290号）中关于贮存周期和贮存量的要求，I级、II级、III级危险废物贮存时间分别不得超过30天、60天、90天，最大贮存量不得超过1吨。</w:t>
                  </w:r>
                </w:p>
              </w:tc>
              <w:tc>
                <w:tcPr>
                  <w:tcW w:w="1309" w:type="pct"/>
                  <w:noWrap w:val="0"/>
                  <w:vAlign w:val="center"/>
                </w:tcPr>
                <w:p>
                  <w:pPr>
                    <w:adjustRightInd w:val="0"/>
                    <w:snapToGrid w:val="0"/>
                    <w:jc w:val="center"/>
                    <w:rPr>
                      <w:rFonts w:hint="eastAsia"/>
                      <w:color w:val="auto"/>
                      <w:kern w:val="2"/>
                      <w:sz w:val="18"/>
                      <w:szCs w:val="18"/>
                      <w:lang w:val="en-US" w:eastAsia="zh-CN" w:bidi="ar-SA"/>
                    </w:rPr>
                  </w:pPr>
                  <w:r>
                    <w:rPr>
                      <w:rFonts w:hint="eastAsia"/>
                      <w:color w:val="auto"/>
                      <w:sz w:val="18"/>
                      <w:szCs w:val="18"/>
                    </w:rPr>
                    <w:t>本项目建设危险废物贮存设施，危险废物贮存过程按照GB18597-2023中要求进行。</w:t>
                  </w:r>
                </w:p>
              </w:tc>
              <w:tc>
                <w:tcPr>
                  <w:tcW w:w="463" w:type="pct"/>
                  <w:noWrap w:val="0"/>
                  <w:vAlign w:val="center"/>
                </w:tcPr>
                <w:p>
                  <w:pPr>
                    <w:adjustRightInd w:val="0"/>
                    <w:snapToGrid w:val="0"/>
                    <w:jc w:val="center"/>
                    <w:rPr>
                      <w:rFonts w:hint="eastAsia"/>
                      <w:b/>
                      <w:bCs/>
                      <w:color w:val="auto"/>
                      <w:sz w:val="18"/>
                      <w:szCs w:val="18"/>
                    </w:rPr>
                  </w:pPr>
                  <w:r>
                    <w:rPr>
                      <w:rFonts w:hint="eastAsia"/>
                      <w:color w:val="auto"/>
                      <w:sz w:val="18"/>
                      <w:szCs w:val="18"/>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385" w:type="pct"/>
                  <w:noWrap w:val="0"/>
                  <w:vAlign w:val="center"/>
                </w:tcPr>
                <w:p>
                  <w:pPr>
                    <w:adjustRightInd w:val="0"/>
                    <w:snapToGrid w:val="0"/>
                    <w:jc w:val="center"/>
                    <w:rPr>
                      <w:rFonts w:hint="eastAsia"/>
                      <w:b/>
                      <w:bCs/>
                      <w:color w:val="auto"/>
                      <w:sz w:val="18"/>
                      <w:szCs w:val="18"/>
                    </w:rPr>
                  </w:pPr>
                  <w:r>
                    <w:rPr>
                      <w:rFonts w:hint="eastAsia"/>
                      <w:color w:val="auto"/>
                      <w:sz w:val="18"/>
                      <w:szCs w:val="18"/>
                    </w:rPr>
                    <w:t>4</w:t>
                  </w:r>
                </w:p>
              </w:tc>
              <w:tc>
                <w:tcPr>
                  <w:tcW w:w="2840" w:type="pct"/>
                  <w:noWrap w:val="0"/>
                  <w:vAlign w:val="center"/>
                </w:tcPr>
                <w:p>
                  <w:pPr>
                    <w:adjustRightInd w:val="0"/>
                    <w:snapToGrid w:val="0"/>
                    <w:jc w:val="center"/>
                    <w:rPr>
                      <w:rFonts w:hint="eastAsia"/>
                      <w:color w:val="auto"/>
                      <w:kern w:val="2"/>
                      <w:sz w:val="18"/>
                      <w:szCs w:val="18"/>
                      <w:lang w:val="en-US" w:eastAsia="zh-CN" w:bidi="ar-SA"/>
                    </w:rPr>
                  </w:pPr>
                  <w:r>
                    <w:rPr>
                      <w:rFonts w:hint="eastAsia"/>
                      <w:color w:val="auto"/>
                      <w:sz w:val="18"/>
                      <w:szCs w:val="18"/>
                    </w:rPr>
                    <w:t>强化转移过程管理。全面落实危险废物转移电子联单制度，实行省内全域扫描“二维码”转移。加强与危险货物道路运输电子运单数据共享，实现运输轨迹可溯可查。危险废物产生单位须依法核实经营单位主体资格和技术能力，直接签订委托合同，并向经营</w:t>
                  </w:r>
                  <w:r>
                    <w:rPr>
                      <w:rFonts w:hint="eastAsia"/>
                      <w:color w:val="auto"/>
                      <w:sz w:val="18"/>
                      <w:szCs w:val="18"/>
                      <w:lang w:eastAsia="zh-CN"/>
                    </w:rPr>
                    <w:t>单位提供</w:t>
                  </w:r>
                  <w:r>
                    <w:rPr>
                      <w:rFonts w:hint="eastAsia"/>
                      <w:color w:val="auto"/>
                      <w:sz w:val="18"/>
                      <w:szCs w:val="18"/>
                    </w:rPr>
                    <w:t>相关危险废物产生工艺、具体成分，以及是否易燃易爆等信息，违法委托的，应当与造成环境污染和生态破坏的受托方承担连带责任；经营单位须按合同及包装物扫码签收危险废物，签收人、车辆信息等须拍照上传至系统，严禁“空转”二维码。积极推行一般工业固体废物转移电子联单制度，优先选择环境风险较大的污泥、矿渣等固体废物试行。</w:t>
                  </w:r>
                </w:p>
              </w:tc>
              <w:tc>
                <w:tcPr>
                  <w:tcW w:w="1309" w:type="pct"/>
                  <w:noWrap w:val="0"/>
                  <w:vAlign w:val="center"/>
                </w:tcPr>
                <w:p>
                  <w:pPr>
                    <w:adjustRightInd w:val="0"/>
                    <w:snapToGrid w:val="0"/>
                    <w:jc w:val="center"/>
                    <w:rPr>
                      <w:rFonts w:hint="eastAsia"/>
                      <w:color w:val="auto"/>
                      <w:kern w:val="2"/>
                      <w:sz w:val="18"/>
                      <w:szCs w:val="18"/>
                      <w:lang w:val="en-US" w:eastAsia="zh-CN" w:bidi="ar-SA"/>
                    </w:rPr>
                  </w:pPr>
                  <w:r>
                    <w:rPr>
                      <w:rFonts w:hint="eastAsia"/>
                      <w:color w:val="auto"/>
                      <w:sz w:val="18"/>
                      <w:szCs w:val="18"/>
                    </w:rPr>
                    <w:t>本项目转移过程按该文件（苏环办〔2024〕16号）中要求执行。</w:t>
                  </w:r>
                </w:p>
              </w:tc>
              <w:tc>
                <w:tcPr>
                  <w:tcW w:w="463" w:type="pct"/>
                  <w:noWrap w:val="0"/>
                  <w:vAlign w:val="center"/>
                </w:tcPr>
                <w:p>
                  <w:pPr>
                    <w:adjustRightInd w:val="0"/>
                    <w:snapToGrid w:val="0"/>
                    <w:jc w:val="center"/>
                    <w:rPr>
                      <w:rFonts w:hint="eastAsia"/>
                      <w:b/>
                      <w:bCs/>
                      <w:color w:val="auto"/>
                      <w:sz w:val="18"/>
                      <w:szCs w:val="18"/>
                    </w:rPr>
                  </w:pPr>
                  <w:r>
                    <w:rPr>
                      <w:rFonts w:hint="eastAsia"/>
                      <w:color w:val="auto"/>
                      <w:sz w:val="18"/>
                      <w:szCs w:val="18"/>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385" w:type="pct"/>
                  <w:noWrap w:val="0"/>
                  <w:vAlign w:val="center"/>
                </w:tcPr>
                <w:p>
                  <w:pPr>
                    <w:adjustRightInd w:val="0"/>
                    <w:snapToGrid w:val="0"/>
                    <w:jc w:val="center"/>
                    <w:rPr>
                      <w:rFonts w:hint="eastAsia"/>
                      <w:b/>
                      <w:bCs/>
                      <w:color w:val="auto"/>
                      <w:sz w:val="18"/>
                      <w:szCs w:val="18"/>
                    </w:rPr>
                  </w:pPr>
                  <w:r>
                    <w:rPr>
                      <w:rFonts w:hint="eastAsia"/>
                      <w:color w:val="auto"/>
                      <w:sz w:val="18"/>
                      <w:szCs w:val="18"/>
                    </w:rPr>
                    <w:t>5</w:t>
                  </w:r>
                </w:p>
              </w:tc>
              <w:tc>
                <w:tcPr>
                  <w:tcW w:w="2840" w:type="pct"/>
                  <w:noWrap w:val="0"/>
                  <w:vAlign w:val="center"/>
                </w:tcPr>
                <w:p>
                  <w:pPr>
                    <w:adjustRightInd w:val="0"/>
                    <w:snapToGrid w:val="0"/>
                    <w:jc w:val="center"/>
                    <w:rPr>
                      <w:rFonts w:hint="eastAsia"/>
                      <w:color w:val="auto"/>
                      <w:kern w:val="2"/>
                      <w:sz w:val="18"/>
                      <w:szCs w:val="18"/>
                      <w:lang w:val="en-US" w:eastAsia="zh-CN" w:bidi="ar-SA"/>
                    </w:rPr>
                  </w:pPr>
                  <w:r>
                    <w:rPr>
                      <w:rFonts w:hint="eastAsia"/>
                      <w:color w:val="auto"/>
                      <w:sz w:val="18"/>
                      <w:szCs w:val="18"/>
                    </w:rPr>
                    <w:t>落实信息公开制度。危险废物环境重点监管单位要在出入口、设施内部、危险废物运输车辆通道等关键位置设置视频监控并与中控室联网，通过设立公开栏、标志牌等方式，主动公开危险废物产生和利用处置等有关信息。集中焚烧处置单位及有自建危废焚烧处置设施的单位要依法及时公开二燃室温度等工况运行指标以及污染物排放指标、浓度等有关信息，并联网至属地生态环境部门。危险废物经营单位应同步公开许可证、许可条件等全文信息。</w:t>
                  </w:r>
                </w:p>
              </w:tc>
              <w:tc>
                <w:tcPr>
                  <w:tcW w:w="1309" w:type="pct"/>
                  <w:noWrap w:val="0"/>
                  <w:vAlign w:val="center"/>
                </w:tcPr>
                <w:p>
                  <w:pPr>
                    <w:adjustRightInd w:val="0"/>
                    <w:snapToGrid w:val="0"/>
                    <w:jc w:val="center"/>
                    <w:rPr>
                      <w:rFonts w:hint="eastAsia"/>
                      <w:color w:val="auto"/>
                      <w:kern w:val="2"/>
                      <w:sz w:val="18"/>
                      <w:szCs w:val="18"/>
                      <w:lang w:val="en-US" w:eastAsia="zh-CN" w:bidi="ar-SA"/>
                    </w:rPr>
                  </w:pPr>
                  <w:r>
                    <w:rPr>
                      <w:rFonts w:hint="eastAsia"/>
                      <w:color w:val="auto"/>
                      <w:sz w:val="18"/>
                      <w:szCs w:val="18"/>
                    </w:rPr>
                    <w:t>本项目按要求落实信息公开制度。</w:t>
                  </w:r>
                </w:p>
              </w:tc>
              <w:tc>
                <w:tcPr>
                  <w:tcW w:w="463" w:type="pct"/>
                  <w:noWrap w:val="0"/>
                  <w:vAlign w:val="center"/>
                </w:tcPr>
                <w:p>
                  <w:pPr>
                    <w:adjustRightInd w:val="0"/>
                    <w:snapToGrid w:val="0"/>
                    <w:jc w:val="center"/>
                    <w:rPr>
                      <w:rFonts w:hint="eastAsia"/>
                      <w:b/>
                      <w:bCs/>
                      <w:color w:val="auto"/>
                      <w:sz w:val="18"/>
                      <w:szCs w:val="18"/>
                    </w:rPr>
                  </w:pPr>
                  <w:r>
                    <w:rPr>
                      <w:rFonts w:hint="eastAsia"/>
                      <w:color w:val="auto"/>
                      <w:sz w:val="18"/>
                      <w:szCs w:val="18"/>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385" w:type="pct"/>
                  <w:noWrap w:val="0"/>
                  <w:vAlign w:val="center"/>
                </w:tcPr>
                <w:p>
                  <w:pPr>
                    <w:adjustRightInd w:val="0"/>
                    <w:snapToGrid w:val="0"/>
                    <w:jc w:val="center"/>
                    <w:rPr>
                      <w:rFonts w:hint="eastAsia"/>
                      <w:b/>
                      <w:bCs/>
                      <w:color w:val="auto"/>
                      <w:sz w:val="18"/>
                      <w:szCs w:val="18"/>
                    </w:rPr>
                  </w:pPr>
                  <w:r>
                    <w:rPr>
                      <w:rFonts w:hint="eastAsia"/>
                      <w:color w:val="auto"/>
                      <w:sz w:val="18"/>
                      <w:szCs w:val="18"/>
                    </w:rPr>
                    <w:t>6</w:t>
                  </w:r>
                </w:p>
              </w:tc>
              <w:tc>
                <w:tcPr>
                  <w:tcW w:w="2840" w:type="pct"/>
                  <w:noWrap w:val="0"/>
                  <w:vAlign w:val="center"/>
                </w:tcPr>
                <w:p>
                  <w:pPr>
                    <w:adjustRightInd w:val="0"/>
                    <w:snapToGrid w:val="0"/>
                    <w:jc w:val="center"/>
                    <w:rPr>
                      <w:rFonts w:hint="eastAsia"/>
                      <w:color w:val="auto"/>
                      <w:kern w:val="2"/>
                      <w:sz w:val="18"/>
                      <w:szCs w:val="18"/>
                      <w:lang w:val="en-US" w:eastAsia="zh-CN" w:bidi="ar-SA"/>
                    </w:rPr>
                  </w:pPr>
                  <w:r>
                    <w:rPr>
                      <w:rFonts w:hint="eastAsia"/>
                      <w:color w:val="auto"/>
                      <w:sz w:val="18"/>
                      <w:szCs w:val="18"/>
                    </w:rPr>
                    <w:t>规范一般工业固废管理。企业需按照《一般工业固体废物管理台账制定指南（试行）》（生态环境部2021年第82号公告）要求，建立一般工业固废台账，污泥、矿渣等同时还需在固废管理信息系统申报，电子台账已有内容，不再另外制作纸质台账。各地要对辖区内一般工业固废利用处置需求和能力进行摸排，建立收运</w:t>
                  </w:r>
                  <w:r>
                    <w:rPr>
                      <w:rFonts w:hint="eastAsia"/>
                      <w:color w:val="auto"/>
                      <w:sz w:val="18"/>
                      <w:szCs w:val="18"/>
                      <w:lang w:eastAsia="zh-CN"/>
                    </w:rPr>
                    <w:t>处理</w:t>
                  </w:r>
                  <w:r>
                    <w:rPr>
                      <w:rFonts w:hint="eastAsia"/>
                      <w:color w:val="auto"/>
                      <w:sz w:val="18"/>
                      <w:szCs w:val="18"/>
                    </w:rPr>
                    <w:t>体系。一般工业固废用于矿山采坑回填和生态恢复的，参照《一般工业固体废物用于矿山采坑回填和生态恢复技术规范》（DB15/T2763-2022）执行。</w:t>
                  </w:r>
                </w:p>
              </w:tc>
              <w:tc>
                <w:tcPr>
                  <w:tcW w:w="1309" w:type="pct"/>
                  <w:noWrap w:val="0"/>
                  <w:vAlign w:val="center"/>
                </w:tcPr>
                <w:p>
                  <w:pPr>
                    <w:adjustRightInd w:val="0"/>
                    <w:snapToGrid w:val="0"/>
                    <w:jc w:val="center"/>
                    <w:rPr>
                      <w:rFonts w:hint="eastAsia"/>
                      <w:color w:val="auto"/>
                      <w:kern w:val="2"/>
                      <w:sz w:val="18"/>
                      <w:szCs w:val="18"/>
                      <w:lang w:val="en-US" w:eastAsia="zh-CN" w:bidi="ar-SA"/>
                    </w:rPr>
                  </w:pPr>
                  <w:r>
                    <w:rPr>
                      <w:rFonts w:hint="eastAsia"/>
                      <w:color w:val="auto"/>
                      <w:sz w:val="18"/>
                      <w:szCs w:val="18"/>
                    </w:rPr>
                    <w:t>本项目建成后按要求建立一般工业固废台账。</w:t>
                  </w:r>
                </w:p>
              </w:tc>
              <w:tc>
                <w:tcPr>
                  <w:tcW w:w="463" w:type="pct"/>
                  <w:noWrap w:val="0"/>
                  <w:vAlign w:val="center"/>
                </w:tcPr>
                <w:p>
                  <w:pPr>
                    <w:adjustRightInd w:val="0"/>
                    <w:snapToGrid w:val="0"/>
                    <w:jc w:val="center"/>
                    <w:rPr>
                      <w:rFonts w:hint="eastAsia"/>
                      <w:b/>
                      <w:bCs/>
                      <w:color w:val="auto"/>
                      <w:sz w:val="18"/>
                      <w:szCs w:val="18"/>
                    </w:rPr>
                  </w:pPr>
                  <w:r>
                    <w:rPr>
                      <w:rFonts w:hint="eastAsia"/>
                      <w:color w:val="auto"/>
                      <w:sz w:val="18"/>
                      <w:szCs w:val="18"/>
                    </w:rPr>
                    <w:t>符合</w:t>
                  </w:r>
                </w:p>
              </w:tc>
            </w:tr>
          </w:tbl>
          <w:p>
            <w:pPr>
              <w:adjustRightInd w:val="0"/>
              <w:snapToGrid w:val="0"/>
              <w:spacing w:line="500" w:lineRule="exact"/>
              <w:ind w:firstLine="422" w:firstLineChars="200"/>
              <w:rPr>
                <w:rFonts w:hint="eastAsia"/>
                <w:b/>
                <w:bCs/>
                <w:color w:val="auto"/>
                <w:szCs w:val="21"/>
              </w:rPr>
            </w:pPr>
            <w:r>
              <w:rPr>
                <w:rFonts w:hint="eastAsia"/>
                <w:b/>
                <w:color w:val="auto"/>
                <w:szCs w:val="21"/>
              </w:rPr>
              <w:t>固体废物</w:t>
            </w:r>
            <w:r>
              <w:rPr>
                <w:rFonts w:hint="eastAsia"/>
                <w:b/>
                <w:bCs/>
                <w:color w:val="auto"/>
                <w:szCs w:val="21"/>
              </w:rPr>
              <w:t>环境影响评价结论：</w:t>
            </w:r>
          </w:p>
          <w:p>
            <w:pPr>
              <w:adjustRightInd w:val="0"/>
              <w:snapToGrid w:val="0"/>
              <w:spacing w:line="500" w:lineRule="exact"/>
              <w:ind w:firstLine="420" w:firstLineChars="200"/>
              <w:rPr>
                <w:rFonts w:hint="eastAsia"/>
                <w:bCs/>
                <w:color w:val="auto"/>
                <w:szCs w:val="21"/>
              </w:rPr>
            </w:pPr>
            <w:r>
              <w:rPr>
                <w:rFonts w:hint="eastAsia"/>
                <w:bCs/>
                <w:color w:val="auto"/>
                <w:szCs w:val="21"/>
              </w:rPr>
              <w:t>综上所述，建设项目产生的固废经上述措施有效处置，对周边环境影响较小，固废处理措施是可行的。</w:t>
            </w:r>
          </w:p>
          <w:p>
            <w:pPr>
              <w:adjustRightInd w:val="0"/>
              <w:snapToGrid w:val="0"/>
              <w:spacing w:line="500" w:lineRule="exact"/>
              <w:ind w:firstLine="422" w:firstLineChars="200"/>
              <w:rPr>
                <w:rFonts w:hint="eastAsia"/>
                <w:b/>
                <w:color w:val="auto"/>
                <w:szCs w:val="21"/>
              </w:rPr>
            </w:pPr>
            <w:r>
              <w:rPr>
                <w:rFonts w:hint="eastAsia"/>
                <w:b/>
                <w:color w:val="auto"/>
                <w:szCs w:val="21"/>
              </w:rPr>
              <w:t>五、地下水和土壤</w:t>
            </w:r>
          </w:p>
          <w:p>
            <w:pPr>
              <w:adjustRightInd w:val="0"/>
              <w:snapToGrid w:val="0"/>
              <w:spacing w:line="500" w:lineRule="exact"/>
              <w:ind w:firstLine="420" w:firstLineChars="200"/>
              <w:rPr>
                <w:rFonts w:hint="eastAsia"/>
                <w:bCs/>
                <w:color w:val="auto"/>
                <w:szCs w:val="21"/>
              </w:rPr>
            </w:pPr>
            <w:r>
              <w:rPr>
                <w:rFonts w:hint="eastAsia"/>
                <w:bCs/>
                <w:color w:val="auto"/>
                <w:szCs w:val="21"/>
              </w:rPr>
              <w:t>1、地下水</w:t>
            </w:r>
          </w:p>
          <w:p>
            <w:pPr>
              <w:adjustRightInd w:val="0"/>
              <w:snapToGrid w:val="0"/>
              <w:spacing w:line="500" w:lineRule="exact"/>
              <w:ind w:firstLine="420" w:firstLineChars="200"/>
              <w:rPr>
                <w:rFonts w:hint="eastAsia"/>
                <w:bCs/>
                <w:color w:val="auto"/>
                <w:szCs w:val="21"/>
              </w:rPr>
            </w:pPr>
            <w:r>
              <w:rPr>
                <w:rFonts w:hint="eastAsia"/>
                <w:bCs/>
                <w:color w:val="auto"/>
                <w:szCs w:val="21"/>
              </w:rPr>
              <w:t>根据本项目的特性分析，项目地面已全部硬化</w:t>
            </w:r>
            <w:r>
              <w:rPr>
                <w:rFonts w:hint="eastAsia"/>
                <w:bCs/>
                <w:color w:val="auto"/>
                <w:szCs w:val="21"/>
                <w:lang w:eastAsia="zh-CN"/>
              </w:rPr>
              <w:t>，</w:t>
            </w:r>
            <w:r>
              <w:rPr>
                <w:rFonts w:hint="eastAsia"/>
                <w:color w:val="auto"/>
                <w:kern w:val="0"/>
                <w:szCs w:val="21"/>
                <w:lang w:val="en-US" w:eastAsia="zh-CN"/>
              </w:rPr>
              <w:t>危废暂存间、拼接区、喷漆房等重点区域已做防渗处理</w:t>
            </w:r>
            <w:r>
              <w:rPr>
                <w:rFonts w:hint="eastAsia"/>
                <w:bCs/>
                <w:color w:val="auto"/>
                <w:szCs w:val="21"/>
              </w:rPr>
              <w:t>，基本不存在地下水环境污染途径。</w:t>
            </w:r>
          </w:p>
          <w:p>
            <w:pPr>
              <w:adjustRightInd w:val="0"/>
              <w:snapToGrid w:val="0"/>
              <w:spacing w:line="500" w:lineRule="exact"/>
              <w:ind w:firstLine="420" w:firstLineChars="200"/>
              <w:rPr>
                <w:rFonts w:hint="eastAsia"/>
                <w:bCs/>
                <w:color w:val="auto"/>
                <w:szCs w:val="21"/>
              </w:rPr>
            </w:pPr>
            <w:r>
              <w:rPr>
                <w:rFonts w:hint="eastAsia"/>
                <w:bCs/>
                <w:color w:val="auto"/>
                <w:szCs w:val="21"/>
              </w:rPr>
              <w:t>正常情况下，地下水的污染主要是由于污染物迁移穿过包气带进入含水层造成。项目场地包气带主要为粉性素填土和粉土层，其渗透系数约为4.85</w:t>
            </w:r>
            <w:r>
              <w:rPr>
                <w:bCs/>
                <w:color w:val="auto"/>
                <w:szCs w:val="21"/>
              </w:rPr>
              <w:t>×</w:t>
            </w:r>
            <w:r>
              <w:rPr>
                <w:rFonts w:hint="eastAsia"/>
                <w:bCs/>
                <w:color w:val="auto"/>
                <w:szCs w:val="21"/>
              </w:rPr>
              <w:t>10</w:t>
            </w:r>
            <w:r>
              <w:rPr>
                <w:rFonts w:hint="eastAsia"/>
                <w:bCs/>
                <w:color w:val="auto"/>
                <w:szCs w:val="21"/>
                <w:vertAlign w:val="superscript"/>
              </w:rPr>
              <w:t>-5</w:t>
            </w:r>
            <w:r>
              <w:rPr>
                <w:rFonts w:hint="eastAsia"/>
                <w:bCs/>
                <w:color w:val="auto"/>
                <w:szCs w:val="21"/>
              </w:rPr>
              <w:t>cm/s，包气带防污性能为“中”，说明浅层地下水不易受到污染。若废水或废液发生渗漏，污染物不会很快穿过包气带进入浅层地下水，对浅层地下水的污染较小；通过水文地质条件分析，区内承压含水组顶板为分布比较稳定且厚度较大的粉质粘土及</w:t>
            </w:r>
            <w:r>
              <w:rPr>
                <w:rFonts w:hint="eastAsia"/>
                <w:bCs/>
                <w:color w:val="auto"/>
                <w:szCs w:val="21"/>
                <w:lang w:eastAsia="zh-CN"/>
              </w:rPr>
              <w:t>黏土</w:t>
            </w:r>
            <w:r>
              <w:rPr>
                <w:rFonts w:hint="eastAsia"/>
                <w:bCs/>
                <w:color w:val="auto"/>
                <w:szCs w:val="21"/>
              </w:rPr>
              <w:t>隔水层，所以垂直渗入补给条件较差，与浅层地下水水利联系不密切。因此，深层地下水受到项目下渗污水污染影响更小。由于地下水一旦受污染其发现和治理难度都非常</w:t>
            </w:r>
            <w:r>
              <w:rPr>
                <w:rFonts w:hint="eastAsia"/>
                <w:bCs/>
                <w:color w:val="auto"/>
                <w:szCs w:val="21"/>
                <w:lang w:eastAsia="zh-CN"/>
              </w:rPr>
              <w:t>大</w:t>
            </w:r>
            <w:r>
              <w:rPr>
                <w:rFonts w:hint="eastAsia"/>
                <w:bCs/>
                <w:color w:val="auto"/>
                <w:szCs w:val="21"/>
              </w:rPr>
              <w:t>，为了更好</w:t>
            </w:r>
            <w:r>
              <w:rPr>
                <w:rFonts w:hint="eastAsia"/>
                <w:bCs/>
                <w:color w:val="auto"/>
                <w:szCs w:val="21"/>
                <w:lang w:eastAsia="zh-CN"/>
              </w:rPr>
              <w:t>地</w:t>
            </w:r>
            <w:r>
              <w:rPr>
                <w:rFonts w:hint="eastAsia"/>
                <w:bCs/>
                <w:color w:val="auto"/>
                <w:szCs w:val="21"/>
              </w:rPr>
              <w:t>保护地下水资源，将项目对地下水的影响降至最低限度，建议采取以下相关措施：</w:t>
            </w:r>
          </w:p>
          <w:p>
            <w:pPr>
              <w:adjustRightInd w:val="0"/>
              <w:snapToGrid w:val="0"/>
              <w:spacing w:line="500" w:lineRule="exact"/>
              <w:ind w:firstLine="420" w:firstLineChars="200"/>
              <w:rPr>
                <w:rFonts w:hint="eastAsia"/>
                <w:bCs/>
                <w:color w:val="auto"/>
                <w:szCs w:val="21"/>
              </w:rPr>
            </w:pPr>
            <w:r>
              <w:rPr>
                <w:rFonts w:hint="eastAsia"/>
                <w:bCs/>
                <w:color w:val="auto"/>
                <w:szCs w:val="21"/>
              </w:rPr>
              <w:t>1）源头控制</w:t>
            </w:r>
          </w:p>
          <w:p>
            <w:pPr>
              <w:adjustRightInd w:val="0"/>
              <w:snapToGrid w:val="0"/>
              <w:spacing w:line="500" w:lineRule="exact"/>
              <w:ind w:firstLine="420" w:firstLineChars="200"/>
              <w:rPr>
                <w:rFonts w:hint="eastAsia"/>
                <w:bCs/>
                <w:color w:val="auto"/>
                <w:szCs w:val="21"/>
              </w:rPr>
            </w:pPr>
            <w:r>
              <w:rPr>
                <w:rFonts w:hint="eastAsia"/>
                <w:bCs/>
                <w:color w:val="auto"/>
                <w:szCs w:val="21"/>
              </w:rPr>
              <w:t>项目所有物料输送管道、废水收集管道等必须采取防渗措施，为了降低地下水污染控制难易程度，项目的正常生产排污水管道采用</w:t>
            </w:r>
            <w:r>
              <w:rPr>
                <w:rFonts w:hint="eastAsia"/>
                <w:bCs/>
                <w:color w:val="auto"/>
                <w:szCs w:val="21"/>
                <w:lang w:eastAsia="zh-CN"/>
              </w:rPr>
              <w:t>管沟敷设</w:t>
            </w:r>
            <w:r>
              <w:rPr>
                <w:rFonts w:hint="eastAsia"/>
                <w:bCs/>
                <w:color w:val="auto"/>
                <w:szCs w:val="21"/>
              </w:rPr>
              <w:t>，全部地上铺设，不设置地下管道，杜绝各类废水下渗的通道。管线接口处定期检查杜绝泄漏。</w:t>
            </w:r>
          </w:p>
          <w:p>
            <w:pPr>
              <w:adjustRightInd w:val="0"/>
              <w:snapToGrid w:val="0"/>
              <w:spacing w:line="500" w:lineRule="exact"/>
              <w:ind w:firstLine="420" w:firstLineChars="200"/>
              <w:rPr>
                <w:rFonts w:hint="eastAsia"/>
                <w:bCs/>
                <w:color w:val="auto"/>
                <w:szCs w:val="21"/>
              </w:rPr>
            </w:pPr>
            <w:r>
              <w:rPr>
                <w:rFonts w:hint="eastAsia"/>
                <w:bCs/>
                <w:color w:val="auto"/>
                <w:szCs w:val="21"/>
              </w:rPr>
              <w:t>2）末端控制</w:t>
            </w:r>
          </w:p>
          <w:p>
            <w:pPr>
              <w:adjustRightInd w:val="0"/>
              <w:snapToGrid w:val="0"/>
              <w:spacing w:line="500" w:lineRule="exact"/>
              <w:ind w:firstLine="420" w:firstLineChars="200"/>
              <w:rPr>
                <w:rFonts w:hint="eastAsia"/>
                <w:bCs/>
                <w:color w:val="auto"/>
                <w:szCs w:val="21"/>
              </w:rPr>
            </w:pPr>
            <w:r>
              <w:rPr>
                <w:rFonts w:hint="eastAsia"/>
                <w:bCs/>
                <w:color w:val="auto"/>
                <w:szCs w:val="21"/>
              </w:rPr>
              <w:t>末端控制措施主要包括厂内污染区地面的防渗措施和泄漏、渗漏污染物收集措施，即在污染区地面进行防渗处理，防止洒落地面的污染物渗入地下，并把滞留在地面的污染物收集起来，集中处理，从而避免对地下水的污染。结合项目各生产设备、管廊或管线、贮存、运输装置等因素，根据项目场地天然包气带防污性能、污染控制难易程度和污染物特性对厂区进行分区防控，厂区分区防渗区划见下表。</w:t>
            </w:r>
          </w:p>
          <w:p>
            <w:pPr>
              <w:adjustRightInd w:val="0"/>
              <w:snapToGrid w:val="0"/>
              <w:spacing w:line="500" w:lineRule="exact"/>
              <w:jc w:val="center"/>
              <w:rPr>
                <w:rFonts w:hint="eastAsia"/>
                <w:b/>
                <w:color w:val="auto"/>
                <w:szCs w:val="21"/>
              </w:rPr>
            </w:pPr>
            <w:r>
              <w:rPr>
                <w:rFonts w:hint="eastAsia"/>
                <w:b/>
                <w:color w:val="auto"/>
                <w:szCs w:val="21"/>
              </w:rPr>
              <w:t>表4-</w:t>
            </w:r>
            <w:r>
              <w:rPr>
                <w:rFonts w:hint="eastAsia"/>
                <w:b/>
                <w:color w:val="auto"/>
                <w:szCs w:val="21"/>
                <w:lang w:val="en-US" w:eastAsia="zh-CN"/>
              </w:rPr>
              <w:t>24</w:t>
            </w:r>
            <w:r>
              <w:rPr>
                <w:rFonts w:hint="eastAsia"/>
                <w:b/>
                <w:color w:val="auto"/>
                <w:szCs w:val="21"/>
                <w:lang w:eastAsia="zh-CN"/>
              </w:rPr>
              <w:t xml:space="preserve">  </w:t>
            </w:r>
            <w:r>
              <w:rPr>
                <w:rFonts w:hint="eastAsia"/>
                <w:b/>
                <w:color w:val="auto"/>
                <w:szCs w:val="21"/>
              </w:rPr>
              <w:t>全厂地下水污染防渗分区</w:t>
            </w:r>
          </w:p>
          <w:tbl>
            <w:tblPr>
              <w:tblStyle w:val="21"/>
              <w:tblW w:w="763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
            <w:tblGrid>
              <w:gridCol w:w="468"/>
              <w:gridCol w:w="1322"/>
              <w:gridCol w:w="1005"/>
              <w:gridCol w:w="1250"/>
              <w:gridCol w:w="1278"/>
              <w:gridCol w:w="935"/>
              <w:gridCol w:w="1378"/>
            </w:tblGrid>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715" w:hRule="atLeast"/>
                <w:jc w:val="center"/>
              </w:trPr>
              <w:tc>
                <w:tcPr>
                  <w:tcW w:w="46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sz w:val="18"/>
                      <w:szCs w:val="18"/>
                    </w:rPr>
                  </w:pPr>
                  <w:r>
                    <w:rPr>
                      <w:b/>
                      <w:bCs/>
                      <w:color w:val="auto"/>
                      <w:sz w:val="18"/>
                      <w:szCs w:val="18"/>
                    </w:rPr>
                    <w:t>序号</w:t>
                  </w:r>
                </w:p>
              </w:tc>
              <w:tc>
                <w:tcPr>
                  <w:tcW w:w="132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sz w:val="18"/>
                      <w:szCs w:val="18"/>
                    </w:rPr>
                  </w:pPr>
                  <w:r>
                    <w:rPr>
                      <w:b/>
                      <w:bCs/>
                      <w:color w:val="auto"/>
                      <w:sz w:val="18"/>
                      <w:szCs w:val="18"/>
                    </w:rPr>
                    <w:t>名称</w:t>
                  </w:r>
                </w:p>
              </w:tc>
              <w:tc>
                <w:tcPr>
                  <w:tcW w:w="10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sz w:val="18"/>
                      <w:szCs w:val="18"/>
                    </w:rPr>
                  </w:pPr>
                  <w:r>
                    <w:rPr>
                      <w:rFonts w:hint="eastAsia"/>
                      <w:b/>
                      <w:bCs/>
                      <w:color w:val="auto"/>
                      <w:sz w:val="18"/>
                      <w:szCs w:val="18"/>
                    </w:rPr>
                    <w:t>污染控制难易程度</w:t>
                  </w:r>
                </w:p>
              </w:tc>
              <w:tc>
                <w:tcPr>
                  <w:tcW w:w="125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sz w:val="18"/>
                      <w:szCs w:val="18"/>
                    </w:rPr>
                  </w:pPr>
                  <w:r>
                    <w:rPr>
                      <w:rFonts w:hint="eastAsia"/>
                      <w:b/>
                      <w:bCs/>
                      <w:color w:val="auto"/>
                      <w:sz w:val="18"/>
                      <w:szCs w:val="18"/>
                    </w:rPr>
                    <w:t>天然包气带防污性能分级</w:t>
                  </w:r>
                </w:p>
              </w:tc>
              <w:tc>
                <w:tcPr>
                  <w:tcW w:w="127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sz w:val="18"/>
                      <w:szCs w:val="18"/>
                    </w:rPr>
                  </w:pPr>
                  <w:r>
                    <w:rPr>
                      <w:rFonts w:hint="eastAsia"/>
                      <w:b/>
                      <w:bCs/>
                      <w:color w:val="auto"/>
                      <w:sz w:val="18"/>
                      <w:szCs w:val="18"/>
                    </w:rPr>
                    <w:t>污染物类型</w:t>
                  </w:r>
                </w:p>
              </w:tc>
              <w:tc>
                <w:tcPr>
                  <w:tcW w:w="93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sz w:val="18"/>
                      <w:szCs w:val="18"/>
                    </w:rPr>
                  </w:pPr>
                  <w:r>
                    <w:rPr>
                      <w:rFonts w:hint="eastAsia"/>
                      <w:b/>
                      <w:bCs/>
                      <w:color w:val="auto"/>
                      <w:sz w:val="18"/>
                      <w:szCs w:val="18"/>
                    </w:rPr>
                    <w:t>防渗分区</w:t>
                  </w:r>
                </w:p>
              </w:tc>
              <w:tc>
                <w:tcPr>
                  <w:tcW w:w="137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sz w:val="18"/>
                      <w:szCs w:val="18"/>
                    </w:rPr>
                  </w:pPr>
                  <w:r>
                    <w:rPr>
                      <w:rFonts w:hint="eastAsia"/>
                      <w:b/>
                      <w:bCs/>
                      <w:color w:val="auto"/>
                      <w:sz w:val="18"/>
                      <w:szCs w:val="18"/>
                    </w:rPr>
                    <w:t>防渗技术要求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54" w:hRule="atLeast"/>
                <w:jc w:val="center"/>
              </w:trPr>
              <w:tc>
                <w:tcPr>
                  <w:tcW w:w="46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18"/>
                      <w:szCs w:val="18"/>
                    </w:rPr>
                  </w:pPr>
                  <w:r>
                    <w:rPr>
                      <w:rFonts w:hint="eastAsia"/>
                      <w:color w:val="auto"/>
                      <w:sz w:val="18"/>
                      <w:szCs w:val="18"/>
                    </w:rPr>
                    <w:t>1</w:t>
                  </w:r>
                </w:p>
              </w:tc>
              <w:tc>
                <w:tcPr>
                  <w:tcW w:w="132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18"/>
                      <w:szCs w:val="18"/>
                      <w:lang w:val="en-US" w:eastAsia="zh-CN"/>
                    </w:rPr>
                  </w:pPr>
                  <w:r>
                    <w:rPr>
                      <w:rFonts w:hint="eastAsia"/>
                      <w:color w:val="auto"/>
                      <w:sz w:val="18"/>
                      <w:szCs w:val="18"/>
                      <w:lang w:val="en-US" w:eastAsia="zh-CN"/>
                    </w:rPr>
                    <w:t>危废暂存间</w:t>
                  </w:r>
                </w:p>
              </w:tc>
              <w:tc>
                <w:tcPr>
                  <w:tcW w:w="10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18"/>
                      <w:szCs w:val="18"/>
                    </w:rPr>
                  </w:pPr>
                  <w:r>
                    <w:rPr>
                      <w:rFonts w:hint="eastAsia"/>
                      <w:color w:val="auto"/>
                      <w:sz w:val="18"/>
                      <w:szCs w:val="18"/>
                    </w:rPr>
                    <w:t>难</w:t>
                  </w:r>
                </w:p>
              </w:tc>
              <w:tc>
                <w:tcPr>
                  <w:tcW w:w="125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18"/>
                      <w:szCs w:val="18"/>
                    </w:rPr>
                  </w:pPr>
                  <w:r>
                    <w:rPr>
                      <w:rFonts w:hint="eastAsia"/>
                      <w:color w:val="auto"/>
                      <w:sz w:val="18"/>
                      <w:szCs w:val="18"/>
                    </w:rPr>
                    <w:t>中</w:t>
                  </w:r>
                </w:p>
              </w:tc>
              <w:tc>
                <w:tcPr>
                  <w:tcW w:w="127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18"/>
                      <w:szCs w:val="18"/>
                    </w:rPr>
                  </w:pPr>
                  <w:r>
                    <w:rPr>
                      <w:rFonts w:hint="eastAsia"/>
                      <w:color w:val="auto"/>
                      <w:sz w:val="18"/>
                      <w:szCs w:val="18"/>
                    </w:rPr>
                    <w:t>持久性污染物</w:t>
                  </w:r>
                </w:p>
              </w:tc>
              <w:tc>
                <w:tcPr>
                  <w:tcW w:w="93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18"/>
                      <w:szCs w:val="18"/>
                    </w:rPr>
                  </w:pPr>
                  <w:r>
                    <w:rPr>
                      <w:rFonts w:hint="eastAsia"/>
                      <w:color w:val="auto"/>
                      <w:sz w:val="18"/>
                      <w:szCs w:val="18"/>
                    </w:rPr>
                    <w:t>重点</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18"/>
                      <w:szCs w:val="18"/>
                    </w:rPr>
                  </w:pPr>
                  <w:r>
                    <w:rPr>
                      <w:rFonts w:hint="eastAsia"/>
                      <w:color w:val="auto"/>
                      <w:sz w:val="18"/>
                      <w:szCs w:val="18"/>
                    </w:rPr>
                    <w:t>防渗区</w:t>
                  </w:r>
                </w:p>
              </w:tc>
              <w:tc>
                <w:tcPr>
                  <w:tcW w:w="137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sz w:val="18"/>
                      <w:szCs w:val="18"/>
                    </w:rPr>
                  </w:pPr>
                  <w:r>
                    <w:rPr>
                      <w:rFonts w:hint="eastAsia"/>
                      <w:color w:val="auto"/>
                      <w:sz w:val="18"/>
                      <w:szCs w:val="18"/>
                    </w:rPr>
                    <w:t>等效粘土防渗层Mb≥6.0m，K≤10</w:t>
                  </w:r>
                  <w:r>
                    <w:rPr>
                      <w:rFonts w:hint="eastAsia"/>
                      <w:color w:val="auto"/>
                      <w:sz w:val="18"/>
                      <w:szCs w:val="18"/>
                      <w:vertAlign w:val="superscript"/>
                    </w:rPr>
                    <w:t>-7</w:t>
                  </w:r>
                  <w:r>
                    <w:rPr>
                      <w:rFonts w:hint="eastAsia"/>
                      <w:color w:val="auto"/>
                      <w:sz w:val="18"/>
                      <w:szCs w:val="18"/>
                    </w:rPr>
                    <w:t>cm/s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54" w:hRule="atLeast"/>
                <w:jc w:val="center"/>
              </w:trPr>
              <w:tc>
                <w:tcPr>
                  <w:tcW w:w="46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18"/>
                      <w:szCs w:val="18"/>
                      <w:lang w:val="en-US" w:eastAsia="zh-CN"/>
                    </w:rPr>
                  </w:pPr>
                  <w:r>
                    <w:rPr>
                      <w:rFonts w:hint="eastAsia"/>
                      <w:color w:val="auto"/>
                      <w:sz w:val="18"/>
                      <w:szCs w:val="18"/>
                      <w:lang w:val="en-US" w:eastAsia="zh-CN"/>
                    </w:rPr>
                    <w:t>2</w:t>
                  </w:r>
                </w:p>
              </w:tc>
              <w:tc>
                <w:tcPr>
                  <w:tcW w:w="1322"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事故应急池</w:t>
                  </w:r>
                </w:p>
              </w:tc>
              <w:tc>
                <w:tcPr>
                  <w:tcW w:w="1005"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18"/>
                      <w:szCs w:val="18"/>
                      <w:lang w:val="en-US" w:eastAsia="zh-CN" w:bidi="ar-SA"/>
                    </w:rPr>
                  </w:pPr>
                  <w:r>
                    <w:rPr>
                      <w:rFonts w:hint="eastAsia"/>
                      <w:color w:val="auto"/>
                      <w:sz w:val="18"/>
                      <w:szCs w:val="18"/>
                    </w:rPr>
                    <w:t>难</w:t>
                  </w:r>
                </w:p>
              </w:tc>
              <w:tc>
                <w:tcPr>
                  <w:tcW w:w="1250"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18"/>
                      <w:szCs w:val="18"/>
                      <w:lang w:val="en-US" w:eastAsia="zh-CN" w:bidi="ar-SA"/>
                    </w:rPr>
                  </w:pPr>
                  <w:r>
                    <w:rPr>
                      <w:rFonts w:hint="eastAsia"/>
                      <w:color w:val="auto"/>
                      <w:sz w:val="18"/>
                      <w:szCs w:val="18"/>
                    </w:rPr>
                    <w:t>中</w:t>
                  </w:r>
                </w:p>
              </w:tc>
              <w:tc>
                <w:tcPr>
                  <w:tcW w:w="1278"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18"/>
                      <w:szCs w:val="18"/>
                      <w:lang w:val="en-US" w:eastAsia="zh-CN" w:bidi="ar-SA"/>
                    </w:rPr>
                  </w:pPr>
                  <w:r>
                    <w:rPr>
                      <w:rFonts w:hint="eastAsia"/>
                      <w:color w:val="auto"/>
                      <w:sz w:val="18"/>
                      <w:szCs w:val="18"/>
                    </w:rPr>
                    <w:t>持久性污染物</w:t>
                  </w:r>
                </w:p>
              </w:tc>
              <w:tc>
                <w:tcPr>
                  <w:tcW w:w="93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18"/>
                      <w:szCs w:val="18"/>
                    </w:rPr>
                  </w:pPr>
                </w:p>
              </w:tc>
              <w:tc>
                <w:tcPr>
                  <w:tcW w:w="137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54" w:hRule="atLeast"/>
                <w:jc w:val="center"/>
              </w:trPr>
              <w:tc>
                <w:tcPr>
                  <w:tcW w:w="46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kern w:val="2"/>
                      <w:sz w:val="18"/>
                      <w:szCs w:val="18"/>
                      <w:lang w:val="en-US" w:eastAsia="zh-CN" w:bidi="ar-SA"/>
                    </w:rPr>
                  </w:pPr>
                  <w:r>
                    <w:rPr>
                      <w:rFonts w:hint="eastAsia"/>
                      <w:color w:val="auto"/>
                      <w:kern w:val="2"/>
                      <w:sz w:val="18"/>
                      <w:szCs w:val="18"/>
                      <w:lang w:val="en-US" w:eastAsia="zh-CN" w:bidi="ar-SA"/>
                    </w:rPr>
                    <w:t>3</w:t>
                  </w:r>
                </w:p>
              </w:tc>
              <w:tc>
                <w:tcPr>
                  <w:tcW w:w="1322"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冷却池</w:t>
                  </w:r>
                </w:p>
              </w:tc>
              <w:tc>
                <w:tcPr>
                  <w:tcW w:w="1005"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18"/>
                      <w:szCs w:val="18"/>
                      <w:lang w:val="en-US" w:eastAsia="zh-CN" w:bidi="ar-SA"/>
                    </w:rPr>
                  </w:pPr>
                  <w:r>
                    <w:rPr>
                      <w:rFonts w:hint="eastAsia"/>
                      <w:color w:val="auto"/>
                      <w:sz w:val="18"/>
                      <w:szCs w:val="18"/>
                    </w:rPr>
                    <w:t>难</w:t>
                  </w:r>
                </w:p>
              </w:tc>
              <w:tc>
                <w:tcPr>
                  <w:tcW w:w="1250"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18"/>
                      <w:szCs w:val="18"/>
                      <w:lang w:val="en-US" w:eastAsia="zh-CN" w:bidi="ar-SA"/>
                    </w:rPr>
                  </w:pPr>
                  <w:r>
                    <w:rPr>
                      <w:rFonts w:hint="eastAsia"/>
                      <w:color w:val="auto"/>
                      <w:sz w:val="18"/>
                      <w:szCs w:val="18"/>
                    </w:rPr>
                    <w:t>中</w:t>
                  </w:r>
                </w:p>
              </w:tc>
              <w:tc>
                <w:tcPr>
                  <w:tcW w:w="1278"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18"/>
                      <w:szCs w:val="18"/>
                      <w:lang w:val="en-US" w:eastAsia="zh-CN" w:bidi="ar-SA"/>
                    </w:rPr>
                  </w:pPr>
                  <w:r>
                    <w:rPr>
                      <w:rFonts w:hint="eastAsia"/>
                      <w:color w:val="auto"/>
                      <w:sz w:val="18"/>
                      <w:szCs w:val="18"/>
                    </w:rPr>
                    <w:t>持久性污染物</w:t>
                  </w:r>
                </w:p>
              </w:tc>
              <w:tc>
                <w:tcPr>
                  <w:tcW w:w="93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18"/>
                      <w:szCs w:val="18"/>
                    </w:rPr>
                  </w:pPr>
                </w:p>
              </w:tc>
              <w:tc>
                <w:tcPr>
                  <w:tcW w:w="137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54" w:hRule="atLeast"/>
                <w:jc w:val="center"/>
              </w:trPr>
              <w:tc>
                <w:tcPr>
                  <w:tcW w:w="468"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18"/>
                      <w:szCs w:val="18"/>
                      <w:lang w:val="en-US" w:eastAsia="zh-CN" w:bidi="ar-SA"/>
                    </w:rPr>
                  </w:pPr>
                  <w:r>
                    <w:rPr>
                      <w:rFonts w:hint="eastAsia" w:eastAsia="宋体"/>
                      <w:color w:val="auto"/>
                      <w:kern w:val="2"/>
                      <w:sz w:val="18"/>
                      <w:szCs w:val="18"/>
                      <w:lang w:val="en-US" w:eastAsia="zh-CN" w:bidi="ar-SA"/>
                    </w:rPr>
                    <w:t>4</w:t>
                  </w:r>
                </w:p>
              </w:tc>
              <w:tc>
                <w:tcPr>
                  <w:tcW w:w="132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18"/>
                      <w:szCs w:val="18"/>
                    </w:rPr>
                  </w:pPr>
                  <w:r>
                    <w:rPr>
                      <w:rFonts w:hint="eastAsia"/>
                      <w:color w:val="auto"/>
                      <w:sz w:val="18"/>
                      <w:szCs w:val="18"/>
                    </w:rPr>
                    <w:t>一般固废堆场</w:t>
                  </w:r>
                </w:p>
              </w:tc>
              <w:tc>
                <w:tcPr>
                  <w:tcW w:w="10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18"/>
                      <w:szCs w:val="18"/>
                    </w:rPr>
                  </w:pPr>
                  <w:r>
                    <w:rPr>
                      <w:rFonts w:hint="eastAsia"/>
                      <w:color w:val="auto"/>
                      <w:sz w:val="18"/>
                      <w:szCs w:val="18"/>
                    </w:rPr>
                    <w:t>易</w:t>
                  </w:r>
                </w:p>
              </w:tc>
              <w:tc>
                <w:tcPr>
                  <w:tcW w:w="125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18"/>
                      <w:szCs w:val="18"/>
                    </w:rPr>
                  </w:pPr>
                  <w:r>
                    <w:rPr>
                      <w:rFonts w:hint="eastAsia"/>
                      <w:color w:val="auto"/>
                      <w:sz w:val="18"/>
                      <w:szCs w:val="18"/>
                    </w:rPr>
                    <w:t>中</w:t>
                  </w:r>
                </w:p>
              </w:tc>
              <w:tc>
                <w:tcPr>
                  <w:tcW w:w="127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18"/>
                      <w:szCs w:val="18"/>
                    </w:rPr>
                  </w:pPr>
                  <w:r>
                    <w:rPr>
                      <w:rFonts w:hint="eastAsia"/>
                      <w:color w:val="auto"/>
                      <w:sz w:val="18"/>
                      <w:szCs w:val="18"/>
                    </w:rPr>
                    <w:t>持久性污染物</w:t>
                  </w:r>
                </w:p>
              </w:tc>
              <w:tc>
                <w:tcPr>
                  <w:tcW w:w="93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18"/>
                      <w:szCs w:val="18"/>
                    </w:rPr>
                  </w:pPr>
                  <w:r>
                    <w:rPr>
                      <w:rFonts w:hint="eastAsia"/>
                      <w:color w:val="auto"/>
                      <w:sz w:val="18"/>
                      <w:szCs w:val="18"/>
                    </w:rPr>
                    <w:t>一般</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18"/>
                      <w:szCs w:val="18"/>
                    </w:rPr>
                  </w:pPr>
                  <w:r>
                    <w:rPr>
                      <w:rFonts w:hint="eastAsia"/>
                      <w:color w:val="auto"/>
                      <w:sz w:val="18"/>
                      <w:szCs w:val="18"/>
                    </w:rPr>
                    <w:t>防渗区</w:t>
                  </w:r>
                </w:p>
              </w:tc>
              <w:tc>
                <w:tcPr>
                  <w:tcW w:w="137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sz w:val="18"/>
                      <w:szCs w:val="18"/>
                    </w:rPr>
                  </w:pPr>
                  <w:r>
                    <w:rPr>
                      <w:rFonts w:hint="eastAsia"/>
                      <w:color w:val="auto"/>
                      <w:sz w:val="18"/>
                      <w:szCs w:val="18"/>
                    </w:rPr>
                    <w:t>等效粘土防渗层Mb≥1.5m，K≤10</w:t>
                  </w:r>
                  <w:r>
                    <w:rPr>
                      <w:rFonts w:hint="eastAsia"/>
                      <w:color w:val="auto"/>
                      <w:sz w:val="18"/>
                      <w:szCs w:val="18"/>
                      <w:vertAlign w:val="superscript"/>
                    </w:rPr>
                    <w:t>-7</w:t>
                  </w:r>
                  <w:r>
                    <w:rPr>
                      <w:rFonts w:hint="eastAsia"/>
                      <w:color w:val="auto"/>
                      <w:sz w:val="18"/>
                      <w:szCs w:val="18"/>
                    </w:rPr>
                    <w:t>cm/s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54" w:hRule="atLeast"/>
                <w:jc w:val="center"/>
              </w:trPr>
              <w:tc>
                <w:tcPr>
                  <w:tcW w:w="468"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18"/>
                      <w:szCs w:val="18"/>
                      <w:lang w:val="en-US" w:eastAsia="zh-CN" w:bidi="ar-SA"/>
                    </w:rPr>
                  </w:pPr>
                  <w:r>
                    <w:rPr>
                      <w:rFonts w:hint="eastAsia" w:eastAsia="宋体"/>
                      <w:color w:val="auto"/>
                      <w:kern w:val="2"/>
                      <w:sz w:val="18"/>
                      <w:szCs w:val="18"/>
                      <w:lang w:val="en-US" w:eastAsia="zh-CN" w:bidi="ar-SA"/>
                    </w:rPr>
                    <w:t>5</w:t>
                  </w:r>
                </w:p>
              </w:tc>
              <w:tc>
                <w:tcPr>
                  <w:tcW w:w="132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sz w:val="18"/>
                      <w:szCs w:val="18"/>
                      <w:lang w:eastAsia="zh-CN"/>
                    </w:rPr>
                  </w:pPr>
                  <w:r>
                    <w:rPr>
                      <w:rFonts w:hint="eastAsia"/>
                      <w:color w:val="auto"/>
                      <w:sz w:val="18"/>
                      <w:szCs w:val="18"/>
                    </w:rPr>
                    <w:t>生产</w:t>
                  </w:r>
                  <w:r>
                    <w:rPr>
                      <w:rFonts w:hint="eastAsia"/>
                      <w:color w:val="auto"/>
                      <w:sz w:val="18"/>
                      <w:szCs w:val="18"/>
                      <w:lang w:val="en-US" w:eastAsia="zh-CN"/>
                    </w:rPr>
                    <w:t>车间</w:t>
                  </w:r>
                </w:p>
              </w:tc>
              <w:tc>
                <w:tcPr>
                  <w:tcW w:w="10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18"/>
                      <w:szCs w:val="18"/>
                    </w:rPr>
                  </w:pPr>
                  <w:r>
                    <w:rPr>
                      <w:rFonts w:hint="eastAsia"/>
                      <w:color w:val="auto"/>
                      <w:sz w:val="18"/>
                      <w:szCs w:val="18"/>
                    </w:rPr>
                    <w:t>易</w:t>
                  </w:r>
                </w:p>
              </w:tc>
              <w:tc>
                <w:tcPr>
                  <w:tcW w:w="125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18"/>
                      <w:szCs w:val="18"/>
                    </w:rPr>
                  </w:pPr>
                  <w:r>
                    <w:rPr>
                      <w:rFonts w:hint="eastAsia"/>
                      <w:color w:val="auto"/>
                      <w:sz w:val="18"/>
                      <w:szCs w:val="18"/>
                    </w:rPr>
                    <w:t>中</w:t>
                  </w:r>
                </w:p>
              </w:tc>
              <w:tc>
                <w:tcPr>
                  <w:tcW w:w="127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18"/>
                      <w:szCs w:val="18"/>
                    </w:rPr>
                  </w:pPr>
                  <w:r>
                    <w:rPr>
                      <w:rFonts w:hint="eastAsia"/>
                      <w:color w:val="auto"/>
                      <w:sz w:val="18"/>
                      <w:szCs w:val="18"/>
                    </w:rPr>
                    <w:t>持久性污染物</w:t>
                  </w:r>
                </w:p>
              </w:tc>
              <w:tc>
                <w:tcPr>
                  <w:tcW w:w="93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18"/>
                      <w:szCs w:val="18"/>
                    </w:rPr>
                  </w:pPr>
                </w:p>
              </w:tc>
              <w:tc>
                <w:tcPr>
                  <w:tcW w:w="137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54" w:hRule="atLeast"/>
                <w:jc w:val="center"/>
              </w:trPr>
              <w:tc>
                <w:tcPr>
                  <w:tcW w:w="468"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18"/>
                      <w:szCs w:val="18"/>
                      <w:lang w:val="en-US" w:eastAsia="zh-CN" w:bidi="ar-SA"/>
                    </w:rPr>
                  </w:pPr>
                  <w:r>
                    <w:rPr>
                      <w:rFonts w:hint="eastAsia" w:eastAsia="宋体"/>
                      <w:color w:val="auto"/>
                      <w:kern w:val="2"/>
                      <w:sz w:val="18"/>
                      <w:szCs w:val="18"/>
                      <w:lang w:val="en-US" w:eastAsia="zh-CN" w:bidi="ar-SA"/>
                    </w:rPr>
                    <w:t>6</w:t>
                  </w:r>
                </w:p>
              </w:tc>
              <w:tc>
                <w:tcPr>
                  <w:tcW w:w="132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18"/>
                      <w:szCs w:val="18"/>
                    </w:rPr>
                  </w:pPr>
                  <w:r>
                    <w:rPr>
                      <w:color w:val="auto"/>
                      <w:sz w:val="18"/>
                      <w:szCs w:val="18"/>
                    </w:rPr>
                    <w:t>办公</w:t>
                  </w:r>
                  <w:r>
                    <w:rPr>
                      <w:rFonts w:hint="eastAsia"/>
                      <w:color w:val="auto"/>
                      <w:sz w:val="18"/>
                      <w:szCs w:val="18"/>
                    </w:rPr>
                    <w:t>室</w:t>
                  </w:r>
                </w:p>
              </w:tc>
              <w:tc>
                <w:tcPr>
                  <w:tcW w:w="10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18"/>
                      <w:szCs w:val="18"/>
                    </w:rPr>
                  </w:pPr>
                  <w:r>
                    <w:rPr>
                      <w:rFonts w:hint="eastAsia"/>
                      <w:color w:val="auto"/>
                      <w:sz w:val="18"/>
                      <w:szCs w:val="18"/>
                    </w:rPr>
                    <w:t>易</w:t>
                  </w:r>
                </w:p>
              </w:tc>
              <w:tc>
                <w:tcPr>
                  <w:tcW w:w="125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18"/>
                      <w:szCs w:val="18"/>
                    </w:rPr>
                  </w:pPr>
                  <w:r>
                    <w:rPr>
                      <w:rFonts w:hint="eastAsia"/>
                      <w:color w:val="auto"/>
                      <w:sz w:val="18"/>
                      <w:szCs w:val="18"/>
                    </w:rPr>
                    <w:t>中</w:t>
                  </w:r>
                </w:p>
              </w:tc>
              <w:tc>
                <w:tcPr>
                  <w:tcW w:w="127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18"/>
                      <w:szCs w:val="18"/>
                    </w:rPr>
                  </w:pPr>
                  <w:r>
                    <w:rPr>
                      <w:rFonts w:hint="eastAsia"/>
                      <w:color w:val="auto"/>
                      <w:sz w:val="18"/>
                      <w:szCs w:val="18"/>
                    </w:rPr>
                    <w:t>其他类型</w:t>
                  </w:r>
                </w:p>
              </w:tc>
              <w:tc>
                <w:tcPr>
                  <w:tcW w:w="93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18"/>
                      <w:szCs w:val="18"/>
                    </w:rPr>
                  </w:pPr>
                  <w:r>
                    <w:rPr>
                      <w:rFonts w:hint="eastAsia"/>
                      <w:color w:val="auto"/>
                      <w:sz w:val="18"/>
                      <w:szCs w:val="18"/>
                    </w:rPr>
                    <w:t>简单</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18"/>
                      <w:szCs w:val="18"/>
                    </w:rPr>
                  </w:pPr>
                  <w:r>
                    <w:rPr>
                      <w:rFonts w:hint="eastAsia"/>
                      <w:color w:val="auto"/>
                      <w:sz w:val="18"/>
                      <w:szCs w:val="18"/>
                    </w:rPr>
                    <w:t>防渗区</w:t>
                  </w:r>
                </w:p>
              </w:tc>
              <w:tc>
                <w:tcPr>
                  <w:tcW w:w="137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18"/>
                      <w:szCs w:val="18"/>
                    </w:rPr>
                  </w:pPr>
                  <w:r>
                    <w:rPr>
                      <w:rFonts w:hint="eastAsia"/>
                      <w:color w:val="auto"/>
                      <w:sz w:val="18"/>
                      <w:szCs w:val="18"/>
                    </w:rPr>
                    <w:t>一般地面硬化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54" w:hRule="atLeast"/>
                <w:jc w:val="center"/>
              </w:trPr>
              <w:tc>
                <w:tcPr>
                  <w:tcW w:w="468"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18"/>
                      <w:szCs w:val="18"/>
                      <w:lang w:val="en-US" w:eastAsia="zh-CN" w:bidi="ar-SA"/>
                    </w:rPr>
                  </w:pPr>
                  <w:r>
                    <w:rPr>
                      <w:rFonts w:hint="eastAsia" w:eastAsia="宋体"/>
                      <w:color w:val="auto"/>
                      <w:kern w:val="2"/>
                      <w:sz w:val="18"/>
                      <w:szCs w:val="18"/>
                      <w:lang w:val="en-US" w:eastAsia="zh-CN" w:bidi="ar-SA"/>
                    </w:rPr>
                    <w:t>7</w:t>
                  </w:r>
                </w:p>
              </w:tc>
              <w:tc>
                <w:tcPr>
                  <w:tcW w:w="132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18"/>
                      <w:szCs w:val="18"/>
                      <w:lang w:val="en-US" w:eastAsia="zh-CN"/>
                    </w:rPr>
                  </w:pPr>
                  <w:r>
                    <w:rPr>
                      <w:rFonts w:hint="eastAsia" w:eastAsia="宋体"/>
                      <w:color w:val="auto"/>
                      <w:sz w:val="18"/>
                      <w:szCs w:val="18"/>
                      <w:lang w:val="en-US" w:eastAsia="zh-CN"/>
                    </w:rPr>
                    <w:t>原料/成品仓库</w:t>
                  </w:r>
                </w:p>
              </w:tc>
              <w:tc>
                <w:tcPr>
                  <w:tcW w:w="10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18"/>
                      <w:szCs w:val="18"/>
                    </w:rPr>
                  </w:pPr>
                  <w:r>
                    <w:rPr>
                      <w:rFonts w:hint="eastAsia"/>
                      <w:color w:val="auto"/>
                      <w:sz w:val="18"/>
                      <w:szCs w:val="18"/>
                    </w:rPr>
                    <w:t>易</w:t>
                  </w:r>
                </w:p>
              </w:tc>
              <w:tc>
                <w:tcPr>
                  <w:tcW w:w="125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18"/>
                      <w:szCs w:val="18"/>
                    </w:rPr>
                  </w:pPr>
                  <w:r>
                    <w:rPr>
                      <w:rFonts w:hint="eastAsia"/>
                      <w:color w:val="auto"/>
                      <w:sz w:val="18"/>
                      <w:szCs w:val="18"/>
                    </w:rPr>
                    <w:t>中</w:t>
                  </w:r>
                </w:p>
              </w:tc>
              <w:tc>
                <w:tcPr>
                  <w:tcW w:w="127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18"/>
                      <w:szCs w:val="18"/>
                    </w:rPr>
                  </w:pPr>
                  <w:r>
                    <w:rPr>
                      <w:rFonts w:hint="eastAsia"/>
                      <w:color w:val="auto"/>
                      <w:sz w:val="18"/>
                      <w:szCs w:val="18"/>
                    </w:rPr>
                    <w:t>其他类型</w:t>
                  </w:r>
                </w:p>
              </w:tc>
              <w:tc>
                <w:tcPr>
                  <w:tcW w:w="93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18"/>
                      <w:szCs w:val="18"/>
                    </w:rPr>
                  </w:pPr>
                </w:p>
              </w:tc>
              <w:tc>
                <w:tcPr>
                  <w:tcW w:w="137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18"/>
                      <w:szCs w:val="18"/>
                    </w:rPr>
                  </w:pPr>
                </w:p>
              </w:tc>
            </w:tr>
          </w:tbl>
          <w:p>
            <w:pPr>
              <w:adjustRightInd w:val="0"/>
              <w:snapToGrid w:val="0"/>
              <w:spacing w:line="500" w:lineRule="exact"/>
              <w:ind w:firstLine="420" w:firstLineChars="200"/>
              <w:rPr>
                <w:rFonts w:hint="eastAsia"/>
                <w:bCs/>
                <w:color w:val="auto"/>
                <w:szCs w:val="21"/>
              </w:rPr>
            </w:pPr>
            <w:r>
              <w:rPr>
                <w:rFonts w:hint="eastAsia"/>
                <w:bCs/>
                <w:color w:val="auto"/>
                <w:szCs w:val="21"/>
              </w:rPr>
              <w:t>3）地下水污染监控</w:t>
            </w:r>
          </w:p>
          <w:p>
            <w:pPr>
              <w:adjustRightInd w:val="0"/>
              <w:snapToGrid w:val="0"/>
              <w:spacing w:line="500" w:lineRule="exact"/>
              <w:ind w:firstLine="420" w:firstLineChars="200"/>
              <w:rPr>
                <w:rFonts w:hint="default"/>
                <w:bCs/>
                <w:color w:val="auto"/>
                <w:szCs w:val="21"/>
                <w:lang w:val="en-US" w:eastAsia="zh-CN"/>
              </w:rPr>
            </w:pPr>
            <w:r>
              <w:rPr>
                <w:rFonts w:hint="default" w:eastAsia="宋体"/>
                <w:color w:val="auto"/>
                <w:sz w:val="21"/>
                <w:szCs w:val="21"/>
                <w:lang w:val="en-US" w:eastAsia="zh-CN"/>
              </w:rPr>
              <w:t>对照《工业企业</w:t>
            </w:r>
            <w:r>
              <w:rPr>
                <w:rFonts w:hint="eastAsia"/>
                <w:color w:val="auto"/>
                <w:sz w:val="21"/>
                <w:szCs w:val="21"/>
                <w:lang w:val="en-US" w:eastAsia="zh-CN"/>
              </w:rPr>
              <w:t>土壤</w:t>
            </w:r>
            <w:r>
              <w:rPr>
                <w:rFonts w:hint="default" w:eastAsia="宋体"/>
                <w:color w:val="auto"/>
                <w:sz w:val="21"/>
                <w:szCs w:val="21"/>
                <w:lang w:val="en-US" w:eastAsia="zh-CN"/>
              </w:rPr>
              <w:t>和地下水自行监测技术指</w:t>
            </w:r>
            <w:r>
              <w:rPr>
                <w:rFonts w:hint="default" w:ascii="Times New Roman" w:hAnsi="Times New Roman" w:eastAsia="宋体" w:cs="Times New Roman"/>
                <w:color w:val="auto"/>
                <w:sz w:val="21"/>
                <w:szCs w:val="21"/>
                <w:lang w:val="en-US" w:eastAsia="zh-CN"/>
              </w:rPr>
              <w:t>南》（HJ 1209-2021）</w:t>
            </w:r>
            <w:r>
              <w:rPr>
                <w:rFonts w:hint="eastAsia" w:ascii="Times New Roman" w:hAnsi="Times New Roman" w:eastAsia="宋体" w:cs="Times New Roman"/>
                <w:color w:val="auto"/>
                <w:sz w:val="21"/>
                <w:szCs w:val="21"/>
                <w:lang w:val="en-US" w:eastAsia="zh-CN"/>
              </w:rPr>
              <w:t>，</w:t>
            </w:r>
            <w:r>
              <w:rPr>
                <w:rFonts w:hint="eastAsia" w:eastAsia="宋体"/>
                <w:color w:val="auto"/>
                <w:sz w:val="21"/>
                <w:szCs w:val="21"/>
                <w:highlight w:val="none"/>
                <w:lang w:val="en-US" w:eastAsia="zh-CN"/>
              </w:rPr>
              <w:t>本项</w:t>
            </w:r>
            <w:r>
              <w:rPr>
                <w:rFonts w:hint="eastAsia" w:ascii="Times New Roman" w:hAnsi="Times New Roman" w:cs="Times New Roman"/>
                <w:color w:val="auto"/>
                <w:sz w:val="21"/>
                <w:szCs w:val="21"/>
                <w:highlight w:val="none"/>
                <w:lang w:val="en-US" w:eastAsia="zh-CN"/>
              </w:rPr>
              <w:t>目不涉及有毒有害物质排放，</w:t>
            </w:r>
            <w:r>
              <w:rPr>
                <w:rFonts w:hint="eastAsia" w:cs="Times New Roman"/>
                <w:color w:val="auto"/>
                <w:sz w:val="21"/>
                <w:szCs w:val="21"/>
                <w:highlight w:val="none"/>
                <w:lang w:val="en-US" w:eastAsia="zh-CN"/>
              </w:rPr>
              <w:t>冷却池</w:t>
            </w:r>
            <w:r>
              <w:rPr>
                <w:rFonts w:hint="eastAsia" w:ascii="Times New Roman" w:hAnsi="Times New Roman" w:cs="Times New Roman"/>
                <w:color w:val="auto"/>
                <w:sz w:val="21"/>
                <w:szCs w:val="21"/>
                <w:highlight w:val="none"/>
                <w:lang w:val="en-US" w:eastAsia="zh-CN"/>
              </w:rPr>
              <w:t>等均已</w:t>
            </w:r>
            <w:r>
              <w:rPr>
                <w:rFonts w:hint="eastAsia"/>
                <w:bCs/>
                <w:color w:val="auto"/>
                <w:szCs w:val="21"/>
                <w:highlight w:val="none"/>
                <w:lang w:val="en-US" w:eastAsia="zh-CN"/>
              </w:rPr>
              <w:t>防</w:t>
            </w:r>
            <w:r>
              <w:rPr>
                <w:rFonts w:hint="eastAsia"/>
                <w:bCs/>
                <w:color w:val="auto"/>
                <w:szCs w:val="21"/>
                <w:lang w:val="en-US" w:eastAsia="zh-CN"/>
              </w:rPr>
              <w:t>渗处理，不存在地下水污染，因此无需监测，日常做好设施的维护即可。</w:t>
            </w:r>
          </w:p>
          <w:p>
            <w:pPr>
              <w:adjustRightInd w:val="0"/>
              <w:snapToGrid w:val="0"/>
              <w:spacing w:line="500" w:lineRule="exact"/>
              <w:ind w:firstLine="420" w:firstLineChars="200"/>
              <w:rPr>
                <w:rFonts w:hint="eastAsia"/>
                <w:bCs/>
                <w:color w:val="auto"/>
                <w:szCs w:val="21"/>
              </w:rPr>
            </w:pPr>
            <w:r>
              <w:rPr>
                <w:rFonts w:hint="eastAsia"/>
                <w:bCs/>
                <w:color w:val="auto"/>
                <w:szCs w:val="21"/>
              </w:rPr>
              <w:t>2、土壤</w:t>
            </w:r>
          </w:p>
          <w:p>
            <w:pPr>
              <w:adjustRightInd w:val="0"/>
              <w:snapToGrid w:val="0"/>
              <w:spacing w:line="500" w:lineRule="exact"/>
              <w:ind w:firstLine="420" w:firstLineChars="200"/>
              <w:rPr>
                <w:rFonts w:hint="eastAsia"/>
                <w:bCs/>
                <w:color w:val="auto"/>
                <w:szCs w:val="21"/>
              </w:rPr>
            </w:pPr>
            <w:r>
              <w:rPr>
                <w:rFonts w:hint="eastAsia"/>
                <w:bCs/>
                <w:color w:val="auto"/>
                <w:szCs w:val="21"/>
              </w:rPr>
              <w:t>根据本项目的特性分析，项目地面已全部硬化，基本不存在土壤环境污染途径，为确保项目不会对土壤环境造成污染，建设单位应采取以下污染防治措施：</w:t>
            </w:r>
          </w:p>
          <w:p>
            <w:pPr>
              <w:adjustRightInd w:val="0"/>
              <w:snapToGrid w:val="0"/>
              <w:spacing w:line="500" w:lineRule="exact"/>
              <w:ind w:firstLine="420" w:firstLineChars="200"/>
              <w:rPr>
                <w:rFonts w:hint="eastAsia"/>
                <w:bCs/>
                <w:color w:val="auto"/>
                <w:szCs w:val="21"/>
              </w:rPr>
            </w:pPr>
            <w:r>
              <w:rPr>
                <w:rFonts w:hint="eastAsia"/>
                <w:bCs/>
                <w:color w:val="auto"/>
                <w:szCs w:val="21"/>
              </w:rPr>
              <w:t>1）加强环保管理，确保污染物达标排放。全厂固废分类收集，储存期间严格按照相应储存要求，设置专用的储存场所，在固废的收集运输等过程，注意防止洒落并及时清扫。固废储存期间，尽可能采用专用桶盛放，密闭包装。</w:t>
            </w:r>
          </w:p>
          <w:p>
            <w:pPr>
              <w:adjustRightInd w:val="0"/>
              <w:snapToGrid w:val="0"/>
              <w:spacing w:line="500" w:lineRule="exact"/>
              <w:ind w:firstLine="420" w:firstLineChars="200"/>
              <w:rPr>
                <w:rFonts w:hint="eastAsia"/>
                <w:bCs/>
                <w:color w:val="auto"/>
                <w:szCs w:val="21"/>
              </w:rPr>
            </w:pPr>
            <w:r>
              <w:rPr>
                <w:rFonts w:hint="eastAsia"/>
                <w:bCs/>
                <w:color w:val="auto"/>
                <w:szCs w:val="21"/>
              </w:rPr>
              <w:t>2）项目固废储存场所等均应做好防渗措施，通过设置围堰、地面硬化等措施，控制污水下渗，减少土壤污染。</w:t>
            </w:r>
          </w:p>
          <w:p>
            <w:pPr>
              <w:adjustRightInd w:val="0"/>
              <w:snapToGrid w:val="0"/>
              <w:spacing w:line="500" w:lineRule="exact"/>
              <w:ind w:firstLine="420" w:firstLineChars="200"/>
              <w:rPr>
                <w:rFonts w:hint="eastAsia"/>
                <w:bCs/>
                <w:color w:val="auto"/>
                <w:szCs w:val="21"/>
              </w:rPr>
            </w:pPr>
            <w:r>
              <w:rPr>
                <w:rFonts w:hint="eastAsia"/>
                <w:bCs/>
                <w:color w:val="auto"/>
                <w:szCs w:val="21"/>
              </w:rPr>
              <w:t>另外，建设方应建立土壤污染监测系统，加强土壤环境质量的调查、监测与监控，对重点防治地区定期进行采样监测，观测土壤污染的动态变化规律，以区域土壤背景值为参照，分析判断土壤污染程度，必要时应进行土壤污染治理，可采用生物修复、施用化学土壤改良剂、调控土壤氧化还原条件、深翻土或换无污染客土等方法进行治理。</w:t>
            </w:r>
          </w:p>
          <w:p>
            <w:pPr>
              <w:adjustRightInd w:val="0"/>
              <w:snapToGrid w:val="0"/>
              <w:spacing w:line="500" w:lineRule="exact"/>
              <w:ind w:firstLine="422" w:firstLineChars="200"/>
              <w:rPr>
                <w:rFonts w:hint="eastAsia"/>
                <w:b/>
                <w:color w:val="auto"/>
                <w:szCs w:val="21"/>
              </w:rPr>
            </w:pPr>
            <w:r>
              <w:rPr>
                <w:rFonts w:hint="eastAsia"/>
                <w:b/>
                <w:color w:val="auto"/>
                <w:szCs w:val="21"/>
              </w:rPr>
              <w:t>六、生态</w:t>
            </w:r>
          </w:p>
          <w:p>
            <w:pPr>
              <w:adjustRightInd w:val="0"/>
              <w:snapToGrid w:val="0"/>
              <w:spacing w:line="500" w:lineRule="exact"/>
              <w:ind w:firstLine="420" w:firstLineChars="200"/>
              <w:rPr>
                <w:rFonts w:hint="eastAsia"/>
                <w:bCs/>
                <w:color w:val="auto"/>
                <w:szCs w:val="21"/>
              </w:rPr>
            </w:pPr>
            <w:r>
              <w:rPr>
                <w:rFonts w:hint="eastAsia"/>
                <w:bCs/>
                <w:color w:val="auto"/>
                <w:szCs w:val="21"/>
              </w:rPr>
              <w:t>项目周围无自然保护区及文物古迹等特殊保护对象。项目占地比较平缓，水土流失比较小，因而对生态造成影响较小，项目产生的污染物经有效处理后，对生态造成的影响较小。</w:t>
            </w:r>
          </w:p>
          <w:p>
            <w:pPr>
              <w:adjustRightInd w:val="0"/>
              <w:snapToGrid w:val="0"/>
              <w:spacing w:line="500" w:lineRule="exact"/>
              <w:ind w:firstLine="422" w:firstLineChars="200"/>
              <w:rPr>
                <w:rFonts w:hint="eastAsia"/>
                <w:b/>
                <w:color w:val="auto"/>
                <w:szCs w:val="21"/>
              </w:rPr>
            </w:pPr>
            <w:r>
              <w:rPr>
                <w:rFonts w:hint="eastAsia"/>
                <w:b/>
                <w:color w:val="auto"/>
                <w:szCs w:val="21"/>
              </w:rPr>
              <w:t>七、环境风险</w:t>
            </w:r>
          </w:p>
          <w:p>
            <w:pPr>
              <w:adjustRightInd w:val="0"/>
              <w:snapToGrid w:val="0"/>
              <w:spacing w:line="500" w:lineRule="exact"/>
              <w:ind w:firstLine="420" w:firstLineChars="200"/>
              <w:rPr>
                <w:rFonts w:hint="eastAsia"/>
                <w:bCs/>
                <w:color w:val="auto"/>
                <w:szCs w:val="21"/>
              </w:rPr>
            </w:pPr>
            <w:r>
              <w:rPr>
                <w:rFonts w:hint="eastAsia"/>
                <w:bCs/>
                <w:color w:val="auto"/>
                <w:szCs w:val="21"/>
              </w:rPr>
              <w:t>1、环境风险识别</w:t>
            </w:r>
          </w:p>
          <w:p>
            <w:pPr>
              <w:adjustRightInd w:val="0"/>
              <w:snapToGrid w:val="0"/>
              <w:spacing w:line="500" w:lineRule="exact"/>
              <w:ind w:firstLine="420" w:firstLineChars="200"/>
              <w:rPr>
                <w:bCs/>
                <w:color w:val="auto"/>
                <w:szCs w:val="21"/>
              </w:rPr>
            </w:pPr>
            <w:r>
              <w:rPr>
                <w:rFonts w:hint="eastAsia"/>
                <w:bCs/>
                <w:color w:val="auto"/>
                <w:szCs w:val="21"/>
              </w:rPr>
              <w:t>环境风险识别主要包括物质危险性识别、生产系统危险性识别、危险物质向环境转移的途径识别。</w:t>
            </w:r>
          </w:p>
          <w:p>
            <w:pPr>
              <w:adjustRightInd w:val="0"/>
              <w:snapToGrid w:val="0"/>
              <w:spacing w:line="500" w:lineRule="exact"/>
              <w:ind w:firstLine="420" w:firstLineChars="200"/>
              <w:rPr>
                <w:rFonts w:hint="eastAsia"/>
                <w:bCs/>
                <w:color w:val="auto"/>
                <w:szCs w:val="21"/>
              </w:rPr>
            </w:pPr>
            <w:r>
              <w:rPr>
                <w:rFonts w:hint="eastAsia"/>
                <w:bCs/>
                <w:color w:val="auto"/>
                <w:szCs w:val="21"/>
              </w:rPr>
              <w:t>1）物质危险性识别</w:t>
            </w:r>
          </w:p>
          <w:p>
            <w:pPr>
              <w:adjustRightInd w:val="0"/>
              <w:snapToGrid w:val="0"/>
              <w:spacing w:line="500" w:lineRule="exact"/>
              <w:ind w:firstLine="420" w:firstLineChars="200"/>
              <w:rPr>
                <w:rFonts w:hint="eastAsia"/>
                <w:bCs/>
                <w:color w:val="auto"/>
                <w:szCs w:val="21"/>
              </w:rPr>
            </w:pPr>
            <w:r>
              <w:rPr>
                <w:rFonts w:hint="eastAsia"/>
                <w:bCs/>
                <w:color w:val="auto"/>
                <w:szCs w:val="21"/>
              </w:rPr>
              <w:t>对照《建设项目环境风险评价技术导则》（HJ169-2018）、《企业突发环境事件风险分级方法》（HJ941-2018）、《危险化学品名录》（2015年版）、《危险化学品重大危险源辨识》（GB18218-2018），</w:t>
            </w:r>
            <w:r>
              <w:rPr>
                <w:rFonts w:hint="eastAsia"/>
                <w:bCs/>
                <w:color w:val="auto"/>
                <w:szCs w:val="21"/>
                <w:lang w:eastAsia="zh-CN"/>
              </w:rPr>
              <w:t>全厂</w:t>
            </w:r>
            <w:r>
              <w:rPr>
                <w:rFonts w:hint="eastAsia"/>
                <w:bCs/>
                <w:color w:val="auto"/>
                <w:szCs w:val="21"/>
              </w:rPr>
              <w:t>涉及的危险物质如下：</w:t>
            </w:r>
          </w:p>
          <w:p>
            <w:pPr>
              <w:adjustRightInd w:val="0"/>
              <w:snapToGrid w:val="0"/>
              <w:spacing w:line="500" w:lineRule="exact"/>
              <w:jc w:val="center"/>
              <w:rPr>
                <w:rFonts w:hint="eastAsia"/>
                <w:b/>
                <w:color w:val="auto"/>
                <w:szCs w:val="21"/>
              </w:rPr>
            </w:pPr>
            <w:r>
              <w:rPr>
                <w:rFonts w:hint="eastAsia"/>
                <w:b/>
                <w:color w:val="auto"/>
                <w:szCs w:val="21"/>
              </w:rPr>
              <w:t>表4-</w:t>
            </w:r>
            <w:r>
              <w:rPr>
                <w:rFonts w:hint="eastAsia"/>
                <w:b/>
                <w:color w:val="auto"/>
                <w:szCs w:val="21"/>
                <w:lang w:val="en-US" w:eastAsia="zh-CN"/>
              </w:rPr>
              <w:t>25</w:t>
            </w:r>
            <w:r>
              <w:rPr>
                <w:rFonts w:hint="eastAsia"/>
                <w:b/>
                <w:color w:val="auto"/>
                <w:szCs w:val="21"/>
                <w:lang w:eastAsia="zh-CN"/>
              </w:rPr>
              <w:t xml:space="preserve">  </w:t>
            </w:r>
            <w:r>
              <w:rPr>
                <w:rFonts w:hint="eastAsia"/>
                <w:b/>
                <w:color w:val="auto"/>
                <w:szCs w:val="21"/>
              </w:rPr>
              <w:t>危险物质使用量及临界量</w:t>
            </w:r>
          </w:p>
          <w:tbl>
            <w:tblPr>
              <w:tblStyle w:val="21"/>
              <w:tblW w:w="751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95"/>
              <w:gridCol w:w="1248"/>
              <w:gridCol w:w="1103"/>
              <w:gridCol w:w="1104"/>
              <w:gridCol w:w="958"/>
              <w:gridCol w:w="1046"/>
              <w:gridCol w:w="14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595" w:type="dxa"/>
                  <w:vMerge w:val="restart"/>
                  <w:noWrap w:val="0"/>
                  <w:vAlign w:val="center"/>
                </w:tcPr>
                <w:p>
                  <w:pPr>
                    <w:jc w:val="center"/>
                    <w:rPr>
                      <w:b/>
                      <w:bCs/>
                      <w:color w:val="auto"/>
                      <w:sz w:val="18"/>
                      <w:szCs w:val="18"/>
                      <w:highlight w:val="none"/>
                    </w:rPr>
                  </w:pPr>
                  <w:r>
                    <w:rPr>
                      <w:rFonts w:hint="eastAsia"/>
                      <w:b/>
                      <w:bCs/>
                      <w:color w:val="auto"/>
                      <w:sz w:val="18"/>
                      <w:szCs w:val="18"/>
                      <w:highlight w:val="none"/>
                    </w:rPr>
                    <w:t>序号</w:t>
                  </w:r>
                </w:p>
              </w:tc>
              <w:tc>
                <w:tcPr>
                  <w:tcW w:w="1248" w:type="dxa"/>
                  <w:vMerge w:val="restart"/>
                  <w:noWrap w:val="0"/>
                  <w:vAlign w:val="center"/>
                </w:tcPr>
                <w:p>
                  <w:pPr>
                    <w:jc w:val="center"/>
                    <w:rPr>
                      <w:b/>
                      <w:bCs/>
                      <w:color w:val="auto"/>
                      <w:sz w:val="18"/>
                      <w:szCs w:val="18"/>
                      <w:highlight w:val="none"/>
                    </w:rPr>
                  </w:pPr>
                  <w:r>
                    <w:rPr>
                      <w:b/>
                      <w:bCs/>
                      <w:color w:val="auto"/>
                      <w:sz w:val="18"/>
                      <w:szCs w:val="18"/>
                      <w:highlight w:val="none"/>
                    </w:rPr>
                    <w:t>物质名称</w:t>
                  </w:r>
                </w:p>
              </w:tc>
              <w:tc>
                <w:tcPr>
                  <w:tcW w:w="2207" w:type="dxa"/>
                  <w:gridSpan w:val="2"/>
                  <w:noWrap w:val="0"/>
                  <w:vAlign w:val="center"/>
                </w:tcPr>
                <w:p>
                  <w:pPr>
                    <w:jc w:val="center"/>
                    <w:rPr>
                      <w:b/>
                      <w:bCs/>
                      <w:color w:val="auto"/>
                      <w:sz w:val="18"/>
                      <w:szCs w:val="18"/>
                      <w:highlight w:val="none"/>
                    </w:rPr>
                  </w:pPr>
                  <w:r>
                    <w:rPr>
                      <w:b/>
                      <w:bCs/>
                      <w:color w:val="auto"/>
                      <w:sz w:val="18"/>
                      <w:szCs w:val="18"/>
                      <w:highlight w:val="none"/>
                    </w:rPr>
                    <w:t>最大贮存量（</w:t>
                  </w:r>
                  <w:r>
                    <w:rPr>
                      <w:rFonts w:hint="eastAsia"/>
                      <w:b/>
                      <w:bCs/>
                      <w:color w:val="auto"/>
                      <w:sz w:val="18"/>
                      <w:szCs w:val="18"/>
                      <w:highlight w:val="none"/>
                      <w:lang w:val="en-US" w:eastAsia="zh-CN"/>
                    </w:rPr>
                    <w:t>t</w:t>
                  </w:r>
                  <w:r>
                    <w:rPr>
                      <w:b/>
                      <w:bCs/>
                      <w:color w:val="auto"/>
                      <w:sz w:val="18"/>
                      <w:szCs w:val="18"/>
                      <w:highlight w:val="none"/>
                    </w:rPr>
                    <w:t>）</w:t>
                  </w:r>
                </w:p>
              </w:tc>
              <w:tc>
                <w:tcPr>
                  <w:tcW w:w="958" w:type="dxa"/>
                  <w:vMerge w:val="restart"/>
                  <w:noWrap w:val="0"/>
                  <w:vAlign w:val="center"/>
                </w:tcPr>
                <w:p>
                  <w:pPr>
                    <w:jc w:val="center"/>
                    <w:rPr>
                      <w:b/>
                      <w:bCs/>
                      <w:color w:val="auto"/>
                      <w:sz w:val="18"/>
                      <w:szCs w:val="18"/>
                      <w:highlight w:val="none"/>
                    </w:rPr>
                  </w:pPr>
                  <w:r>
                    <w:rPr>
                      <w:b/>
                      <w:bCs/>
                      <w:color w:val="auto"/>
                      <w:sz w:val="18"/>
                      <w:szCs w:val="18"/>
                      <w:highlight w:val="none"/>
                    </w:rPr>
                    <w:t>临界量</w:t>
                  </w:r>
                </w:p>
                <w:p>
                  <w:pPr>
                    <w:jc w:val="center"/>
                    <w:rPr>
                      <w:b/>
                      <w:bCs/>
                      <w:color w:val="auto"/>
                      <w:sz w:val="18"/>
                      <w:szCs w:val="18"/>
                      <w:highlight w:val="none"/>
                    </w:rPr>
                  </w:pPr>
                  <w:r>
                    <w:rPr>
                      <w:b/>
                      <w:bCs/>
                      <w:color w:val="auto"/>
                      <w:sz w:val="18"/>
                      <w:szCs w:val="18"/>
                      <w:highlight w:val="none"/>
                    </w:rPr>
                    <w:t>（</w:t>
                  </w:r>
                  <w:r>
                    <w:rPr>
                      <w:rFonts w:hint="eastAsia"/>
                      <w:b/>
                      <w:bCs/>
                      <w:color w:val="auto"/>
                      <w:sz w:val="18"/>
                      <w:szCs w:val="18"/>
                      <w:highlight w:val="none"/>
                    </w:rPr>
                    <w:t>Q</w:t>
                  </w:r>
                  <w:r>
                    <w:rPr>
                      <w:rFonts w:hint="eastAsia"/>
                      <w:b/>
                      <w:bCs/>
                      <w:color w:val="auto"/>
                      <w:sz w:val="18"/>
                      <w:szCs w:val="18"/>
                      <w:highlight w:val="none"/>
                      <w:vertAlign w:val="subscript"/>
                    </w:rPr>
                    <w:t>n</w:t>
                  </w:r>
                  <w:r>
                    <w:rPr>
                      <w:rFonts w:hint="eastAsia"/>
                      <w:b/>
                      <w:bCs/>
                      <w:color w:val="auto"/>
                      <w:sz w:val="18"/>
                      <w:szCs w:val="18"/>
                      <w:highlight w:val="none"/>
                    </w:rPr>
                    <w:t>/t</w:t>
                  </w:r>
                  <w:r>
                    <w:rPr>
                      <w:b/>
                      <w:bCs/>
                      <w:color w:val="auto"/>
                      <w:sz w:val="18"/>
                      <w:szCs w:val="18"/>
                      <w:highlight w:val="none"/>
                    </w:rPr>
                    <w:t>）</w:t>
                  </w:r>
                </w:p>
              </w:tc>
              <w:tc>
                <w:tcPr>
                  <w:tcW w:w="1046" w:type="dxa"/>
                  <w:vMerge w:val="restart"/>
                  <w:noWrap w:val="0"/>
                  <w:vAlign w:val="center"/>
                </w:tcPr>
                <w:p>
                  <w:pPr>
                    <w:jc w:val="center"/>
                    <w:rPr>
                      <w:b/>
                      <w:bCs/>
                      <w:color w:val="auto"/>
                      <w:sz w:val="18"/>
                      <w:szCs w:val="18"/>
                      <w:highlight w:val="none"/>
                    </w:rPr>
                  </w:pPr>
                  <w:r>
                    <w:rPr>
                      <w:rFonts w:hint="eastAsia"/>
                      <w:b/>
                      <w:bCs/>
                      <w:color w:val="auto"/>
                      <w:sz w:val="18"/>
                      <w:szCs w:val="18"/>
                      <w:highlight w:val="none"/>
                    </w:rPr>
                    <w:t>Q值</w:t>
                  </w:r>
                </w:p>
              </w:tc>
              <w:tc>
                <w:tcPr>
                  <w:tcW w:w="1463" w:type="dxa"/>
                  <w:vMerge w:val="restart"/>
                  <w:noWrap w:val="0"/>
                  <w:vAlign w:val="center"/>
                </w:tcPr>
                <w:p>
                  <w:pPr>
                    <w:jc w:val="center"/>
                    <w:rPr>
                      <w:b/>
                      <w:bCs/>
                      <w:color w:val="auto"/>
                      <w:sz w:val="18"/>
                      <w:szCs w:val="18"/>
                      <w:highlight w:val="none"/>
                    </w:rPr>
                  </w:pPr>
                  <w:r>
                    <w:rPr>
                      <w:b/>
                      <w:bCs/>
                      <w:color w:val="auto"/>
                      <w:sz w:val="18"/>
                      <w:szCs w:val="18"/>
                      <w:highlight w:val="none"/>
                    </w:rPr>
                    <w:t>贮存位置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595" w:type="dxa"/>
                  <w:vMerge w:val="continue"/>
                  <w:noWrap w:val="0"/>
                  <w:vAlign w:val="center"/>
                </w:tcPr>
                <w:p>
                  <w:pPr>
                    <w:jc w:val="center"/>
                    <w:rPr>
                      <w:rFonts w:hint="eastAsia"/>
                      <w:color w:val="auto"/>
                      <w:sz w:val="18"/>
                      <w:szCs w:val="18"/>
                      <w:highlight w:val="yellow"/>
                    </w:rPr>
                  </w:pPr>
                </w:p>
              </w:tc>
              <w:tc>
                <w:tcPr>
                  <w:tcW w:w="1248" w:type="dxa"/>
                  <w:vMerge w:val="continue"/>
                  <w:noWrap w:val="0"/>
                  <w:vAlign w:val="center"/>
                </w:tcPr>
                <w:p>
                  <w:pPr>
                    <w:jc w:val="center"/>
                    <w:rPr>
                      <w:rFonts w:hint="eastAsia" w:ascii="Times New Roman" w:hAnsi="Times New Roman" w:eastAsia="宋体" w:cs="Times New Roman"/>
                      <w:color w:val="auto"/>
                      <w:sz w:val="18"/>
                      <w:szCs w:val="18"/>
                      <w:highlight w:val="yellow"/>
                      <w:lang w:val="en-US" w:eastAsia="zh-CN"/>
                    </w:rPr>
                  </w:pPr>
                </w:p>
              </w:tc>
              <w:tc>
                <w:tcPr>
                  <w:tcW w:w="1103" w:type="dxa"/>
                  <w:noWrap w:val="0"/>
                  <w:vAlign w:val="center"/>
                </w:tcPr>
                <w:p>
                  <w:pPr>
                    <w:jc w:val="center"/>
                    <w:rPr>
                      <w:rFonts w:hint="eastAsia"/>
                      <w:b/>
                      <w:bCs/>
                      <w:color w:val="auto"/>
                      <w:sz w:val="18"/>
                      <w:szCs w:val="18"/>
                      <w:highlight w:val="none"/>
                      <w:lang w:val="en-US" w:eastAsia="zh-CN"/>
                    </w:rPr>
                  </w:pPr>
                  <w:r>
                    <w:rPr>
                      <w:b/>
                      <w:bCs/>
                      <w:color w:val="auto"/>
                      <w:sz w:val="18"/>
                      <w:szCs w:val="18"/>
                      <w:highlight w:val="none"/>
                    </w:rPr>
                    <w:t>贮存量</w:t>
                  </w:r>
                </w:p>
              </w:tc>
              <w:tc>
                <w:tcPr>
                  <w:tcW w:w="1104" w:type="dxa"/>
                  <w:noWrap w:val="0"/>
                  <w:vAlign w:val="center"/>
                </w:tcPr>
                <w:p>
                  <w:pPr>
                    <w:jc w:val="center"/>
                    <w:rPr>
                      <w:rFonts w:hint="default"/>
                      <w:b/>
                      <w:bCs/>
                      <w:color w:val="auto"/>
                      <w:sz w:val="18"/>
                      <w:szCs w:val="18"/>
                      <w:highlight w:val="none"/>
                      <w:lang w:val="en-US" w:eastAsia="zh-CN"/>
                    </w:rPr>
                  </w:pPr>
                  <w:r>
                    <w:rPr>
                      <w:rFonts w:hint="eastAsia"/>
                      <w:b/>
                      <w:bCs/>
                      <w:color w:val="auto"/>
                      <w:sz w:val="18"/>
                      <w:szCs w:val="18"/>
                      <w:highlight w:val="none"/>
                      <w:lang w:val="en-US" w:eastAsia="zh-CN"/>
                    </w:rPr>
                    <w:t>折纯量</w:t>
                  </w:r>
                </w:p>
              </w:tc>
              <w:tc>
                <w:tcPr>
                  <w:tcW w:w="958" w:type="dxa"/>
                  <w:vMerge w:val="continue"/>
                  <w:noWrap w:val="0"/>
                  <w:vAlign w:val="center"/>
                </w:tcPr>
                <w:p>
                  <w:pPr>
                    <w:jc w:val="center"/>
                    <w:rPr>
                      <w:rFonts w:hint="eastAsia"/>
                      <w:color w:val="auto"/>
                      <w:sz w:val="18"/>
                      <w:szCs w:val="18"/>
                      <w:highlight w:val="yellow"/>
                    </w:rPr>
                  </w:pPr>
                </w:p>
              </w:tc>
              <w:tc>
                <w:tcPr>
                  <w:tcW w:w="1046" w:type="dxa"/>
                  <w:vMerge w:val="continue"/>
                  <w:noWrap w:val="0"/>
                  <w:vAlign w:val="center"/>
                </w:tcPr>
                <w:p>
                  <w:pPr>
                    <w:jc w:val="center"/>
                    <w:rPr>
                      <w:rFonts w:hint="eastAsia"/>
                      <w:color w:val="auto"/>
                      <w:sz w:val="18"/>
                      <w:szCs w:val="18"/>
                      <w:highlight w:val="yellow"/>
                      <w:lang w:val="en-US" w:eastAsia="zh-CN"/>
                    </w:rPr>
                  </w:pPr>
                </w:p>
              </w:tc>
              <w:tc>
                <w:tcPr>
                  <w:tcW w:w="1463" w:type="dxa"/>
                  <w:vMerge w:val="continue"/>
                  <w:noWrap w:val="0"/>
                  <w:vAlign w:val="center"/>
                </w:tcPr>
                <w:p>
                  <w:pPr>
                    <w:jc w:val="center"/>
                    <w:rPr>
                      <w:rFonts w:hint="eastAsia"/>
                      <w:color w:val="auto"/>
                      <w:sz w:val="18"/>
                      <w:szCs w:val="18"/>
                      <w:highlight w:val="yellow"/>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595" w:type="dxa"/>
                  <w:noWrap w:val="0"/>
                  <w:vAlign w:val="center"/>
                </w:tcPr>
                <w:p>
                  <w:pPr>
                    <w:jc w:val="center"/>
                    <w:rPr>
                      <w:rFonts w:hint="eastAsia"/>
                      <w:color w:val="auto"/>
                      <w:kern w:val="2"/>
                      <w:sz w:val="18"/>
                      <w:szCs w:val="18"/>
                      <w:highlight w:val="none"/>
                      <w:lang w:val="en-US" w:eastAsia="zh-CN" w:bidi="ar-SA"/>
                    </w:rPr>
                  </w:pPr>
                  <w:r>
                    <w:rPr>
                      <w:rFonts w:hint="eastAsia"/>
                      <w:color w:val="auto"/>
                      <w:sz w:val="18"/>
                      <w:szCs w:val="18"/>
                      <w:highlight w:val="none"/>
                      <w:lang w:val="en-US" w:eastAsia="zh-CN"/>
                    </w:rPr>
                    <w:t>1</w:t>
                  </w:r>
                </w:p>
              </w:tc>
              <w:tc>
                <w:tcPr>
                  <w:tcW w:w="1248"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eastAsia="zh-CN"/>
                    </w:rPr>
                    <w:t>天然气</w:t>
                  </w:r>
                </w:p>
              </w:tc>
              <w:tc>
                <w:tcPr>
                  <w:tcW w:w="11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bCs/>
                      <w:color w:val="auto"/>
                      <w:sz w:val="18"/>
                      <w:szCs w:val="18"/>
                      <w:lang w:val="en-US" w:eastAsia="zh-CN"/>
                    </w:rPr>
                    <w:t>0.0006</w:t>
                  </w:r>
                </w:p>
              </w:tc>
              <w:tc>
                <w:tcPr>
                  <w:tcW w:w="110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bCs/>
                      <w:color w:val="auto"/>
                      <w:sz w:val="18"/>
                      <w:szCs w:val="18"/>
                      <w:lang w:val="en-US" w:eastAsia="zh-CN"/>
                    </w:rPr>
                    <w:t>0.0006</w:t>
                  </w:r>
                </w:p>
              </w:tc>
              <w:tc>
                <w:tcPr>
                  <w:tcW w:w="958" w:type="dxa"/>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50</w:t>
                  </w:r>
                </w:p>
              </w:tc>
              <w:tc>
                <w:tcPr>
                  <w:tcW w:w="1046" w:type="dxa"/>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0.000</w:t>
                  </w:r>
                  <w:r>
                    <w:rPr>
                      <w:rFonts w:hint="eastAsia" w:cs="Times New Roman"/>
                      <w:color w:val="auto"/>
                      <w:sz w:val="18"/>
                      <w:szCs w:val="18"/>
                      <w:highlight w:val="none"/>
                      <w:lang w:val="en-US" w:eastAsia="zh-CN"/>
                    </w:rPr>
                    <w:t>012</w:t>
                  </w:r>
                </w:p>
              </w:tc>
              <w:tc>
                <w:tcPr>
                  <w:tcW w:w="1463" w:type="dxa"/>
                  <w:noWrap w:val="0"/>
                  <w:vAlign w:val="center"/>
                </w:tcPr>
                <w:p>
                  <w:pPr>
                    <w:jc w:val="center"/>
                    <w:rPr>
                      <w:rFonts w:hint="default" w:eastAsia="宋体"/>
                      <w:color w:val="auto"/>
                      <w:sz w:val="18"/>
                      <w:szCs w:val="18"/>
                      <w:highlight w:val="none"/>
                      <w:lang w:val="en-US" w:eastAsia="zh-CN"/>
                    </w:rPr>
                  </w:pPr>
                  <w:r>
                    <w:rPr>
                      <w:rFonts w:hint="eastAsia" w:eastAsia="宋体"/>
                      <w:color w:val="auto"/>
                      <w:sz w:val="18"/>
                      <w:szCs w:val="18"/>
                      <w:lang w:val="en-US" w:eastAsia="zh-CN"/>
                    </w:rPr>
                    <w:t>天然气管道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595" w:type="dxa"/>
                  <w:noWrap w:val="0"/>
                  <w:vAlign w:val="center"/>
                </w:tcPr>
                <w:p>
                  <w:pPr>
                    <w:jc w:val="center"/>
                    <w:rPr>
                      <w:rFonts w:hint="eastAsia"/>
                      <w:color w:val="auto"/>
                      <w:kern w:val="2"/>
                      <w:sz w:val="18"/>
                      <w:szCs w:val="18"/>
                      <w:highlight w:val="none"/>
                      <w:lang w:val="en-US" w:eastAsia="zh-CN" w:bidi="ar-SA"/>
                    </w:rPr>
                  </w:pPr>
                  <w:r>
                    <w:rPr>
                      <w:rFonts w:hint="eastAsia"/>
                      <w:color w:val="auto"/>
                      <w:sz w:val="18"/>
                      <w:szCs w:val="18"/>
                      <w:highlight w:val="none"/>
                      <w:lang w:val="en-US" w:eastAsia="zh-CN"/>
                    </w:rPr>
                    <w:t>2</w:t>
                  </w:r>
                </w:p>
              </w:tc>
              <w:tc>
                <w:tcPr>
                  <w:tcW w:w="1248"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sz w:val="18"/>
                      <w:szCs w:val="18"/>
                      <w:lang w:eastAsia="zh-CN"/>
                    </w:rPr>
                    <w:t>丙烷</w:t>
                  </w:r>
                </w:p>
              </w:tc>
              <w:tc>
                <w:tcPr>
                  <w:tcW w:w="1103" w:type="dxa"/>
                  <w:noWrap w:val="0"/>
                  <w:vAlign w:val="center"/>
                </w:tcPr>
                <w:p>
                  <w:pPr>
                    <w:pStyle w:val="7"/>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cs="Times New Roman"/>
                      <w:color w:val="auto"/>
                      <w:sz w:val="18"/>
                      <w:szCs w:val="18"/>
                      <w:vertAlign w:val="baseline"/>
                      <w:lang w:val="en-US" w:eastAsia="zh-CN"/>
                    </w:rPr>
                    <w:t>0.5</w:t>
                  </w:r>
                </w:p>
              </w:tc>
              <w:tc>
                <w:tcPr>
                  <w:tcW w:w="1104" w:type="dxa"/>
                  <w:noWrap w:val="0"/>
                  <w:vAlign w:val="center"/>
                </w:tcPr>
                <w:p>
                  <w:pPr>
                    <w:pStyle w:val="7"/>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cs="Times New Roman"/>
                      <w:color w:val="auto"/>
                      <w:sz w:val="18"/>
                      <w:szCs w:val="18"/>
                      <w:vertAlign w:val="baseline"/>
                      <w:lang w:val="en-US" w:eastAsia="zh-CN"/>
                    </w:rPr>
                    <w:t>0.5</w:t>
                  </w:r>
                </w:p>
              </w:tc>
              <w:tc>
                <w:tcPr>
                  <w:tcW w:w="958" w:type="dxa"/>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10</w:t>
                  </w:r>
                </w:p>
              </w:tc>
              <w:tc>
                <w:tcPr>
                  <w:tcW w:w="1046" w:type="dxa"/>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0.05</w:t>
                  </w:r>
                </w:p>
              </w:tc>
              <w:tc>
                <w:tcPr>
                  <w:tcW w:w="1463" w:type="dxa"/>
                  <w:vMerge w:val="restart"/>
                  <w:noWrap w:val="0"/>
                  <w:vAlign w:val="center"/>
                </w:tcPr>
                <w:p>
                  <w:pPr>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气瓶间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595" w:type="dxa"/>
                  <w:shd w:val="clear" w:color="auto" w:fill="auto"/>
                  <w:noWrap w:val="0"/>
                  <w:vAlign w:val="center"/>
                </w:tcPr>
                <w:p>
                  <w:pPr>
                    <w:jc w:val="center"/>
                    <w:rPr>
                      <w:rFonts w:hint="eastAsia"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val="en-US" w:eastAsia="zh-CN"/>
                    </w:rPr>
                    <w:t>3</w:t>
                  </w:r>
                </w:p>
              </w:tc>
              <w:tc>
                <w:tcPr>
                  <w:tcW w:w="1248"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18"/>
                      <w:szCs w:val="18"/>
                      <w:lang w:eastAsia="zh-CN"/>
                    </w:rPr>
                  </w:pPr>
                  <w:r>
                    <w:rPr>
                      <w:rFonts w:hint="eastAsia" w:cs="Times New Roman"/>
                      <w:color w:val="auto"/>
                      <w:sz w:val="18"/>
                      <w:szCs w:val="18"/>
                      <w:lang w:eastAsia="zh-CN"/>
                    </w:rPr>
                    <w:t>氧</w:t>
                  </w:r>
                </w:p>
              </w:tc>
              <w:tc>
                <w:tcPr>
                  <w:tcW w:w="1103" w:type="dxa"/>
                  <w:noWrap w:val="0"/>
                  <w:vAlign w:val="center"/>
                </w:tcPr>
                <w:p>
                  <w:pPr>
                    <w:pStyle w:val="7"/>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vertAlign w:val="baseline"/>
                      <w:lang w:val="en-US" w:eastAsia="zh-CN"/>
                    </w:rPr>
                  </w:pPr>
                  <w:r>
                    <w:rPr>
                      <w:rFonts w:hint="eastAsia" w:ascii="Times New Roman" w:hAnsi="Times New Roman" w:cs="Times New Roman"/>
                      <w:color w:val="auto"/>
                      <w:sz w:val="18"/>
                      <w:szCs w:val="18"/>
                      <w:vertAlign w:val="baseline"/>
                      <w:lang w:val="en-US" w:eastAsia="zh-CN"/>
                    </w:rPr>
                    <w:t>0.0075</w:t>
                  </w:r>
                </w:p>
              </w:tc>
              <w:tc>
                <w:tcPr>
                  <w:tcW w:w="1104" w:type="dxa"/>
                  <w:noWrap w:val="0"/>
                  <w:vAlign w:val="center"/>
                </w:tcPr>
                <w:p>
                  <w:pPr>
                    <w:pStyle w:val="7"/>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Times New Roman" w:hAnsi="Times New Roman" w:cs="Times New Roman"/>
                      <w:color w:val="auto"/>
                      <w:sz w:val="18"/>
                      <w:szCs w:val="18"/>
                      <w:vertAlign w:val="baseline"/>
                      <w:lang w:val="en-US" w:eastAsia="zh-CN"/>
                    </w:rPr>
                  </w:pPr>
                  <w:r>
                    <w:rPr>
                      <w:rFonts w:hint="eastAsia" w:ascii="Times New Roman" w:hAnsi="Times New Roman" w:cs="Times New Roman"/>
                      <w:color w:val="auto"/>
                      <w:sz w:val="18"/>
                      <w:szCs w:val="18"/>
                      <w:vertAlign w:val="baseline"/>
                      <w:lang w:val="en-US" w:eastAsia="zh-CN"/>
                    </w:rPr>
                    <w:t>0.0075</w:t>
                  </w:r>
                </w:p>
              </w:tc>
              <w:tc>
                <w:tcPr>
                  <w:tcW w:w="958" w:type="dxa"/>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200</w:t>
                  </w:r>
                </w:p>
              </w:tc>
              <w:tc>
                <w:tcPr>
                  <w:tcW w:w="1046" w:type="dxa"/>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0.0000375</w:t>
                  </w:r>
                </w:p>
              </w:tc>
              <w:tc>
                <w:tcPr>
                  <w:tcW w:w="1463" w:type="dxa"/>
                  <w:vMerge w:val="continue"/>
                  <w:noWrap w:val="0"/>
                  <w:vAlign w:val="center"/>
                </w:tcPr>
                <w:p>
                  <w:pPr>
                    <w:jc w:val="center"/>
                    <w:rPr>
                      <w:rFonts w:hint="eastAsia" w:eastAsia="宋体"/>
                      <w:color w:val="auto"/>
                      <w:sz w:val="18"/>
                      <w:szCs w:val="18"/>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595" w:type="dxa"/>
                  <w:shd w:val="clear" w:color="auto" w:fill="auto"/>
                  <w:noWrap w:val="0"/>
                  <w:vAlign w:val="center"/>
                </w:tcPr>
                <w:p>
                  <w:pPr>
                    <w:jc w:val="center"/>
                    <w:rPr>
                      <w:rFonts w:hint="default"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val="en-US" w:eastAsia="zh-CN"/>
                    </w:rPr>
                    <w:t>4</w:t>
                  </w:r>
                </w:p>
              </w:tc>
              <w:tc>
                <w:tcPr>
                  <w:tcW w:w="1248"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sz w:val="18"/>
                      <w:szCs w:val="18"/>
                      <w:lang w:eastAsia="zh-CN"/>
                    </w:rPr>
                    <w:t>切削液</w:t>
                  </w:r>
                </w:p>
              </w:tc>
              <w:tc>
                <w:tcPr>
                  <w:tcW w:w="1103" w:type="dxa"/>
                  <w:noWrap w:val="0"/>
                  <w:vAlign w:val="center"/>
                </w:tcPr>
                <w:p>
                  <w:pPr>
                    <w:pStyle w:val="7"/>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cs="Times New Roman"/>
                      <w:color w:val="auto"/>
                      <w:kern w:val="0"/>
                      <w:sz w:val="18"/>
                      <w:szCs w:val="18"/>
                      <w:highlight w:val="none"/>
                      <w:lang w:val="en-US" w:eastAsia="zh-CN"/>
                    </w:rPr>
                  </w:pPr>
                  <w:r>
                    <w:rPr>
                      <w:rFonts w:hint="eastAsia" w:ascii="Times New Roman" w:hAnsi="Times New Roman" w:cs="Times New Roman"/>
                      <w:color w:val="auto"/>
                      <w:sz w:val="18"/>
                      <w:szCs w:val="18"/>
                      <w:vertAlign w:val="baseline"/>
                      <w:lang w:val="en-US" w:eastAsia="zh-CN"/>
                    </w:rPr>
                    <w:t>0.05</w:t>
                  </w:r>
                </w:p>
              </w:tc>
              <w:tc>
                <w:tcPr>
                  <w:tcW w:w="1104" w:type="dxa"/>
                  <w:noWrap w:val="0"/>
                  <w:vAlign w:val="center"/>
                </w:tcPr>
                <w:p>
                  <w:pPr>
                    <w:pStyle w:val="7"/>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cs="Times New Roman"/>
                      <w:color w:val="auto"/>
                      <w:kern w:val="0"/>
                      <w:sz w:val="18"/>
                      <w:szCs w:val="18"/>
                      <w:highlight w:val="none"/>
                      <w:lang w:val="en-US" w:eastAsia="zh-CN"/>
                    </w:rPr>
                  </w:pPr>
                  <w:r>
                    <w:rPr>
                      <w:rFonts w:hint="eastAsia" w:ascii="Times New Roman" w:hAnsi="Times New Roman" w:cs="Times New Roman"/>
                      <w:color w:val="auto"/>
                      <w:sz w:val="18"/>
                      <w:szCs w:val="18"/>
                      <w:vertAlign w:val="baseline"/>
                      <w:lang w:val="en-US" w:eastAsia="zh-CN"/>
                    </w:rPr>
                    <w:t>0.05</w:t>
                  </w:r>
                </w:p>
              </w:tc>
              <w:tc>
                <w:tcPr>
                  <w:tcW w:w="958" w:type="dxa"/>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2500</w:t>
                  </w:r>
                </w:p>
              </w:tc>
              <w:tc>
                <w:tcPr>
                  <w:tcW w:w="1046" w:type="dxa"/>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0.00002</w:t>
                  </w:r>
                </w:p>
              </w:tc>
              <w:tc>
                <w:tcPr>
                  <w:tcW w:w="1463" w:type="dxa"/>
                  <w:vMerge w:val="restart"/>
                  <w:noWrap w:val="0"/>
                  <w:vAlign w:val="center"/>
                </w:tcPr>
                <w:p>
                  <w:pPr>
                    <w:jc w:val="center"/>
                    <w:rPr>
                      <w:rFonts w:hint="eastAsia" w:eastAsia="宋体"/>
                      <w:color w:val="auto"/>
                      <w:sz w:val="18"/>
                      <w:szCs w:val="18"/>
                      <w:highlight w:val="none"/>
                      <w:lang w:val="en-US" w:eastAsia="zh-CN"/>
                    </w:rPr>
                  </w:pPr>
                  <w:r>
                    <w:rPr>
                      <w:rFonts w:hint="eastAsia" w:eastAsia="宋体"/>
                      <w:color w:val="auto"/>
                      <w:sz w:val="18"/>
                      <w:szCs w:val="18"/>
                      <w:highlight w:val="none"/>
                      <w:lang w:val="en-US" w:eastAsia="zh-CN"/>
                    </w:rPr>
                    <w:t>生产车间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595" w:type="dxa"/>
                  <w:shd w:val="clear" w:color="auto" w:fill="auto"/>
                  <w:noWrap w:val="0"/>
                  <w:vAlign w:val="center"/>
                </w:tcPr>
                <w:p>
                  <w:pPr>
                    <w:jc w:val="center"/>
                    <w:rPr>
                      <w:rFonts w:hint="eastAsia"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val="en-US" w:eastAsia="zh-CN"/>
                    </w:rPr>
                    <w:t>5</w:t>
                  </w:r>
                </w:p>
              </w:tc>
              <w:tc>
                <w:tcPr>
                  <w:tcW w:w="1248"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18"/>
                      <w:szCs w:val="18"/>
                      <w:lang w:eastAsia="zh-CN"/>
                    </w:rPr>
                  </w:pPr>
                  <w:r>
                    <w:rPr>
                      <w:rFonts w:hint="eastAsia" w:cs="Times New Roman"/>
                      <w:color w:val="auto"/>
                      <w:sz w:val="18"/>
                      <w:szCs w:val="18"/>
                      <w:lang w:eastAsia="zh-CN"/>
                    </w:rPr>
                    <w:t>润滑油</w:t>
                  </w:r>
                </w:p>
              </w:tc>
              <w:tc>
                <w:tcPr>
                  <w:tcW w:w="1103" w:type="dxa"/>
                  <w:shd w:val="clear" w:color="auto" w:fill="auto"/>
                  <w:noWrap w:val="0"/>
                  <w:vAlign w:val="center"/>
                </w:tcPr>
                <w:p>
                  <w:pPr>
                    <w:pStyle w:val="7"/>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Cambria" w:hAnsi="Cambria" w:eastAsia="宋体" w:cs="Times New Roman"/>
                      <w:color w:val="auto"/>
                      <w:kern w:val="0"/>
                      <w:sz w:val="18"/>
                      <w:szCs w:val="18"/>
                      <w:highlight w:val="none"/>
                      <w:lang w:val="en-US" w:eastAsia="zh-CN" w:bidi="ar-SA"/>
                    </w:rPr>
                  </w:pPr>
                  <w:r>
                    <w:rPr>
                      <w:rFonts w:hint="eastAsia" w:ascii="Times New Roman" w:hAnsi="Times New Roman" w:cs="Times New Roman"/>
                      <w:color w:val="auto"/>
                      <w:sz w:val="18"/>
                      <w:szCs w:val="18"/>
                      <w:vertAlign w:val="baseline"/>
                      <w:lang w:val="en-US" w:eastAsia="zh-CN"/>
                    </w:rPr>
                    <w:t>0.05</w:t>
                  </w:r>
                </w:p>
              </w:tc>
              <w:tc>
                <w:tcPr>
                  <w:tcW w:w="1104" w:type="dxa"/>
                  <w:shd w:val="clear" w:color="auto" w:fill="auto"/>
                  <w:noWrap w:val="0"/>
                  <w:vAlign w:val="center"/>
                </w:tcPr>
                <w:p>
                  <w:pPr>
                    <w:pStyle w:val="7"/>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Cambria" w:hAnsi="Cambria" w:eastAsia="宋体" w:cs="Times New Roman"/>
                      <w:color w:val="auto"/>
                      <w:kern w:val="0"/>
                      <w:sz w:val="18"/>
                      <w:szCs w:val="18"/>
                      <w:highlight w:val="none"/>
                      <w:lang w:val="en-US" w:eastAsia="zh-CN" w:bidi="ar-SA"/>
                    </w:rPr>
                  </w:pPr>
                  <w:r>
                    <w:rPr>
                      <w:rFonts w:hint="eastAsia" w:ascii="Times New Roman" w:hAnsi="Times New Roman" w:cs="Times New Roman"/>
                      <w:color w:val="auto"/>
                      <w:sz w:val="18"/>
                      <w:szCs w:val="18"/>
                      <w:vertAlign w:val="baseline"/>
                      <w:lang w:val="en-US" w:eastAsia="zh-CN"/>
                    </w:rPr>
                    <w:t>0.05</w:t>
                  </w:r>
                </w:p>
              </w:tc>
              <w:tc>
                <w:tcPr>
                  <w:tcW w:w="958" w:type="dxa"/>
                  <w:shd w:val="clear" w:color="auto" w:fill="auto"/>
                  <w:noWrap w:val="0"/>
                  <w:vAlign w:val="center"/>
                </w:tcPr>
                <w:p>
                  <w:pPr>
                    <w:jc w:val="center"/>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2500</w:t>
                  </w:r>
                </w:p>
              </w:tc>
              <w:tc>
                <w:tcPr>
                  <w:tcW w:w="1046" w:type="dxa"/>
                  <w:shd w:val="clear" w:color="auto" w:fill="auto"/>
                  <w:noWrap w:val="0"/>
                  <w:vAlign w:val="center"/>
                </w:tcPr>
                <w:p>
                  <w:pPr>
                    <w:jc w:val="center"/>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0.00002</w:t>
                  </w:r>
                </w:p>
              </w:tc>
              <w:tc>
                <w:tcPr>
                  <w:tcW w:w="1463" w:type="dxa"/>
                  <w:vMerge w:val="continue"/>
                  <w:noWrap w:val="0"/>
                  <w:vAlign w:val="center"/>
                </w:tcPr>
                <w:p>
                  <w:pPr>
                    <w:jc w:val="center"/>
                    <w:rPr>
                      <w:rFonts w:hint="eastAsia" w:eastAsia="宋体"/>
                      <w:color w:val="auto"/>
                      <w:sz w:val="18"/>
                      <w:szCs w:val="18"/>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595" w:type="dxa"/>
                  <w:shd w:val="clear" w:color="auto" w:fill="auto"/>
                  <w:noWrap w:val="0"/>
                  <w:vAlign w:val="center"/>
                </w:tcPr>
                <w:p>
                  <w:pPr>
                    <w:jc w:val="center"/>
                    <w:rPr>
                      <w:rFonts w:hint="default"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val="en-US" w:eastAsia="zh-CN"/>
                    </w:rPr>
                    <w:t>6</w:t>
                  </w:r>
                </w:p>
              </w:tc>
              <w:tc>
                <w:tcPr>
                  <w:tcW w:w="1248"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eastAsia="zh-CN"/>
                    </w:rPr>
                    <w:t>乳化液</w:t>
                  </w:r>
                </w:p>
              </w:tc>
              <w:tc>
                <w:tcPr>
                  <w:tcW w:w="1103" w:type="dxa"/>
                  <w:noWrap w:val="0"/>
                  <w:vAlign w:val="center"/>
                </w:tcPr>
                <w:p>
                  <w:pPr>
                    <w:pStyle w:val="7"/>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cs="Times New Roman"/>
                      <w:color w:val="auto"/>
                      <w:sz w:val="18"/>
                      <w:szCs w:val="18"/>
                      <w:vertAlign w:val="baseline"/>
                      <w:lang w:val="en-US" w:eastAsia="zh-CN"/>
                    </w:rPr>
                    <w:t>0.05</w:t>
                  </w:r>
                </w:p>
              </w:tc>
              <w:tc>
                <w:tcPr>
                  <w:tcW w:w="1104" w:type="dxa"/>
                  <w:noWrap w:val="0"/>
                  <w:vAlign w:val="center"/>
                </w:tcPr>
                <w:p>
                  <w:pPr>
                    <w:pStyle w:val="7"/>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cs="Times New Roman"/>
                      <w:color w:val="auto"/>
                      <w:sz w:val="18"/>
                      <w:szCs w:val="18"/>
                      <w:vertAlign w:val="baseline"/>
                      <w:lang w:val="en-US" w:eastAsia="zh-CN"/>
                    </w:rPr>
                    <w:t>0.05</w:t>
                  </w:r>
                </w:p>
              </w:tc>
              <w:tc>
                <w:tcPr>
                  <w:tcW w:w="958" w:type="dxa"/>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2500</w:t>
                  </w:r>
                </w:p>
              </w:tc>
              <w:tc>
                <w:tcPr>
                  <w:tcW w:w="1046" w:type="dxa"/>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0.00002</w:t>
                  </w:r>
                </w:p>
              </w:tc>
              <w:tc>
                <w:tcPr>
                  <w:tcW w:w="1463" w:type="dxa"/>
                  <w:vMerge w:val="continue"/>
                  <w:noWrap w:val="0"/>
                  <w:vAlign w:val="center"/>
                </w:tcPr>
                <w:p>
                  <w:pPr>
                    <w:jc w:val="center"/>
                    <w:rPr>
                      <w:rFonts w:hint="default" w:eastAsia="宋体"/>
                      <w:color w:val="auto"/>
                      <w:sz w:val="18"/>
                      <w:szCs w:val="18"/>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595" w:type="dxa"/>
                  <w:shd w:val="clear" w:color="auto" w:fill="auto"/>
                  <w:noWrap w:val="0"/>
                  <w:vAlign w:val="center"/>
                </w:tcPr>
                <w:p>
                  <w:pPr>
                    <w:jc w:val="center"/>
                    <w:rPr>
                      <w:rFonts w:hint="default"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val="en-US" w:eastAsia="zh-CN"/>
                    </w:rPr>
                    <w:t>7</w:t>
                  </w:r>
                </w:p>
              </w:tc>
              <w:tc>
                <w:tcPr>
                  <w:tcW w:w="1248"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eastAsia="zh-CN"/>
                    </w:rPr>
                    <w:t>机油</w:t>
                  </w:r>
                </w:p>
              </w:tc>
              <w:tc>
                <w:tcPr>
                  <w:tcW w:w="1103" w:type="dxa"/>
                  <w:noWrap w:val="0"/>
                  <w:vAlign w:val="center"/>
                </w:tcPr>
                <w:p>
                  <w:pPr>
                    <w:pStyle w:val="7"/>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cs="Times New Roman"/>
                      <w:color w:val="auto"/>
                      <w:kern w:val="0"/>
                      <w:sz w:val="18"/>
                      <w:szCs w:val="18"/>
                      <w:highlight w:val="none"/>
                      <w:lang w:val="en-US" w:eastAsia="zh-CN"/>
                    </w:rPr>
                  </w:pPr>
                  <w:r>
                    <w:rPr>
                      <w:rFonts w:hint="eastAsia" w:ascii="Times New Roman" w:hAnsi="Times New Roman" w:cs="Times New Roman"/>
                      <w:color w:val="auto"/>
                      <w:sz w:val="18"/>
                      <w:szCs w:val="18"/>
                      <w:vertAlign w:val="baseline"/>
                      <w:lang w:val="en-US" w:eastAsia="zh-CN"/>
                    </w:rPr>
                    <w:t>0.5</w:t>
                  </w:r>
                </w:p>
              </w:tc>
              <w:tc>
                <w:tcPr>
                  <w:tcW w:w="1104" w:type="dxa"/>
                  <w:noWrap w:val="0"/>
                  <w:vAlign w:val="center"/>
                </w:tcPr>
                <w:p>
                  <w:pPr>
                    <w:pStyle w:val="7"/>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cs="Times New Roman"/>
                      <w:color w:val="auto"/>
                      <w:kern w:val="0"/>
                      <w:sz w:val="18"/>
                      <w:szCs w:val="18"/>
                      <w:highlight w:val="none"/>
                      <w:lang w:val="en-US" w:eastAsia="zh-CN"/>
                    </w:rPr>
                  </w:pPr>
                  <w:r>
                    <w:rPr>
                      <w:rFonts w:hint="eastAsia" w:ascii="Times New Roman" w:hAnsi="Times New Roman" w:cs="Times New Roman"/>
                      <w:color w:val="auto"/>
                      <w:sz w:val="18"/>
                      <w:szCs w:val="18"/>
                      <w:vertAlign w:val="baseline"/>
                      <w:lang w:val="en-US" w:eastAsia="zh-CN"/>
                    </w:rPr>
                    <w:t>0.5</w:t>
                  </w:r>
                </w:p>
              </w:tc>
              <w:tc>
                <w:tcPr>
                  <w:tcW w:w="958" w:type="dxa"/>
                  <w:noWrap w:val="0"/>
                  <w:vAlign w:val="center"/>
                </w:tcPr>
                <w:p>
                  <w:pPr>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2500</w:t>
                  </w:r>
                </w:p>
              </w:tc>
              <w:tc>
                <w:tcPr>
                  <w:tcW w:w="1046" w:type="dxa"/>
                  <w:noWrap w:val="0"/>
                  <w:vAlign w:val="center"/>
                </w:tcPr>
                <w:p>
                  <w:pPr>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0.0002</w:t>
                  </w:r>
                </w:p>
              </w:tc>
              <w:tc>
                <w:tcPr>
                  <w:tcW w:w="1463" w:type="dxa"/>
                  <w:vMerge w:val="continue"/>
                  <w:noWrap w:val="0"/>
                  <w:vAlign w:val="center"/>
                </w:tcPr>
                <w:p>
                  <w:pPr>
                    <w:jc w:val="center"/>
                    <w:rPr>
                      <w:rFonts w:hint="eastAsia" w:eastAsia="宋体"/>
                      <w:color w:val="auto"/>
                      <w:sz w:val="18"/>
                      <w:szCs w:val="18"/>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595" w:type="dxa"/>
                  <w:shd w:val="clear" w:color="auto" w:fill="auto"/>
                  <w:noWrap w:val="0"/>
                  <w:vAlign w:val="center"/>
                </w:tcPr>
                <w:p>
                  <w:pPr>
                    <w:jc w:val="center"/>
                    <w:rPr>
                      <w:rFonts w:hint="default"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val="en-US" w:eastAsia="zh-CN"/>
                    </w:rPr>
                    <w:t>8</w:t>
                  </w:r>
                </w:p>
              </w:tc>
              <w:tc>
                <w:tcPr>
                  <w:tcW w:w="1248"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sz w:val="18"/>
                      <w:szCs w:val="18"/>
                      <w:lang w:eastAsia="zh-CN"/>
                    </w:rPr>
                    <w:t>液压油</w:t>
                  </w:r>
                </w:p>
              </w:tc>
              <w:tc>
                <w:tcPr>
                  <w:tcW w:w="1103" w:type="dxa"/>
                  <w:noWrap w:val="0"/>
                  <w:vAlign w:val="center"/>
                </w:tcPr>
                <w:p>
                  <w:pPr>
                    <w:pStyle w:val="7"/>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cs="Times New Roman"/>
                      <w:color w:val="auto"/>
                      <w:kern w:val="0"/>
                      <w:sz w:val="18"/>
                      <w:szCs w:val="18"/>
                      <w:highlight w:val="none"/>
                      <w:lang w:val="en-US" w:eastAsia="zh-CN"/>
                    </w:rPr>
                  </w:pPr>
                  <w:r>
                    <w:rPr>
                      <w:rFonts w:hint="eastAsia" w:ascii="Times New Roman" w:hAnsi="Times New Roman" w:cs="Times New Roman"/>
                      <w:color w:val="auto"/>
                      <w:sz w:val="18"/>
                      <w:szCs w:val="18"/>
                      <w:vertAlign w:val="baseline"/>
                      <w:lang w:val="en-US" w:eastAsia="zh-CN"/>
                    </w:rPr>
                    <w:t>0.5</w:t>
                  </w:r>
                </w:p>
              </w:tc>
              <w:tc>
                <w:tcPr>
                  <w:tcW w:w="1104" w:type="dxa"/>
                  <w:noWrap w:val="0"/>
                  <w:vAlign w:val="center"/>
                </w:tcPr>
                <w:p>
                  <w:pPr>
                    <w:pStyle w:val="7"/>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cs="Times New Roman"/>
                      <w:color w:val="auto"/>
                      <w:kern w:val="0"/>
                      <w:sz w:val="18"/>
                      <w:szCs w:val="18"/>
                      <w:highlight w:val="none"/>
                      <w:lang w:val="en-US" w:eastAsia="zh-CN"/>
                    </w:rPr>
                  </w:pPr>
                  <w:r>
                    <w:rPr>
                      <w:rFonts w:hint="eastAsia" w:ascii="Times New Roman" w:hAnsi="Times New Roman" w:cs="Times New Roman"/>
                      <w:color w:val="auto"/>
                      <w:sz w:val="18"/>
                      <w:szCs w:val="18"/>
                      <w:vertAlign w:val="baseline"/>
                      <w:lang w:val="en-US" w:eastAsia="zh-CN"/>
                    </w:rPr>
                    <w:t>0.5</w:t>
                  </w:r>
                </w:p>
              </w:tc>
              <w:tc>
                <w:tcPr>
                  <w:tcW w:w="958" w:type="dxa"/>
                  <w:noWrap w:val="0"/>
                  <w:vAlign w:val="center"/>
                </w:tcPr>
                <w:p>
                  <w:pPr>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2500</w:t>
                  </w:r>
                </w:p>
              </w:tc>
              <w:tc>
                <w:tcPr>
                  <w:tcW w:w="1046" w:type="dxa"/>
                  <w:noWrap w:val="0"/>
                  <w:vAlign w:val="center"/>
                </w:tcPr>
                <w:p>
                  <w:pPr>
                    <w:jc w:val="center"/>
                    <w:rPr>
                      <w:rFonts w:hint="eastAsia"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0.00002</w:t>
                  </w:r>
                </w:p>
              </w:tc>
              <w:tc>
                <w:tcPr>
                  <w:tcW w:w="1463" w:type="dxa"/>
                  <w:vMerge w:val="continue"/>
                  <w:noWrap w:val="0"/>
                  <w:vAlign w:val="center"/>
                </w:tcPr>
                <w:p>
                  <w:pPr>
                    <w:jc w:val="center"/>
                    <w:rPr>
                      <w:rFonts w:hint="eastAsia" w:eastAsia="宋体"/>
                      <w:color w:val="auto"/>
                      <w:sz w:val="18"/>
                      <w:szCs w:val="18"/>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595" w:type="dxa"/>
                  <w:noWrap w:val="0"/>
                  <w:vAlign w:val="center"/>
                </w:tcPr>
                <w:p>
                  <w:pPr>
                    <w:jc w:val="center"/>
                    <w:rPr>
                      <w:rFonts w:hint="default"/>
                      <w:color w:val="auto"/>
                      <w:sz w:val="18"/>
                      <w:szCs w:val="18"/>
                      <w:highlight w:val="none"/>
                      <w:lang w:val="en-US" w:eastAsia="zh-CN"/>
                    </w:rPr>
                  </w:pPr>
                  <w:r>
                    <w:rPr>
                      <w:rFonts w:hint="eastAsia"/>
                      <w:color w:val="auto"/>
                      <w:sz w:val="18"/>
                      <w:szCs w:val="18"/>
                      <w:highlight w:val="none"/>
                      <w:lang w:val="en-US" w:eastAsia="zh-CN"/>
                    </w:rPr>
                    <w:t>9</w:t>
                  </w:r>
                </w:p>
              </w:tc>
              <w:tc>
                <w:tcPr>
                  <w:tcW w:w="1248"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0"/>
                      <w:sz w:val="18"/>
                      <w:szCs w:val="18"/>
                      <w:highlight w:val="none"/>
                      <w:lang w:val="en-US" w:eastAsia="zh-CN"/>
                    </w:rPr>
                    <w:t>危废</w:t>
                  </w:r>
                </w:p>
              </w:tc>
              <w:tc>
                <w:tcPr>
                  <w:tcW w:w="11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7.3362</w:t>
                  </w:r>
                </w:p>
              </w:tc>
              <w:tc>
                <w:tcPr>
                  <w:tcW w:w="110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7.3362</w:t>
                  </w:r>
                </w:p>
              </w:tc>
              <w:tc>
                <w:tcPr>
                  <w:tcW w:w="958" w:type="dxa"/>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50</w:t>
                  </w:r>
                </w:p>
              </w:tc>
              <w:tc>
                <w:tcPr>
                  <w:tcW w:w="1046" w:type="dxa"/>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0.146724</w:t>
                  </w:r>
                </w:p>
              </w:tc>
              <w:tc>
                <w:tcPr>
                  <w:tcW w:w="1463" w:type="dxa"/>
                  <w:noWrap w:val="0"/>
                  <w:vAlign w:val="center"/>
                </w:tcPr>
                <w:p>
                  <w:pPr>
                    <w:jc w:val="center"/>
                    <w:rPr>
                      <w:rFonts w:hint="eastAsia" w:eastAsia="宋体"/>
                      <w:color w:val="auto"/>
                      <w:sz w:val="18"/>
                      <w:szCs w:val="18"/>
                      <w:highlight w:val="none"/>
                      <w:lang w:val="en-US" w:eastAsia="zh-CN"/>
                    </w:rPr>
                  </w:pPr>
                  <w:r>
                    <w:rPr>
                      <w:rFonts w:hint="eastAsia" w:eastAsia="宋体"/>
                      <w:color w:val="auto"/>
                      <w:sz w:val="18"/>
                      <w:szCs w:val="18"/>
                      <w:highlight w:val="none"/>
                      <w:lang w:val="en-US" w:eastAsia="zh-CN"/>
                    </w:rPr>
                    <w:t>危废暂存间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5008" w:type="dxa"/>
                  <w:gridSpan w:val="5"/>
                  <w:noWrap w:val="0"/>
                  <w:vAlign w:val="center"/>
                </w:tcPr>
                <w:p>
                  <w:pPr>
                    <w:jc w:val="center"/>
                    <w:rPr>
                      <w:color w:val="auto"/>
                      <w:sz w:val="18"/>
                      <w:szCs w:val="18"/>
                      <w:highlight w:val="yellow"/>
                    </w:rPr>
                  </w:pPr>
                  <w:r>
                    <w:rPr>
                      <w:rFonts w:hint="eastAsia"/>
                      <w:color w:val="auto"/>
                      <w:sz w:val="18"/>
                      <w:szCs w:val="18"/>
                      <w:highlight w:val="none"/>
                    </w:rPr>
                    <w:t>合计</w:t>
                  </w:r>
                </w:p>
              </w:tc>
              <w:tc>
                <w:tcPr>
                  <w:tcW w:w="1046" w:type="dxa"/>
                  <w:shd w:val="clear" w:color="auto" w:fill="auto"/>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0.1970535</w:t>
                  </w:r>
                </w:p>
              </w:tc>
              <w:tc>
                <w:tcPr>
                  <w:tcW w:w="1463" w:type="dxa"/>
                  <w:noWrap w:val="0"/>
                  <w:vAlign w:val="center"/>
                </w:tcPr>
                <w:p>
                  <w:pPr>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r>
          </w:tbl>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eastAsia="zh-CN"/>
              </w:rPr>
              <w:t>注：厂内</w:t>
            </w:r>
            <w:r>
              <w:rPr>
                <w:rFonts w:hint="eastAsia" w:ascii="Times New Roman" w:hAnsi="Times New Roman" w:eastAsia="宋体" w:cs="Times New Roman"/>
                <w:color w:val="auto"/>
                <w:sz w:val="18"/>
                <w:szCs w:val="18"/>
              </w:rPr>
              <w:t>天然气</w:t>
            </w:r>
            <w:r>
              <w:rPr>
                <w:rFonts w:hint="eastAsia" w:ascii="Times New Roman" w:hAnsi="Times New Roman" w:eastAsia="宋体" w:cs="Times New Roman"/>
                <w:color w:val="auto"/>
                <w:sz w:val="18"/>
                <w:szCs w:val="18"/>
                <w:lang w:eastAsia="zh-CN"/>
              </w:rPr>
              <w:t>管道约</w:t>
            </w:r>
            <w:r>
              <w:rPr>
                <w:rFonts w:hint="eastAsia" w:ascii="Times New Roman" w:hAnsi="Times New Roman" w:eastAsia="宋体" w:cs="Times New Roman"/>
                <w:color w:val="auto"/>
                <w:sz w:val="18"/>
                <w:szCs w:val="18"/>
                <w:lang w:val="en-US" w:eastAsia="zh-CN"/>
              </w:rPr>
              <w:t>100米，管径约</w:t>
            </w:r>
            <w:r>
              <w:rPr>
                <w:rFonts w:hint="eastAsia" w:ascii="Times New Roman" w:hAnsi="Times New Roman" w:eastAsia="宋体" w:cs="Times New Roman"/>
                <w:color w:val="auto"/>
                <w:sz w:val="18"/>
                <w:szCs w:val="18"/>
              </w:rPr>
              <w:t>DN100</w:t>
            </w:r>
            <w:r>
              <w:rPr>
                <w:rFonts w:hint="eastAsia" w:ascii="Times New Roman" w:hAnsi="Times New Roman" w:eastAsia="宋体" w:cs="Times New Roman"/>
                <w:color w:val="auto"/>
                <w:sz w:val="18"/>
                <w:szCs w:val="18"/>
                <w:lang w:eastAsia="zh-CN"/>
              </w:rPr>
              <w:t>；经计算厂内天然气</w:t>
            </w:r>
            <w:r>
              <w:rPr>
                <w:rFonts w:hint="eastAsia" w:ascii="Times New Roman" w:hAnsi="Times New Roman" w:eastAsia="宋体" w:cs="Times New Roman"/>
                <w:color w:val="auto"/>
                <w:sz w:val="18"/>
                <w:szCs w:val="18"/>
                <w:lang w:val="en-US" w:eastAsia="zh-CN"/>
              </w:rPr>
              <w:t>最大贮存量约0.785立方米；天然气的密度大约为0.7174千克每立方米，则0.7174×0.785=0.5632kg；氧气密度大约为‌</w:t>
            </w:r>
            <w:r>
              <w:rPr>
                <w:rFonts w:hint="default" w:ascii="Times New Roman" w:hAnsi="Times New Roman" w:eastAsia="宋体" w:cs="Times New Roman"/>
                <w:color w:val="auto"/>
                <w:sz w:val="18"/>
                <w:szCs w:val="18"/>
                <w:lang w:val="en-US" w:eastAsia="zh-CN"/>
              </w:rPr>
              <w:t>1.308</w:t>
            </w:r>
            <w:r>
              <w:rPr>
                <w:rFonts w:hint="eastAsia" w:ascii="Times New Roman" w:hAnsi="Times New Roman" w:eastAsia="宋体" w:cs="Times New Roman"/>
                <w:color w:val="auto"/>
                <w:sz w:val="18"/>
                <w:szCs w:val="18"/>
                <w:lang w:val="en-US" w:eastAsia="zh-CN"/>
              </w:rPr>
              <w:t>千克每立方米，则0.48×12×‌</w:t>
            </w:r>
            <w:r>
              <w:rPr>
                <w:rFonts w:hint="default" w:ascii="Times New Roman" w:hAnsi="Times New Roman" w:eastAsia="宋体" w:cs="Times New Roman"/>
                <w:color w:val="auto"/>
                <w:sz w:val="18"/>
                <w:szCs w:val="18"/>
                <w:lang w:val="en-US" w:eastAsia="zh-CN"/>
              </w:rPr>
              <w:t>1.308</w:t>
            </w:r>
            <w:r>
              <w:rPr>
                <w:rFonts w:hint="eastAsia" w:ascii="Times New Roman" w:hAnsi="Times New Roman" w:eastAsia="宋体" w:cs="Times New Roman"/>
                <w:color w:val="auto"/>
                <w:sz w:val="18"/>
                <w:szCs w:val="18"/>
                <w:lang w:val="en-US" w:eastAsia="zh-CN"/>
              </w:rPr>
              <w:t>=7.5341kg。</w:t>
            </w:r>
          </w:p>
          <w:p>
            <w:pPr>
              <w:adjustRightInd w:val="0"/>
              <w:snapToGrid w:val="0"/>
              <w:spacing w:line="500" w:lineRule="exact"/>
              <w:ind w:firstLine="420" w:firstLineChars="200"/>
              <w:rPr>
                <w:rFonts w:hint="default" w:eastAsia="宋体"/>
                <w:bCs/>
                <w:color w:val="auto"/>
                <w:szCs w:val="21"/>
                <w:lang w:val="en-US" w:eastAsia="zh-CN"/>
              </w:rPr>
            </w:pPr>
            <w:r>
              <w:rPr>
                <w:rFonts w:hint="eastAsia"/>
                <w:bCs/>
                <w:color w:val="auto"/>
                <w:szCs w:val="21"/>
                <w:lang w:val="en-US" w:eastAsia="zh-CN"/>
              </w:rPr>
              <w:t>由上表可知，Q值＜1。</w:t>
            </w:r>
          </w:p>
          <w:p>
            <w:pPr>
              <w:adjustRightInd w:val="0"/>
              <w:snapToGrid w:val="0"/>
              <w:spacing w:line="500" w:lineRule="exact"/>
              <w:ind w:firstLine="420" w:firstLineChars="200"/>
              <w:rPr>
                <w:rFonts w:hint="eastAsia"/>
                <w:bCs/>
                <w:color w:val="auto"/>
                <w:szCs w:val="21"/>
              </w:rPr>
            </w:pPr>
            <w:r>
              <w:rPr>
                <w:rFonts w:hint="eastAsia"/>
                <w:bCs/>
                <w:color w:val="auto"/>
                <w:szCs w:val="21"/>
              </w:rPr>
              <w:t>2）生产系统危险性识别</w:t>
            </w:r>
          </w:p>
          <w:p>
            <w:pPr>
              <w:adjustRightInd w:val="0"/>
              <w:snapToGrid w:val="0"/>
              <w:spacing w:line="500" w:lineRule="exact"/>
              <w:ind w:firstLine="420" w:firstLineChars="200"/>
              <w:rPr>
                <w:bCs/>
                <w:color w:val="auto"/>
                <w:szCs w:val="21"/>
              </w:rPr>
            </w:pPr>
            <w:r>
              <w:rPr>
                <w:rFonts w:hint="eastAsia"/>
                <w:bCs/>
                <w:color w:val="auto"/>
                <w:szCs w:val="21"/>
              </w:rPr>
              <w:t>① 工艺过程危险性识别</w:t>
            </w:r>
          </w:p>
          <w:p>
            <w:pPr>
              <w:adjustRightInd w:val="0"/>
              <w:snapToGrid w:val="0"/>
              <w:spacing w:line="500" w:lineRule="exact"/>
              <w:ind w:firstLine="420" w:firstLineChars="200"/>
              <w:rPr>
                <w:rFonts w:hint="eastAsia"/>
                <w:bCs/>
                <w:color w:val="auto"/>
                <w:szCs w:val="21"/>
              </w:rPr>
            </w:pPr>
            <w:r>
              <w:rPr>
                <w:rFonts w:hint="eastAsia"/>
                <w:bCs/>
                <w:color w:val="auto"/>
                <w:szCs w:val="21"/>
              </w:rPr>
              <w:t>项目工艺过程风险识别见下表。</w:t>
            </w:r>
          </w:p>
          <w:p>
            <w:pPr>
              <w:adjustRightInd w:val="0"/>
              <w:snapToGrid w:val="0"/>
              <w:spacing w:line="500" w:lineRule="exact"/>
              <w:jc w:val="center"/>
              <w:rPr>
                <w:rFonts w:hint="eastAsia"/>
                <w:b/>
                <w:color w:val="auto"/>
                <w:szCs w:val="21"/>
              </w:rPr>
            </w:pPr>
            <w:r>
              <w:rPr>
                <w:rFonts w:hint="eastAsia"/>
                <w:b/>
                <w:color w:val="auto"/>
                <w:szCs w:val="21"/>
              </w:rPr>
              <w:t>表4-</w:t>
            </w:r>
            <w:r>
              <w:rPr>
                <w:rFonts w:hint="eastAsia"/>
                <w:b/>
                <w:color w:val="auto"/>
                <w:szCs w:val="21"/>
                <w:lang w:val="en-US" w:eastAsia="zh-CN"/>
              </w:rPr>
              <w:t>26</w:t>
            </w:r>
            <w:r>
              <w:rPr>
                <w:rFonts w:hint="eastAsia"/>
                <w:b/>
                <w:color w:val="auto"/>
                <w:szCs w:val="21"/>
                <w:lang w:eastAsia="zh-CN"/>
              </w:rPr>
              <w:t xml:space="preserve">  </w:t>
            </w:r>
            <w:r>
              <w:rPr>
                <w:rFonts w:hint="eastAsia"/>
                <w:b/>
                <w:color w:val="auto"/>
                <w:szCs w:val="21"/>
              </w:rPr>
              <w:t>生产系统潜在危险性分析一览表</w:t>
            </w:r>
          </w:p>
          <w:tbl>
            <w:tblPr>
              <w:tblStyle w:val="21"/>
              <w:tblW w:w="76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383"/>
              <w:gridCol w:w="1836"/>
              <w:gridCol w:w="1830"/>
              <w:gridCol w:w="18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720" w:type="dxa"/>
                  <w:noWrap w:val="0"/>
                  <w:vAlign w:val="center"/>
                </w:tcPr>
                <w:p>
                  <w:pPr>
                    <w:jc w:val="center"/>
                    <w:rPr>
                      <w:b/>
                      <w:bCs/>
                      <w:color w:val="auto"/>
                      <w:sz w:val="18"/>
                      <w:szCs w:val="18"/>
                    </w:rPr>
                  </w:pPr>
                  <w:r>
                    <w:rPr>
                      <w:rFonts w:hint="eastAsia"/>
                      <w:b/>
                      <w:bCs/>
                      <w:color w:val="auto"/>
                      <w:sz w:val="18"/>
                      <w:szCs w:val="18"/>
                    </w:rPr>
                    <w:t>序号</w:t>
                  </w:r>
                </w:p>
              </w:tc>
              <w:tc>
                <w:tcPr>
                  <w:tcW w:w="1383" w:type="dxa"/>
                  <w:noWrap w:val="0"/>
                  <w:vAlign w:val="center"/>
                </w:tcPr>
                <w:p>
                  <w:pPr>
                    <w:jc w:val="center"/>
                    <w:rPr>
                      <w:b/>
                      <w:bCs/>
                      <w:color w:val="auto"/>
                      <w:sz w:val="18"/>
                      <w:szCs w:val="18"/>
                    </w:rPr>
                  </w:pPr>
                  <w:r>
                    <w:rPr>
                      <w:rFonts w:hint="eastAsia" w:cs="Times New Roman"/>
                      <w:b/>
                      <w:bCs/>
                      <w:color w:val="auto"/>
                      <w:sz w:val="18"/>
                      <w:szCs w:val="18"/>
                      <w:shd w:val="clear" w:color="auto" w:fill="auto"/>
                      <w:vertAlign w:val="baseline"/>
                      <w:lang w:val="en-US" w:eastAsia="zh-CN"/>
                    </w:rPr>
                    <w:t>风险单元</w:t>
                  </w:r>
                </w:p>
              </w:tc>
              <w:tc>
                <w:tcPr>
                  <w:tcW w:w="1836" w:type="dxa"/>
                  <w:noWrap w:val="0"/>
                  <w:vAlign w:val="center"/>
                </w:tcPr>
                <w:p>
                  <w:pPr>
                    <w:jc w:val="center"/>
                    <w:rPr>
                      <w:b/>
                      <w:bCs/>
                      <w:color w:val="auto"/>
                      <w:sz w:val="18"/>
                      <w:szCs w:val="18"/>
                    </w:rPr>
                  </w:pPr>
                  <w:r>
                    <w:rPr>
                      <w:rFonts w:hint="eastAsia"/>
                      <w:b/>
                      <w:bCs/>
                      <w:color w:val="auto"/>
                      <w:sz w:val="18"/>
                      <w:szCs w:val="18"/>
                    </w:rPr>
                    <w:t>风险</w:t>
                  </w:r>
                  <w:r>
                    <w:rPr>
                      <w:rFonts w:hint="eastAsia"/>
                      <w:b/>
                      <w:bCs/>
                      <w:color w:val="auto"/>
                      <w:sz w:val="18"/>
                      <w:szCs w:val="18"/>
                      <w:lang w:eastAsia="zh-CN"/>
                    </w:rPr>
                    <w:t>源</w:t>
                  </w:r>
                </w:p>
              </w:tc>
              <w:tc>
                <w:tcPr>
                  <w:tcW w:w="1830" w:type="dxa"/>
                  <w:noWrap w:val="0"/>
                  <w:vAlign w:val="center"/>
                </w:tcPr>
                <w:p>
                  <w:pPr>
                    <w:jc w:val="center"/>
                    <w:rPr>
                      <w:b/>
                      <w:bCs/>
                      <w:color w:val="auto"/>
                      <w:sz w:val="18"/>
                      <w:szCs w:val="18"/>
                    </w:rPr>
                  </w:pPr>
                  <w:r>
                    <w:rPr>
                      <w:rFonts w:hint="eastAsia"/>
                      <w:b/>
                      <w:bCs/>
                      <w:color w:val="auto"/>
                      <w:sz w:val="18"/>
                      <w:szCs w:val="18"/>
                    </w:rPr>
                    <w:t>风险物质</w:t>
                  </w:r>
                </w:p>
              </w:tc>
              <w:tc>
                <w:tcPr>
                  <w:tcW w:w="1869" w:type="dxa"/>
                  <w:noWrap w:val="0"/>
                  <w:vAlign w:val="center"/>
                </w:tcPr>
                <w:p>
                  <w:pPr>
                    <w:jc w:val="center"/>
                    <w:rPr>
                      <w:b/>
                      <w:bCs/>
                      <w:color w:val="auto"/>
                      <w:sz w:val="18"/>
                      <w:szCs w:val="18"/>
                    </w:rPr>
                  </w:pPr>
                  <w:r>
                    <w:rPr>
                      <w:rFonts w:hint="eastAsia"/>
                      <w:b/>
                      <w:bCs/>
                      <w:color w:val="auto"/>
                      <w:sz w:val="18"/>
                      <w:szCs w:val="18"/>
                    </w:rPr>
                    <w:t>风险类型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720" w:type="dxa"/>
                  <w:noWrap w:val="0"/>
                  <w:vAlign w:val="center"/>
                </w:tcPr>
                <w:p>
                  <w:pPr>
                    <w:adjustRightInd w:val="0"/>
                    <w:snapToGrid w:val="0"/>
                    <w:jc w:val="center"/>
                    <w:rPr>
                      <w:rFonts w:hint="eastAsia"/>
                      <w:color w:val="auto"/>
                      <w:sz w:val="18"/>
                      <w:szCs w:val="18"/>
                    </w:rPr>
                  </w:pPr>
                  <w:r>
                    <w:rPr>
                      <w:rFonts w:hint="eastAsia"/>
                      <w:color w:val="auto"/>
                      <w:sz w:val="18"/>
                      <w:szCs w:val="18"/>
                    </w:rPr>
                    <w:t>1</w:t>
                  </w:r>
                </w:p>
              </w:tc>
              <w:tc>
                <w:tcPr>
                  <w:tcW w:w="1383" w:type="dxa"/>
                  <w:noWrap w:val="0"/>
                  <w:vAlign w:val="center"/>
                </w:tcPr>
                <w:p>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锻压车间</w:t>
                  </w:r>
                </w:p>
              </w:tc>
              <w:tc>
                <w:tcPr>
                  <w:tcW w:w="1836" w:type="dxa"/>
                  <w:noWrap w:val="0"/>
                  <w:vAlign w:val="center"/>
                </w:tcPr>
                <w:p>
                  <w:pPr>
                    <w:adjustRightInd w:val="0"/>
                    <w:snapToGrid w:val="0"/>
                    <w:jc w:val="center"/>
                    <w:rPr>
                      <w:rFonts w:hint="default" w:eastAsia="宋体"/>
                      <w:color w:val="auto"/>
                      <w:sz w:val="18"/>
                      <w:szCs w:val="18"/>
                      <w:lang w:val="en-US" w:eastAsia="zh-CN"/>
                    </w:rPr>
                  </w:pPr>
                  <w:r>
                    <w:rPr>
                      <w:rFonts w:hint="eastAsia" w:ascii="Times New Roman" w:hAnsi="Times New Roman" w:cs="Times New Roman"/>
                      <w:color w:val="auto"/>
                      <w:sz w:val="18"/>
                      <w:szCs w:val="18"/>
                      <w:lang w:val="en-US" w:eastAsia="zh-CN"/>
                    </w:rPr>
                    <w:t>锻压机、台车式加热炉、室式加热炉等设备</w:t>
                  </w:r>
                </w:p>
              </w:tc>
              <w:tc>
                <w:tcPr>
                  <w:tcW w:w="1830" w:type="dxa"/>
                  <w:noWrap w:val="0"/>
                  <w:vAlign w:val="center"/>
                </w:tcPr>
                <w:p>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天然气、</w:t>
                  </w:r>
                  <w:r>
                    <w:rPr>
                      <w:rFonts w:hint="eastAsia" w:cs="Times New Roman"/>
                      <w:color w:val="auto"/>
                      <w:sz w:val="18"/>
                      <w:szCs w:val="18"/>
                      <w:lang w:eastAsia="zh-CN"/>
                    </w:rPr>
                    <w:t>液压油</w:t>
                  </w:r>
                </w:p>
              </w:tc>
              <w:tc>
                <w:tcPr>
                  <w:tcW w:w="1869" w:type="dxa"/>
                  <w:noWrap w:val="0"/>
                  <w:vAlign w:val="center"/>
                </w:tcPr>
                <w:p>
                  <w:pPr>
                    <w:adjustRightInd w:val="0"/>
                    <w:snapToGrid w:val="0"/>
                    <w:jc w:val="center"/>
                    <w:rPr>
                      <w:rFonts w:hint="default" w:eastAsia="宋体"/>
                      <w:color w:val="auto"/>
                      <w:sz w:val="18"/>
                      <w:szCs w:val="18"/>
                      <w:lang w:val="en-US" w:eastAsia="zh-CN"/>
                    </w:rPr>
                  </w:pPr>
                  <w:r>
                    <w:rPr>
                      <w:rFonts w:hint="eastAsia"/>
                      <w:color w:val="auto"/>
                      <w:sz w:val="18"/>
                      <w:szCs w:val="18"/>
                    </w:rPr>
                    <w:t>泄漏</w:t>
                  </w:r>
                  <w:r>
                    <w:rPr>
                      <w:rFonts w:hint="eastAsia"/>
                      <w:color w:val="auto"/>
                      <w:sz w:val="18"/>
                      <w:szCs w:val="18"/>
                      <w:lang w:eastAsia="zh-CN"/>
                    </w:rPr>
                    <w:t>、</w:t>
                  </w:r>
                  <w:r>
                    <w:rPr>
                      <w:rFonts w:hint="eastAsia"/>
                      <w:color w:val="auto"/>
                      <w:sz w:val="18"/>
                      <w:szCs w:val="18"/>
                      <w:lang w:val="en-US" w:eastAsia="zh-CN"/>
                    </w:rPr>
                    <w:t>火灾、污染大气环境、危害人体健康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720" w:type="dxa"/>
                  <w:noWrap w:val="0"/>
                  <w:vAlign w:val="center"/>
                </w:tcPr>
                <w:p>
                  <w:pPr>
                    <w:adjustRightInd w:val="0"/>
                    <w:snapToGrid w:val="0"/>
                    <w:jc w:val="center"/>
                    <w:rPr>
                      <w:rFonts w:hint="eastAsia"/>
                      <w:color w:val="auto"/>
                      <w:sz w:val="18"/>
                      <w:szCs w:val="18"/>
                    </w:rPr>
                  </w:pPr>
                  <w:r>
                    <w:rPr>
                      <w:rFonts w:hint="eastAsia"/>
                      <w:color w:val="auto"/>
                      <w:sz w:val="18"/>
                      <w:szCs w:val="18"/>
                    </w:rPr>
                    <w:t>2</w:t>
                  </w:r>
                </w:p>
              </w:tc>
              <w:tc>
                <w:tcPr>
                  <w:tcW w:w="1383" w:type="dxa"/>
                  <w:shd w:val="clear" w:color="auto" w:fill="auto"/>
                  <w:noWrap w:val="0"/>
                  <w:vAlign w:val="center"/>
                </w:tcPr>
                <w:p>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热处理车间</w:t>
                  </w:r>
                </w:p>
              </w:tc>
              <w:tc>
                <w:tcPr>
                  <w:tcW w:w="1836" w:type="dxa"/>
                  <w:shd w:val="clear" w:color="auto" w:fill="auto"/>
                  <w:noWrap w:val="0"/>
                  <w:vAlign w:val="center"/>
                </w:tcPr>
                <w:p>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台车式退火炉</w:t>
                  </w:r>
                </w:p>
              </w:tc>
              <w:tc>
                <w:tcPr>
                  <w:tcW w:w="1830" w:type="dxa"/>
                  <w:shd w:val="clear" w:color="auto" w:fill="auto"/>
                  <w:noWrap w:val="0"/>
                  <w:vAlign w:val="center"/>
                </w:tcPr>
                <w:p>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天然气</w:t>
                  </w:r>
                </w:p>
              </w:tc>
              <w:tc>
                <w:tcPr>
                  <w:tcW w:w="1869" w:type="dxa"/>
                  <w:shd w:val="clear" w:color="auto" w:fill="auto"/>
                  <w:noWrap w:val="0"/>
                  <w:vAlign w:val="center"/>
                </w:tcPr>
                <w:p>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rPr>
                    <w:t>泄漏</w:t>
                  </w:r>
                  <w:r>
                    <w:rPr>
                      <w:rFonts w:hint="eastAsia"/>
                      <w:color w:val="auto"/>
                      <w:sz w:val="18"/>
                      <w:szCs w:val="18"/>
                      <w:lang w:eastAsia="zh-CN"/>
                    </w:rPr>
                    <w:t>、</w:t>
                  </w:r>
                  <w:r>
                    <w:rPr>
                      <w:rFonts w:hint="eastAsia"/>
                      <w:color w:val="auto"/>
                      <w:sz w:val="18"/>
                      <w:szCs w:val="18"/>
                      <w:lang w:val="en-US" w:eastAsia="zh-CN"/>
                    </w:rPr>
                    <w:t>火灾、污染大气环境、危害人体健康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720" w:type="dxa"/>
                  <w:noWrap w:val="0"/>
                  <w:vAlign w:val="center"/>
                </w:tcPr>
                <w:p>
                  <w:pPr>
                    <w:adjustRightInd w:val="0"/>
                    <w:snapToGrid w:val="0"/>
                    <w:jc w:val="center"/>
                    <w:rPr>
                      <w:rFonts w:hint="eastAsia" w:eastAsia="宋体"/>
                      <w:color w:val="auto"/>
                      <w:sz w:val="18"/>
                      <w:szCs w:val="18"/>
                      <w:lang w:val="en-US" w:eastAsia="zh-CN"/>
                    </w:rPr>
                  </w:pPr>
                  <w:r>
                    <w:rPr>
                      <w:rFonts w:hint="eastAsia"/>
                      <w:color w:val="auto"/>
                      <w:sz w:val="18"/>
                      <w:szCs w:val="18"/>
                      <w:lang w:val="en-US" w:eastAsia="zh-CN"/>
                    </w:rPr>
                    <w:t>3</w:t>
                  </w:r>
                </w:p>
              </w:tc>
              <w:tc>
                <w:tcPr>
                  <w:tcW w:w="1383" w:type="dxa"/>
                  <w:shd w:val="clear" w:color="auto" w:fill="auto"/>
                  <w:noWrap w:val="0"/>
                  <w:vAlign w:val="center"/>
                </w:tcPr>
                <w:p>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机加工车间</w:t>
                  </w:r>
                </w:p>
              </w:tc>
              <w:tc>
                <w:tcPr>
                  <w:tcW w:w="1836" w:type="dxa"/>
                  <w:shd w:val="clear" w:color="auto" w:fill="auto"/>
                  <w:noWrap w:val="0"/>
                  <w:vAlign w:val="center"/>
                </w:tcPr>
                <w:p>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卧式金属带锯床、卧式车床</w:t>
                  </w:r>
                  <w:r>
                    <w:rPr>
                      <w:rFonts w:hint="eastAsia" w:ascii="Times New Roman" w:hAnsi="Times New Roman" w:cs="Times New Roman"/>
                      <w:color w:val="auto"/>
                      <w:sz w:val="18"/>
                      <w:szCs w:val="18"/>
                      <w:lang w:val="en-US" w:eastAsia="zh-CN"/>
                    </w:rPr>
                    <w:t>等设备</w:t>
                  </w:r>
                </w:p>
              </w:tc>
              <w:tc>
                <w:tcPr>
                  <w:tcW w:w="1830" w:type="dxa"/>
                  <w:shd w:val="clear" w:color="auto" w:fill="auto"/>
                  <w:noWrap w:val="0"/>
                  <w:vAlign w:val="center"/>
                </w:tcPr>
                <w:p>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切削液、乳化液、润滑油、</w:t>
                  </w:r>
                  <w:r>
                    <w:rPr>
                      <w:rFonts w:hint="default" w:ascii="Times New Roman" w:hAnsi="Times New Roman" w:eastAsia="宋体" w:cs="Times New Roman"/>
                      <w:color w:val="auto"/>
                      <w:kern w:val="2"/>
                      <w:sz w:val="18"/>
                      <w:szCs w:val="18"/>
                      <w:lang w:val="en-US" w:eastAsia="zh-CN" w:bidi="ar-SA"/>
                    </w:rPr>
                    <w:t>机油</w:t>
                  </w:r>
                </w:p>
              </w:tc>
              <w:tc>
                <w:tcPr>
                  <w:tcW w:w="1869" w:type="dxa"/>
                  <w:shd w:val="clear" w:color="auto" w:fill="auto"/>
                  <w:noWrap w:val="0"/>
                  <w:vAlign w:val="center"/>
                </w:tcPr>
                <w:p>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rPr>
                    <w:t>泄漏</w:t>
                  </w:r>
                  <w:r>
                    <w:rPr>
                      <w:rFonts w:hint="eastAsia"/>
                      <w:color w:val="auto"/>
                      <w:sz w:val="18"/>
                      <w:szCs w:val="18"/>
                      <w:lang w:eastAsia="zh-CN"/>
                    </w:rPr>
                    <w:t>、</w:t>
                  </w:r>
                  <w:r>
                    <w:rPr>
                      <w:rFonts w:hint="eastAsia"/>
                      <w:color w:val="auto"/>
                      <w:sz w:val="18"/>
                      <w:szCs w:val="18"/>
                      <w:lang w:val="en-US" w:eastAsia="zh-CN"/>
                    </w:rPr>
                    <w:t>火灾、污染大气环境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720" w:type="dxa"/>
                  <w:noWrap w:val="0"/>
                  <w:vAlign w:val="center"/>
                </w:tcPr>
                <w:p>
                  <w:pPr>
                    <w:adjustRightInd w:val="0"/>
                    <w:snapToGrid w:val="0"/>
                    <w:jc w:val="center"/>
                    <w:rPr>
                      <w:rFonts w:hint="eastAsia" w:eastAsia="宋体"/>
                      <w:color w:val="auto"/>
                      <w:sz w:val="18"/>
                      <w:szCs w:val="18"/>
                      <w:lang w:val="en-US" w:eastAsia="zh-CN"/>
                    </w:rPr>
                  </w:pPr>
                  <w:r>
                    <w:rPr>
                      <w:rFonts w:hint="eastAsia"/>
                      <w:color w:val="auto"/>
                      <w:sz w:val="18"/>
                      <w:szCs w:val="18"/>
                      <w:lang w:val="en-US" w:eastAsia="zh-CN"/>
                    </w:rPr>
                    <w:t>4</w:t>
                  </w:r>
                </w:p>
              </w:tc>
              <w:tc>
                <w:tcPr>
                  <w:tcW w:w="1383" w:type="dxa"/>
                  <w:noWrap w:val="0"/>
                  <w:vAlign w:val="center"/>
                </w:tcPr>
                <w:p>
                  <w:pPr>
                    <w:adjustRightInd w:val="0"/>
                    <w:snapToGrid w:val="0"/>
                    <w:jc w:val="center"/>
                    <w:rPr>
                      <w:rFonts w:hint="eastAsia" w:eastAsia="宋体"/>
                      <w:color w:val="auto"/>
                      <w:sz w:val="18"/>
                      <w:szCs w:val="18"/>
                      <w:lang w:val="en-US" w:eastAsia="zh-CN"/>
                    </w:rPr>
                  </w:pPr>
                  <w:r>
                    <w:rPr>
                      <w:rFonts w:hint="eastAsia"/>
                      <w:color w:val="auto"/>
                      <w:sz w:val="18"/>
                      <w:szCs w:val="18"/>
                      <w:lang w:val="en-US" w:eastAsia="zh-CN"/>
                    </w:rPr>
                    <w:t>维修</w:t>
                  </w:r>
                </w:p>
              </w:tc>
              <w:tc>
                <w:tcPr>
                  <w:tcW w:w="1836" w:type="dxa"/>
                  <w:noWrap w:val="0"/>
                  <w:vAlign w:val="center"/>
                </w:tcPr>
                <w:p>
                  <w:pPr>
                    <w:adjustRightInd w:val="0"/>
                    <w:snapToGrid w:val="0"/>
                    <w:jc w:val="center"/>
                    <w:rPr>
                      <w:rFonts w:hint="eastAsia"/>
                      <w:color w:val="auto"/>
                      <w:sz w:val="18"/>
                      <w:szCs w:val="18"/>
                      <w:lang w:val="en-US" w:eastAsia="zh-CN"/>
                    </w:rPr>
                  </w:pPr>
                  <w:r>
                    <w:rPr>
                      <w:rFonts w:hint="eastAsia"/>
                      <w:color w:val="auto"/>
                      <w:sz w:val="18"/>
                      <w:szCs w:val="18"/>
                      <w:lang w:val="en-US" w:eastAsia="zh-CN"/>
                    </w:rPr>
                    <w:t>气瓶间</w:t>
                  </w:r>
                </w:p>
              </w:tc>
              <w:tc>
                <w:tcPr>
                  <w:tcW w:w="1830" w:type="dxa"/>
                  <w:noWrap w:val="0"/>
                  <w:vAlign w:val="center"/>
                </w:tcPr>
                <w:p>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氧气</w:t>
                  </w:r>
                  <w:r>
                    <w:rPr>
                      <w:rFonts w:hint="eastAsia" w:ascii="Times New Roman" w:hAnsi="Times New Roman" w:eastAsia="宋体" w:cs="Times New Roman"/>
                      <w:color w:val="auto"/>
                      <w:kern w:val="2"/>
                      <w:sz w:val="18"/>
                      <w:szCs w:val="18"/>
                      <w:lang w:val="en-US" w:eastAsia="zh-CN" w:bidi="ar-SA"/>
                    </w:rPr>
                    <w:t>、丙烷</w:t>
                  </w:r>
                </w:p>
              </w:tc>
              <w:tc>
                <w:tcPr>
                  <w:tcW w:w="1869" w:type="dxa"/>
                  <w:noWrap w:val="0"/>
                  <w:vAlign w:val="center"/>
                </w:tcPr>
                <w:p>
                  <w:pPr>
                    <w:adjustRightInd w:val="0"/>
                    <w:snapToGrid w:val="0"/>
                    <w:jc w:val="center"/>
                    <w:rPr>
                      <w:rFonts w:hint="eastAsia"/>
                      <w:color w:val="auto"/>
                      <w:sz w:val="18"/>
                      <w:szCs w:val="18"/>
                    </w:rPr>
                  </w:pPr>
                  <w:r>
                    <w:rPr>
                      <w:rFonts w:hint="eastAsia"/>
                      <w:color w:val="auto"/>
                      <w:sz w:val="18"/>
                      <w:szCs w:val="18"/>
                    </w:rPr>
                    <w:t>泄漏</w:t>
                  </w:r>
                  <w:r>
                    <w:rPr>
                      <w:rFonts w:hint="eastAsia"/>
                      <w:color w:val="auto"/>
                      <w:sz w:val="18"/>
                      <w:szCs w:val="18"/>
                      <w:lang w:eastAsia="zh-CN"/>
                    </w:rPr>
                    <w:t>、</w:t>
                  </w:r>
                  <w:r>
                    <w:rPr>
                      <w:rFonts w:hint="eastAsia"/>
                      <w:color w:val="auto"/>
                      <w:sz w:val="18"/>
                      <w:szCs w:val="18"/>
                      <w:lang w:val="en-US" w:eastAsia="zh-CN"/>
                    </w:rPr>
                    <w:t>火灾、污染大气环境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720" w:type="dxa"/>
                  <w:noWrap w:val="0"/>
                  <w:vAlign w:val="center"/>
                </w:tcPr>
                <w:p>
                  <w:pPr>
                    <w:adjustRightInd w:val="0"/>
                    <w:snapToGrid w:val="0"/>
                    <w:jc w:val="center"/>
                    <w:rPr>
                      <w:rFonts w:hint="default"/>
                      <w:color w:val="auto"/>
                      <w:sz w:val="18"/>
                      <w:szCs w:val="18"/>
                      <w:lang w:val="en-US" w:eastAsia="zh-CN"/>
                    </w:rPr>
                  </w:pPr>
                  <w:r>
                    <w:rPr>
                      <w:rFonts w:hint="eastAsia"/>
                      <w:color w:val="auto"/>
                      <w:sz w:val="18"/>
                      <w:szCs w:val="18"/>
                      <w:lang w:val="en-US" w:eastAsia="zh-CN"/>
                    </w:rPr>
                    <w:t>5</w:t>
                  </w:r>
                </w:p>
              </w:tc>
              <w:tc>
                <w:tcPr>
                  <w:tcW w:w="1383" w:type="dxa"/>
                  <w:noWrap w:val="0"/>
                  <w:vAlign w:val="center"/>
                </w:tcPr>
                <w:p>
                  <w:pPr>
                    <w:adjustRightInd w:val="0"/>
                    <w:snapToGrid w:val="0"/>
                    <w:jc w:val="center"/>
                    <w:rPr>
                      <w:rFonts w:hint="eastAsia"/>
                      <w:color w:val="auto"/>
                      <w:sz w:val="18"/>
                      <w:szCs w:val="18"/>
                      <w:lang w:val="en-US" w:eastAsia="zh-CN"/>
                    </w:rPr>
                  </w:pPr>
                  <w:r>
                    <w:rPr>
                      <w:rFonts w:hint="default" w:ascii="Times New Roman" w:hAnsi="Times New Roman" w:cs="Times New Roman"/>
                      <w:color w:val="auto"/>
                      <w:sz w:val="18"/>
                      <w:szCs w:val="18"/>
                      <w:lang w:val="en-US" w:eastAsia="zh-CN"/>
                    </w:rPr>
                    <w:t>危废</w:t>
                  </w:r>
                  <w:r>
                    <w:rPr>
                      <w:rFonts w:hint="eastAsia" w:ascii="Times New Roman" w:hAnsi="Times New Roman" w:cs="Times New Roman"/>
                      <w:color w:val="auto"/>
                      <w:sz w:val="18"/>
                      <w:szCs w:val="18"/>
                      <w:lang w:val="en-US" w:eastAsia="zh-CN"/>
                    </w:rPr>
                    <w:t>仓库</w:t>
                  </w:r>
                </w:p>
              </w:tc>
              <w:tc>
                <w:tcPr>
                  <w:tcW w:w="1836" w:type="dxa"/>
                  <w:noWrap w:val="0"/>
                  <w:vAlign w:val="center"/>
                </w:tcPr>
                <w:p>
                  <w:pPr>
                    <w:adjustRightInd w:val="0"/>
                    <w:snapToGrid w:val="0"/>
                    <w:jc w:val="center"/>
                    <w:rPr>
                      <w:rFonts w:hint="eastAsia"/>
                      <w:color w:val="auto"/>
                      <w:sz w:val="18"/>
                      <w:szCs w:val="18"/>
                      <w:lang w:val="en-US" w:eastAsia="zh-CN"/>
                    </w:rPr>
                  </w:pPr>
                  <w:r>
                    <w:rPr>
                      <w:rFonts w:hint="eastAsia"/>
                      <w:color w:val="auto"/>
                      <w:sz w:val="18"/>
                      <w:szCs w:val="18"/>
                      <w:lang w:val="en-US" w:eastAsia="zh-CN"/>
                    </w:rPr>
                    <w:t>危险废物</w:t>
                  </w:r>
                </w:p>
              </w:tc>
              <w:tc>
                <w:tcPr>
                  <w:tcW w:w="1830" w:type="dxa"/>
                  <w:noWrap w:val="0"/>
                  <w:vAlign w:val="center"/>
                </w:tcPr>
                <w:p>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废机油、废油桶、废液压油、废金属屑、废切削液、废润滑油、废乳化液、废包装桶</w:t>
                  </w:r>
                </w:p>
              </w:tc>
              <w:tc>
                <w:tcPr>
                  <w:tcW w:w="1869" w:type="dxa"/>
                  <w:noWrap w:val="0"/>
                  <w:vAlign w:val="center"/>
                </w:tcPr>
                <w:p>
                  <w:pPr>
                    <w:adjustRightInd w:val="0"/>
                    <w:snapToGrid w:val="0"/>
                    <w:jc w:val="center"/>
                    <w:rPr>
                      <w:rFonts w:hint="eastAsia"/>
                      <w:color w:val="auto"/>
                      <w:sz w:val="18"/>
                      <w:szCs w:val="18"/>
                    </w:rPr>
                  </w:pPr>
                  <w:r>
                    <w:rPr>
                      <w:rFonts w:hint="eastAsia"/>
                      <w:color w:val="auto"/>
                      <w:sz w:val="18"/>
                      <w:szCs w:val="18"/>
                    </w:rPr>
                    <w:t>泄漏</w:t>
                  </w:r>
                  <w:r>
                    <w:rPr>
                      <w:rFonts w:hint="eastAsia"/>
                      <w:color w:val="auto"/>
                      <w:sz w:val="18"/>
                      <w:szCs w:val="18"/>
                      <w:lang w:eastAsia="zh-CN"/>
                    </w:rPr>
                    <w:t>、</w:t>
                  </w:r>
                  <w:r>
                    <w:rPr>
                      <w:rFonts w:hint="eastAsia"/>
                      <w:color w:val="auto"/>
                      <w:sz w:val="18"/>
                      <w:szCs w:val="18"/>
                      <w:lang w:val="en-US" w:eastAsia="zh-CN"/>
                    </w:rPr>
                    <w:t>火灾、污染大气环境</w:t>
                  </w:r>
                </w:p>
              </w:tc>
            </w:tr>
          </w:tbl>
          <w:p>
            <w:pPr>
              <w:adjustRightInd w:val="0"/>
              <w:snapToGrid w:val="0"/>
              <w:spacing w:line="500" w:lineRule="exact"/>
              <w:ind w:firstLine="420" w:firstLineChars="200"/>
              <w:rPr>
                <w:bCs/>
                <w:color w:val="auto"/>
                <w:szCs w:val="21"/>
              </w:rPr>
            </w:pPr>
            <w:r>
              <w:rPr>
                <w:rFonts w:hint="eastAsia"/>
                <w:bCs/>
                <w:color w:val="auto"/>
                <w:szCs w:val="21"/>
              </w:rPr>
              <w:t>② 储存过程危险性识别</w:t>
            </w:r>
          </w:p>
          <w:p>
            <w:pPr>
              <w:keepNext w:val="0"/>
              <w:keepLines w:val="0"/>
              <w:pageBreakBefore w:val="0"/>
              <w:widowControl w:val="0"/>
              <w:kinsoku/>
              <w:wordWrap/>
              <w:overflowPunct/>
              <w:topLinePunct w:val="0"/>
              <w:bidi w:val="0"/>
              <w:adjustRightInd w:val="0"/>
              <w:snapToGrid w:val="0"/>
              <w:spacing w:line="500" w:lineRule="exact"/>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本项目所需</w:t>
            </w:r>
            <w:r>
              <w:rPr>
                <w:rFonts w:hint="eastAsia" w:cs="Times New Roman"/>
                <w:color w:val="auto"/>
                <w:sz w:val="21"/>
                <w:szCs w:val="21"/>
                <w:lang w:val="en-US" w:eastAsia="zh-CN"/>
              </w:rPr>
              <w:t>钢锭</w:t>
            </w:r>
            <w:r>
              <w:rPr>
                <w:rFonts w:hint="default" w:ascii="Times New Roman" w:hAnsi="Times New Roman" w:eastAsia="宋体" w:cs="Times New Roman"/>
                <w:color w:val="auto"/>
                <w:sz w:val="21"/>
                <w:szCs w:val="21"/>
                <w:lang w:val="en-US" w:eastAsia="zh-CN"/>
              </w:rPr>
              <w:t>、成品周转周期短，放置于</w:t>
            </w:r>
            <w:r>
              <w:rPr>
                <w:rFonts w:hint="eastAsia" w:ascii="Times New Roman" w:hAnsi="Times New Roman" w:eastAsia="宋体" w:cs="Times New Roman"/>
                <w:color w:val="auto"/>
                <w:sz w:val="21"/>
                <w:szCs w:val="21"/>
                <w:lang w:val="en-US" w:eastAsia="zh-CN"/>
              </w:rPr>
              <w:t>生产车间</w:t>
            </w:r>
            <w:r>
              <w:rPr>
                <w:rFonts w:hint="default" w:ascii="Times New Roman" w:hAnsi="Times New Roman" w:eastAsia="宋体" w:cs="Times New Roman"/>
                <w:color w:val="auto"/>
                <w:sz w:val="21"/>
                <w:szCs w:val="21"/>
                <w:lang w:val="en-US" w:eastAsia="zh-CN"/>
              </w:rPr>
              <w:t>。加强原料、成品</w:t>
            </w:r>
            <w:r>
              <w:rPr>
                <w:rFonts w:hint="eastAsia" w:ascii="Times New Roman" w:hAnsi="Times New Roman" w:eastAsia="宋体" w:cs="Times New Roman"/>
                <w:color w:val="auto"/>
                <w:sz w:val="21"/>
                <w:szCs w:val="21"/>
                <w:lang w:val="en-US" w:eastAsia="zh-CN"/>
              </w:rPr>
              <w:t>的</w:t>
            </w:r>
            <w:r>
              <w:rPr>
                <w:rFonts w:hint="default" w:ascii="Times New Roman" w:hAnsi="Times New Roman" w:eastAsia="宋体" w:cs="Times New Roman"/>
                <w:color w:val="auto"/>
                <w:sz w:val="21"/>
                <w:szCs w:val="21"/>
                <w:lang w:val="en-US" w:eastAsia="zh-CN"/>
              </w:rPr>
              <w:t>安全管理，定期</w:t>
            </w:r>
            <w:r>
              <w:rPr>
                <w:rFonts w:hint="eastAsia" w:ascii="Times New Roman" w:hAnsi="Times New Roman" w:eastAsia="宋体" w:cs="Times New Roman"/>
                <w:color w:val="auto"/>
                <w:sz w:val="21"/>
                <w:szCs w:val="21"/>
                <w:lang w:val="en-US" w:eastAsia="zh-CN"/>
              </w:rPr>
              <w:t>巡检</w:t>
            </w:r>
            <w:r>
              <w:rPr>
                <w:rFonts w:hint="default" w:ascii="Times New Roman" w:hAnsi="Times New Roman" w:eastAsia="宋体" w:cs="Times New Roman"/>
                <w:color w:val="auto"/>
                <w:sz w:val="21"/>
                <w:szCs w:val="21"/>
                <w:lang w:val="en-US" w:eastAsia="zh-CN"/>
              </w:rPr>
              <w:t>，保证其安全和质量，并有相应的标识。严禁火种带入仓库，禁止在仓库内堆积可燃性废弃物。</w:t>
            </w:r>
          </w:p>
          <w:p>
            <w:pPr>
              <w:keepNext w:val="0"/>
              <w:keepLines w:val="0"/>
              <w:pageBreakBefore w:val="0"/>
              <w:widowControl w:val="0"/>
              <w:kinsoku/>
              <w:wordWrap/>
              <w:overflowPunct/>
              <w:topLinePunct w:val="0"/>
              <w:bidi w:val="0"/>
              <w:adjustRightInd w:val="0"/>
              <w:snapToGrid w:val="0"/>
              <w:spacing w:line="500" w:lineRule="exact"/>
              <w:ind w:firstLine="420" w:firstLineChars="200"/>
              <w:textAlignment w:val="auto"/>
              <w:rPr>
                <w:rFonts w:hint="default" w:eastAsia="宋体"/>
                <w:bCs/>
                <w:color w:val="auto"/>
                <w:szCs w:val="21"/>
                <w:lang w:val="en-US" w:eastAsia="zh-CN"/>
              </w:rPr>
            </w:pPr>
            <w:r>
              <w:rPr>
                <w:rFonts w:hint="eastAsia" w:ascii="Times New Roman" w:hAnsi="Times New Roman" w:eastAsia="宋体" w:cs="Times New Roman"/>
                <w:color w:val="auto"/>
                <w:sz w:val="21"/>
                <w:szCs w:val="21"/>
                <w:lang w:val="en-US" w:eastAsia="zh-CN"/>
              </w:rPr>
              <w:t>机油放置</w:t>
            </w:r>
            <w:r>
              <w:rPr>
                <w:rFonts w:hint="default" w:ascii="Times New Roman" w:hAnsi="Times New Roman" w:eastAsia="宋体" w:cs="Times New Roman"/>
                <w:color w:val="auto"/>
                <w:sz w:val="21"/>
                <w:szCs w:val="21"/>
                <w:lang w:val="en-US" w:eastAsia="zh-CN"/>
              </w:rPr>
              <w:t>场所</w:t>
            </w:r>
            <w:r>
              <w:rPr>
                <w:rFonts w:hint="eastAsia" w:ascii="Times New Roman" w:eastAsia="宋体" w:cs="Times New Roman"/>
                <w:color w:val="auto"/>
                <w:sz w:val="21"/>
                <w:szCs w:val="21"/>
                <w:lang w:val="en-US" w:eastAsia="zh-CN"/>
              </w:rPr>
              <w:t>应选择在通风良好干燥、远离明火和热源的地方。生产车间内</w:t>
            </w:r>
            <w:r>
              <w:rPr>
                <w:rFonts w:hint="default" w:ascii="Times New Roman" w:hAnsi="Times New Roman" w:eastAsia="宋体" w:cs="Times New Roman"/>
                <w:b w:val="0"/>
                <w:bCs/>
                <w:color w:val="auto"/>
                <w:sz w:val="21"/>
                <w:szCs w:val="21"/>
                <w:lang w:val="en-US" w:eastAsia="zh-CN"/>
              </w:rPr>
              <w:t>严禁火种带入</w:t>
            </w:r>
            <w:r>
              <w:rPr>
                <w:rFonts w:hint="eastAsia" w:ascii="Times New Roman" w:hAnsi="Times New Roman" w:eastAsia="宋体" w:cs="Times New Roman"/>
                <w:b w:val="0"/>
                <w:bCs/>
                <w:color w:val="auto"/>
                <w:sz w:val="21"/>
                <w:szCs w:val="21"/>
                <w:lang w:val="en-US" w:eastAsia="zh-CN"/>
              </w:rPr>
              <w:t>，禁止在车间内吸烟</w:t>
            </w:r>
            <w:r>
              <w:rPr>
                <w:rFonts w:hint="eastAsia" w:ascii="Times New Roman" w:eastAsia="宋体" w:cs="Times New Roman"/>
                <w:color w:val="auto"/>
                <w:sz w:val="21"/>
                <w:szCs w:val="21"/>
                <w:lang w:val="en-US" w:eastAsia="zh-CN"/>
              </w:rPr>
              <w:t>储存的位置要远离易燃物和可燃性物质，以防止火灾发生。例如，定期检查容器是否有破损、漏液等情况，并及时更换或维修。另外，应设立防火、泄漏报警系统，确保一旦发生火灾或泄漏事故，及时报警并采取相应的措施</w:t>
            </w:r>
            <w:r>
              <w:rPr>
                <w:rFonts w:hint="eastAsia"/>
                <w:bCs/>
                <w:color w:val="auto"/>
                <w:szCs w:val="21"/>
                <w:lang w:val="en-US" w:eastAsia="zh-CN"/>
              </w:rPr>
              <w:t>。</w:t>
            </w:r>
          </w:p>
          <w:p>
            <w:pPr>
              <w:adjustRightInd w:val="0"/>
              <w:snapToGrid w:val="0"/>
              <w:spacing w:line="500" w:lineRule="exact"/>
              <w:ind w:firstLine="420" w:firstLineChars="200"/>
              <w:rPr>
                <w:bCs/>
                <w:color w:val="auto"/>
                <w:szCs w:val="21"/>
              </w:rPr>
            </w:pPr>
            <w:r>
              <w:rPr>
                <w:rFonts w:hint="eastAsia"/>
                <w:bCs/>
                <w:color w:val="auto"/>
                <w:szCs w:val="21"/>
              </w:rPr>
              <w:t>③ 公用工程危险性识别</w:t>
            </w:r>
          </w:p>
          <w:p>
            <w:pPr>
              <w:adjustRightInd w:val="0"/>
              <w:snapToGrid w:val="0"/>
              <w:spacing w:line="500" w:lineRule="exact"/>
              <w:ind w:firstLine="420" w:firstLineChars="200"/>
              <w:rPr>
                <w:rFonts w:hint="eastAsia"/>
                <w:bCs/>
                <w:color w:val="auto"/>
                <w:szCs w:val="21"/>
              </w:rPr>
            </w:pPr>
            <w:r>
              <w:rPr>
                <w:rFonts w:hint="eastAsia"/>
                <w:bCs/>
                <w:color w:val="auto"/>
                <w:szCs w:val="21"/>
              </w:rPr>
              <w:t>A、若配电、消防等公用辅助设施的能力不足，不仅会影响正常生产，还会导致火灾、爆炸及中毒事故的发生。</w:t>
            </w:r>
          </w:p>
          <w:p>
            <w:pPr>
              <w:adjustRightInd w:val="0"/>
              <w:snapToGrid w:val="0"/>
              <w:spacing w:line="500" w:lineRule="exact"/>
              <w:ind w:firstLine="420" w:firstLineChars="200"/>
              <w:rPr>
                <w:rFonts w:hint="eastAsia"/>
                <w:bCs/>
                <w:color w:val="auto"/>
                <w:szCs w:val="21"/>
              </w:rPr>
            </w:pPr>
            <w:r>
              <w:rPr>
                <w:rFonts w:hint="eastAsia"/>
                <w:bCs/>
                <w:color w:val="auto"/>
                <w:szCs w:val="21"/>
              </w:rPr>
              <w:t>B、若该企业的消防设施失效，一旦发生火灾，不能对初期火灾实施有效</w:t>
            </w:r>
            <w:r>
              <w:rPr>
                <w:rFonts w:hint="eastAsia"/>
                <w:bCs/>
                <w:color w:val="auto"/>
                <w:szCs w:val="21"/>
                <w:lang w:eastAsia="zh-CN"/>
              </w:rPr>
              <w:t>地</w:t>
            </w:r>
            <w:r>
              <w:rPr>
                <w:rFonts w:hint="eastAsia"/>
                <w:bCs/>
                <w:color w:val="auto"/>
                <w:szCs w:val="21"/>
              </w:rPr>
              <w:t>控制，从而会导致事故的进一步扩大，甚至会达到不可控的地步，导致人、财、物的损失。</w:t>
            </w:r>
          </w:p>
          <w:p>
            <w:pPr>
              <w:adjustRightInd w:val="0"/>
              <w:snapToGrid w:val="0"/>
              <w:spacing w:line="500" w:lineRule="exact"/>
              <w:ind w:firstLine="420" w:firstLineChars="200"/>
              <w:rPr>
                <w:rFonts w:hint="eastAsia"/>
                <w:bCs/>
                <w:color w:val="auto"/>
                <w:szCs w:val="21"/>
              </w:rPr>
            </w:pPr>
            <w:r>
              <w:rPr>
                <w:rFonts w:hint="eastAsia"/>
                <w:bCs/>
                <w:color w:val="auto"/>
                <w:szCs w:val="21"/>
              </w:rPr>
              <w:t>3）危险物质向环境转移的途径识别</w:t>
            </w:r>
          </w:p>
          <w:p>
            <w:pPr>
              <w:adjustRightInd w:val="0"/>
              <w:snapToGrid w:val="0"/>
              <w:spacing w:line="500" w:lineRule="exact"/>
              <w:ind w:firstLine="420" w:firstLineChars="200"/>
              <w:rPr>
                <w:rFonts w:hint="eastAsia"/>
                <w:bCs/>
                <w:color w:val="auto"/>
                <w:szCs w:val="21"/>
              </w:rPr>
            </w:pPr>
            <w:r>
              <w:rPr>
                <w:rFonts w:hint="eastAsia"/>
                <w:bCs/>
                <w:color w:val="auto"/>
                <w:szCs w:val="21"/>
              </w:rPr>
              <w:t>根据可能发生突发环境事件的情况下，污染物的转移途径</w:t>
            </w:r>
            <w:r>
              <w:rPr>
                <w:rFonts w:hint="eastAsia"/>
                <w:bCs/>
                <w:color w:val="auto"/>
                <w:szCs w:val="21"/>
                <w:lang w:val="en-US" w:eastAsia="zh-CN"/>
              </w:rPr>
              <w:t>见</w:t>
            </w:r>
            <w:r>
              <w:rPr>
                <w:rFonts w:hint="eastAsia"/>
                <w:bCs/>
                <w:color w:val="auto"/>
                <w:szCs w:val="21"/>
              </w:rPr>
              <w:t>下表。</w:t>
            </w:r>
          </w:p>
          <w:p>
            <w:pPr>
              <w:autoSpaceDE w:val="0"/>
              <w:autoSpaceDN w:val="0"/>
              <w:adjustRightInd w:val="0"/>
              <w:spacing w:line="500" w:lineRule="exact"/>
              <w:jc w:val="center"/>
              <w:rPr>
                <w:b/>
                <w:bCs/>
                <w:color w:val="auto"/>
                <w:szCs w:val="21"/>
              </w:rPr>
            </w:pPr>
            <w:r>
              <w:rPr>
                <w:b/>
                <w:bCs/>
                <w:color w:val="auto"/>
                <w:szCs w:val="21"/>
              </w:rPr>
              <w:t>表</w:t>
            </w:r>
            <w:r>
              <w:rPr>
                <w:rFonts w:hint="eastAsia"/>
                <w:b/>
                <w:bCs/>
                <w:color w:val="auto"/>
                <w:szCs w:val="21"/>
              </w:rPr>
              <w:t>4-</w:t>
            </w:r>
            <w:r>
              <w:rPr>
                <w:rFonts w:hint="eastAsia"/>
                <w:b/>
                <w:bCs/>
                <w:color w:val="auto"/>
                <w:szCs w:val="21"/>
                <w:lang w:val="en-US" w:eastAsia="zh-CN"/>
              </w:rPr>
              <w:t>27</w:t>
            </w:r>
            <w:r>
              <w:rPr>
                <w:rFonts w:hint="eastAsia"/>
                <w:b/>
                <w:bCs/>
                <w:color w:val="auto"/>
                <w:szCs w:val="21"/>
                <w:lang w:eastAsia="zh-CN"/>
              </w:rPr>
              <w:t xml:space="preserve">  </w:t>
            </w:r>
            <w:r>
              <w:rPr>
                <w:rFonts w:hint="eastAsia"/>
                <w:b/>
                <w:bCs/>
                <w:color w:val="auto"/>
                <w:szCs w:val="21"/>
              </w:rPr>
              <w:t>事故污染物转移途径及影响方式</w:t>
            </w:r>
          </w:p>
          <w:tbl>
            <w:tblPr>
              <w:tblStyle w:val="2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49"/>
              <w:gridCol w:w="1250"/>
              <w:gridCol w:w="1125"/>
              <w:gridCol w:w="1299"/>
              <w:gridCol w:w="1299"/>
              <w:gridCol w:w="130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829" w:type="pct"/>
                  <w:vMerge w:val="restart"/>
                  <w:noWrap w:val="0"/>
                  <w:vAlign w:val="center"/>
                </w:tcPr>
                <w:p>
                  <w:pPr>
                    <w:jc w:val="center"/>
                    <w:rPr>
                      <w:b/>
                      <w:bCs/>
                      <w:color w:val="auto"/>
                      <w:sz w:val="18"/>
                      <w:szCs w:val="18"/>
                    </w:rPr>
                  </w:pPr>
                  <w:r>
                    <w:rPr>
                      <w:rFonts w:hint="eastAsia"/>
                      <w:b/>
                      <w:bCs/>
                      <w:color w:val="auto"/>
                      <w:sz w:val="18"/>
                      <w:szCs w:val="18"/>
                    </w:rPr>
                    <w:t>事故类型</w:t>
                  </w:r>
                </w:p>
              </w:tc>
              <w:tc>
                <w:tcPr>
                  <w:tcW w:w="830" w:type="pct"/>
                  <w:vMerge w:val="restart"/>
                  <w:noWrap w:val="0"/>
                  <w:vAlign w:val="center"/>
                </w:tcPr>
                <w:p>
                  <w:pPr>
                    <w:jc w:val="center"/>
                    <w:rPr>
                      <w:b/>
                      <w:bCs/>
                      <w:color w:val="auto"/>
                      <w:sz w:val="18"/>
                      <w:szCs w:val="18"/>
                    </w:rPr>
                  </w:pPr>
                  <w:r>
                    <w:rPr>
                      <w:rFonts w:hint="eastAsia"/>
                      <w:b/>
                      <w:bCs/>
                      <w:color w:val="auto"/>
                      <w:sz w:val="18"/>
                      <w:szCs w:val="18"/>
                    </w:rPr>
                    <w:t>事故位置</w:t>
                  </w:r>
                </w:p>
              </w:tc>
              <w:tc>
                <w:tcPr>
                  <w:tcW w:w="747" w:type="pct"/>
                  <w:vMerge w:val="restart"/>
                  <w:noWrap w:val="0"/>
                  <w:vAlign w:val="center"/>
                </w:tcPr>
                <w:p>
                  <w:pPr>
                    <w:jc w:val="center"/>
                    <w:rPr>
                      <w:rFonts w:hint="eastAsia"/>
                      <w:b/>
                      <w:bCs/>
                      <w:color w:val="auto"/>
                      <w:sz w:val="18"/>
                      <w:szCs w:val="18"/>
                    </w:rPr>
                  </w:pPr>
                  <w:r>
                    <w:rPr>
                      <w:rFonts w:hint="eastAsia"/>
                      <w:b/>
                      <w:bCs/>
                      <w:color w:val="auto"/>
                      <w:sz w:val="18"/>
                      <w:szCs w:val="18"/>
                    </w:rPr>
                    <w:t>事故</w:t>
                  </w:r>
                </w:p>
                <w:p>
                  <w:pPr>
                    <w:jc w:val="center"/>
                    <w:rPr>
                      <w:b/>
                      <w:bCs/>
                      <w:color w:val="auto"/>
                      <w:sz w:val="18"/>
                      <w:szCs w:val="18"/>
                    </w:rPr>
                  </w:pPr>
                  <w:r>
                    <w:rPr>
                      <w:rFonts w:hint="eastAsia"/>
                      <w:b/>
                      <w:bCs/>
                      <w:color w:val="auto"/>
                      <w:sz w:val="18"/>
                      <w:szCs w:val="18"/>
                    </w:rPr>
                    <w:t>危害形式</w:t>
                  </w:r>
                </w:p>
              </w:tc>
              <w:tc>
                <w:tcPr>
                  <w:tcW w:w="2592" w:type="pct"/>
                  <w:gridSpan w:val="3"/>
                  <w:noWrap w:val="0"/>
                  <w:vAlign w:val="center"/>
                </w:tcPr>
                <w:p>
                  <w:pPr>
                    <w:jc w:val="center"/>
                    <w:rPr>
                      <w:b/>
                      <w:bCs/>
                      <w:color w:val="auto"/>
                      <w:sz w:val="18"/>
                      <w:szCs w:val="18"/>
                    </w:rPr>
                  </w:pPr>
                  <w:r>
                    <w:rPr>
                      <w:rFonts w:hint="eastAsia"/>
                      <w:b/>
                      <w:bCs/>
                      <w:color w:val="auto"/>
                      <w:sz w:val="18"/>
                      <w:szCs w:val="18"/>
                    </w:rPr>
                    <w:t>危险物质向环境转移的可能途径和影响方式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829" w:type="pct"/>
                  <w:vMerge w:val="continue"/>
                  <w:noWrap w:val="0"/>
                  <w:vAlign w:val="center"/>
                </w:tcPr>
                <w:p>
                  <w:pPr>
                    <w:jc w:val="center"/>
                    <w:rPr>
                      <w:rFonts w:hint="eastAsia"/>
                      <w:b/>
                      <w:bCs/>
                      <w:color w:val="auto"/>
                      <w:sz w:val="18"/>
                      <w:szCs w:val="18"/>
                    </w:rPr>
                  </w:pPr>
                </w:p>
              </w:tc>
              <w:tc>
                <w:tcPr>
                  <w:tcW w:w="830" w:type="pct"/>
                  <w:vMerge w:val="continue"/>
                  <w:noWrap w:val="0"/>
                  <w:vAlign w:val="center"/>
                </w:tcPr>
                <w:p>
                  <w:pPr>
                    <w:jc w:val="center"/>
                    <w:rPr>
                      <w:rFonts w:hint="eastAsia"/>
                      <w:b/>
                      <w:bCs/>
                      <w:color w:val="auto"/>
                      <w:sz w:val="18"/>
                      <w:szCs w:val="18"/>
                    </w:rPr>
                  </w:pPr>
                </w:p>
              </w:tc>
              <w:tc>
                <w:tcPr>
                  <w:tcW w:w="747" w:type="pct"/>
                  <w:vMerge w:val="continue"/>
                  <w:noWrap w:val="0"/>
                  <w:vAlign w:val="center"/>
                </w:tcPr>
                <w:p>
                  <w:pPr>
                    <w:jc w:val="center"/>
                    <w:rPr>
                      <w:rFonts w:hint="eastAsia"/>
                      <w:b/>
                      <w:bCs/>
                      <w:color w:val="auto"/>
                      <w:sz w:val="18"/>
                      <w:szCs w:val="18"/>
                    </w:rPr>
                  </w:pPr>
                </w:p>
              </w:tc>
              <w:tc>
                <w:tcPr>
                  <w:tcW w:w="863" w:type="pct"/>
                  <w:noWrap w:val="0"/>
                  <w:vAlign w:val="center"/>
                </w:tcPr>
                <w:p>
                  <w:pPr>
                    <w:jc w:val="center"/>
                    <w:rPr>
                      <w:rFonts w:hint="eastAsia"/>
                      <w:b/>
                      <w:bCs/>
                      <w:color w:val="auto"/>
                      <w:sz w:val="18"/>
                      <w:szCs w:val="18"/>
                    </w:rPr>
                  </w:pPr>
                  <w:r>
                    <w:rPr>
                      <w:rFonts w:hint="eastAsia"/>
                      <w:b/>
                      <w:bCs/>
                      <w:color w:val="auto"/>
                      <w:sz w:val="18"/>
                      <w:szCs w:val="18"/>
                    </w:rPr>
                    <w:t>大气</w:t>
                  </w:r>
                </w:p>
              </w:tc>
              <w:tc>
                <w:tcPr>
                  <w:tcW w:w="863" w:type="pct"/>
                  <w:noWrap w:val="0"/>
                  <w:vAlign w:val="center"/>
                </w:tcPr>
                <w:p>
                  <w:pPr>
                    <w:jc w:val="center"/>
                    <w:rPr>
                      <w:rFonts w:hint="eastAsia"/>
                      <w:b/>
                      <w:bCs/>
                      <w:color w:val="auto"/>
                      <w:sz w:val="18"/>
                      <w:szCs w:val="18"/>
                    </w:rPr>
                  </w:pPr>
                  <w:r>
                    <w:rPr>
                      <w:rFonts w:hint="eastAsia"/>
                      <w:b/>
                      <w:bCs/>
                      <w:color w:val="auto"/>
                      <w:sz w:val="18"/>
                      <w:szCs w:val="18"/>
                    </w:rPr>
                    <w:t>排水系统</w:t>
                  </w:r>
                </w:p>
              </w:tc>
              <w:tc>
                <w:tcPr>
                  <w:tcW w:w="866" w:type="pct"/>
                  <w:noWrap w:val="0"/>
                  <w:vAlign w:val="center"/>
                </w:tcPr>
                <w:p>
                  <w:pPr>
                    <w:jc w:val="center"/>
                    <w:rPr>
                      <w:rFonts w:hint="eastAsia"/>
                      <w:b/>
                      <w:bCs/>
                      <w:color w:val="auto"/>
                      <w:sz w:val="18"/>
                      <w:szCs w:val="18"/>
                    </w:rPr>
                  </w:pPr>
                  <w:r>
                    <w:rPr>
                      <w:rFonts w:hint="eastAsia"/>
                      <w:b/>
                      <w:bCs/>
                      <w:color w:val="auto"/>
                      <w:sz w:val="18"/>
                      <w:szCs w:val="18"/>
                    </w:rPr>
                    <w:t>土壤、地下水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29" w:type="pct"/>
                  <w:vMerge w:val="restart"/>
                  <w:noWrap w:val="0"/>
                  <w:vAlign w:val="center"/>
                </w:tcPr>
                <w:p>
                  <w:pPr>
                    <w:jc w:val="center"/>
                    <w:rPr>
                      <w:rFonts w:hint="eastAsia"/>
                      <w:color w:val="auto"/>
                      <w:sz w:val="18"/>
                      <w:szCs w:val="18"/>
                    </w:rPr>
                  </w:pPr>
                  <w:r>
                    <w:rPr>
                      <w:rFonts w:hint="eastAsia"/>
                      <w:color w:val="auto"/>
                      <w:sz w:val="18"/>
                      <w:szCs w:val="18"/>
                    </w:rPr>
                    <w:t>泄漏</w:t>
                  </w:r>
                </w:p>
              </w:tc>
              <w:tc>
                <w:tcPr>
                  <w:tcW w:w="830" w:type="pct"/>
                  <w:vMerge w:val="restart"/>
                  <w:noWrap w:val="0"/>
                  <w:vAlign w:val="center"/>
                </w:tcPr>
                <w:p>
                  <w:pPr>
                    <w:jc w:val="center"/>
                    <w:rPr>
                      <w:rFonts w:hint="eastAsia" w:ascii="Times New Roman" w:hAnsi="Times New Roman" w:eastAsia="宋体" w:cs="Times New Roman"/>
                      <w:color w:val="auto"/>
                      <w:sz w:val="18"/>
                      <w:szCs w:val="18"/>
                      <w:lang w:val="en-US" w:eastAsia="zh-CN"/>
                    </w:rPr>
                  </w:pPr>
                  <w:r>
                    <w:rPr>
                      <w:rFonts w:hint="eastAsia"/>
                      <w:color w:val="auto"/>
                      <w:sz w:val="18"/>
                      <w:szCs w:val="18"/>
                    </w:rPr>
                    <w:t>生产</w:t>
                  </w:r>
                  <w:r>
                    <w:rPr>
                      <w:rFonts w:hint="eastAsia"/>
                      <w:color w:val="auto"/>
                      <w:sz w:val="18"/>
                      <w:szCs w:val="18"/>
                      <w:lang w:val="en-US" w:eastAsia="zh-CN"/>
                    </w:rPr>
                    <w:t>车间</w:t>
                  </w:r>
                  <w:r>
                    <w:rPr>
                      <w:rFonts w:hint="eastAsia"/>
                      <w:color w:val="auto"/>
                      <w:sz w:val="18"/>
                      <w:szCs w:val="18"/>
                      <w:lang w:eastAsia="zh-CN"/>
                    </w:rPr>
                    <w:t>、</w:t>
                  </w:r>
                </w:p>
                <w:p>
                  <w:pPr>
                    <w:jc w:val="center"/>
                    <w:rPr>
                      <w:rFonts w:hint="default"/>
                      <w:color w:val="auto"/>
                      <w:sz w:val="18"/>
                      <w:szCs w:val="18"/>
                      <w:lang w:val="en-US" w:eastAsia="zh-CN"/>
                    </w:rPr>
                  </w:pPr>
                  <w:r>
                    <w:rPr>
                      <w:rFonts w:hint="eastAsia" w:ascii="Times New Roman" w:hAnsi="Times New Roman" w:eastAsia="宋体" w:cs="Times New Roman"/>
                      <w:color w:val="auto"/>
                      <w:sz w:val="18"/>
                      <w:szCs w:val="18"/>
                      <w:lang w:val="en-US" w:eastAsia="zh-CN"/>
                    </w:rPr>
                    <w:t>危废暂存间</w:t>
                  </w:r>
                </w:p>
              </w:tc>
              <w:tc>
                <w:tcPr>
                  <w:tcW w:w="747" w:type="pct"/>
                  <w:noWrap w:val="0"/>
                  <w:vAlign w:val="center"/>
                </w:tcPr>
                <w:p>
                  <w:pPr>
                    <w:jc w:val="center"/>
                    <w:rPr>
                      <w:rFonts w:hint="eastAsia"/>
                      <w:color w:val="auto"/>
                      <w:sz w:val="18"/>
                      <w:szCs w:val="18"/>
                    </w:rPr>
                  </w:pPr>
                  <w:r>
                    <w:rPr>
                      <w:rFonts w:hint="eastAsia"/>
                      <w:color w:val="auto"/>
                      <w:sz w:val="18"/>
                      <w:szCs w:val="18"/>
                    </w:rPr>
                    <w:t>气态</w:t>
                  </w:r>
                </w:p>
              </w:tc>
              <w:tc>
                <w:tcPr>
                  <w:tcW w:w="863" w:type="pct"/>
                  <w:noWrap w:val="0"/>
                  <w:vAlign w:val="center"/>
                </w:tcPr>
                <w:p>
                  <w:pPr>
                    <w:jc w:val="center"/>
                    <w:rPr>
                      <w:rFonts w:hint="eastAsia"/>
                      <w:color w:val="auto"/>
                      <w:sz w:val="18"/>
                      <w:szCs w:val="18"/>
                    </w:rPr>
                  </w:pPr>
                  <w:r>
                    <w:rPr>
                      <w:rFonts w:hint="eastAsia"/>
                      <w:color w:val="auto"/>
                      <w:sz w:val="18"/>
                      <w:szCs w:val="18"/>
                    </w:rPr>
                    <w:t>扩散</w:t>
                  </w:r>
                </w:p>
              </w:tc>
              <w:tc>
                <w:tcPr>
                  <w:tcW w:w="863" w:type="pct"/>
                  <w:noWrap w:val="0"/>
                  <w:vAlign w:val="center"/>
                </w:tcPr>
                <w:p>
                  <w:pPr>
                    <w:jc w:val="center"/>
                    <w:rPr>
                      <w:rFonts w:hint="eastAsia"/>
                      <w:color w:val="auto"/>
                      <w:sz w:val="18"/>
                      <w:szCs w:val="18"/>
                    </w:rPr>
                  </w:pPr>
                  <w:r>
                    <w:rPr>
                      <w:rFonts w:hint="eastAsia"/>
                      <w:color w:val="auto"/>
                      <w:sz w:val="18"/>
                      <w:szCs w:val="18"/>
                      <w:lang w:val="en-US" w:eastAsia="zh-CN"/>
                    </w:rPr>
                    <w:t>/</w:t>
                  </w:r>
                </w:p>
              </w:tc>
              <w:tc>
                <w:tcPr>
                  <w:tcW w:w="866" w:type="pct"/>
                  <w:noWrap w:val="0"/>
                  <w:vAlign w:val="center"/>
                </w:tcPr>
                <w:p>
                  <w:pPr>
                    <w:jc w:val="center"/>
                    <w:rPr>
                      <w:rFonts w:hint="eastAsia"/>
                      <w:color w:val="auto"/>
                      <w:sz w:val="18"/>
                      <w:szCs w:val="18"/>
                    </w:rPr>
                  </w:pPr>
                  <w:r>
                    <w:rPr>
                      <w:rFonts w:hint="eastAsia"/>
                      <w:color w:val="auto"/>
                      <w:sz w:val="18"/>
                      <w:szCs w:val="18"/>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29" w:type="pct"/>
                  <w:vMerge w:val="continue"/>
                  <w:noWrap w:val="0"/>
                  <w:vAlign w:val="center"/>
                </w:tcPr>
                <w:p>
                  <w:pPr>
                    <w:jc w:val="center"/>
                    <w:rPr>
                      <w:rFonts w:hint="eastAsia"/>
                      <w:color w:val="auto"/>
                      <w:sz w:val="18"/>
                      <w:szCs w:val="18"/>
                    </w:rPr>
                  </w:pPr>
                </w:p>
              </w:tc>
              <w:tc>
                <w:tcPr>
                  <w:tcW w:w="830" w:type="pct"/>
                  <w:vMerge w:val="continue"/>
                  <w:noWrap w:val="0"/>
                  <w:vAlign w:val="center"/>
                </w:tcPr>
                <w:p>
                  <w:pPr>
                    <w:jc w:val="center"/>
                    <w:rPr>
                      <w:rFonts w:hint="eastAsia"/>
                      <w:color w:val="auto"/>
                      <w:sz w:val="18"/>
                      <w:szCs w:val="18"/>
                    </w:rPr>
                  </w:pPr>
                </w:p>
              </w:tc>
              <w:tc>
                <w:tcPr>
                  <w:tcW w:w="747" w:type="pct"/>
                  <w:noWrap w:val="0"/>
                  <w:vAlign w:val="center"/>
                </w:tcPr>
                <w:p>
                  <w:pPr>
                    <w:jc w:val="center"/>
                    <w:rPr>
                      <w:rFonts w:hint="eastAsia"/>
                      <w:color w:val="auto"/>
                      <w:sz w:val="18"/>
                      <w:szCs w:val="18"/>
                    </w:rPr>
                  </w:pPr>
                  <w:r>
                    <w:rPr>
                      <w:rFonts w:hint="eastAsia"/>
                      <w:color w:val="auto"/>
                      <w:sz w:val="18"/>
                      <w:szCs w:val="18"/>
                    </w:rPr>
                    <w:t>液态</w:t>
                  </w:r>
                </w:p>
              </w:tc>
              <w:tc>
                <w:tcPr>
                  <w:tcW w:w="863" w:type="pct"/>
                  <w:noWrap w:val="0"/>
                  <w:vAlign w:val="center"/>
                </w:tcPr>
                <w:p>
                  <w:pPr>
                    <w:jc w:val="center"/>
                    <w:rPr>
                      <w:rFonts w:hint="eastAsia"/>
                      <w:color w:val="auto"/>
                      <w:sz w:val="18"/>
                      <w:szCs w:val="18"/>
                    </w:rPr>
                  </w:pPr>
                  <w:r>
                    <w:rPr>
                      <w:rFonts w:hint="eastAsia"/>
                      <w:color w:val="auto"/>
                      <w:sz w:val="18"/>
                      <w:szCs w:val="18"/>
                      <w:lang w:val="en-US" w:eastAsia="zh-CN"/>
                    </w:rPr>
                    <w:t>/</w:t>
                  </w:r>
                </w:p>
              </w:tc>
              <w:tc>
                <w:tcPr>
                  <w:tcW w:w="863" w:type="pct"/>
                  <w:noWrap w:val="0"/>
                  <w:vAlign w:val="center"/>
                </w:tcPr>
                <w:p>
                  <w:pPr>
                    <w:jc w:val="center"/>
                    <w:rPr>
                      <w:rFonts w:hint="eastAsia"/>
                      <w:color w:val="auto"/>
                      <w:sz w:val="18"/>
                      <w:szCs w:val="18"/>
                    </w:rPr>
                  </w:pPr>
                  <w:r>
                    <w:rPr>
                      <w:rFonts w:hint="eastAsia"/>
                      <w:color w:val="auto"/>
                      <w:sz w:val="18"/>
                      <w:szCs w:val="18"/>
                    </w:rPr>
                    <w:t>生产废水、雨水、消防废水</w:t>
                  </w:r>
                </w:p>
              </w:tc>
              <w:tc>
                <w:tcPr>
                  <w:tcW w:w="866" w:type="pct"/>
                  <w:noWrap w:val="0"/>
                  <w:vAlign w:val="center"/>
                </w:tcPr>
                <w:p>
                  <w:pPr>
                    <w:jc w:val="center"/>
                    <w:rPr>
                      <w:rFonts w:hint="eastAsia"/>
                      <w:color w:val="auto"/>
                      <w:sz w:val="18"/>
                      <w:szCs w:val="18"/>
                    </w:rPr>
                  </w:pPr>
                  <w:r>
                    <w:rPr>
                      <w:rFonts w:hint="eastAsia"/>
                      <w:color w:val="auto"/>
                      <w:sz w:val="18"/>
                      <w:szCs w:val="18"/>
                    </w:rPr>
                    <w:t>渗透、吸收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9" w:type="pct"/>
                  <w:vMerge w:val="restart"/>
                  <w:noWrap w:val="0"/>
                  <w:vAlign w:val="center"/>
                </w:tcPr>
                <w:p>
                  <w:pPr>
                    <w:jc w:val="center"/>
                    <w:rPr>
                      <w:rFonts w:hint="eastAsia"/>
                      <w:color w:val="auto"/>
                      <w:sz w:val="18"/>
                      <w:szCs w:val="18"/>
                    </w:rPr>
                  </w:pPr>
                  <w:r>
                    <w:rPr>
                      <w:rFonts w:hint="eastAsia"/>
                      <w:color w:val="auto"/>
                      <w:sz w:val="18"/>
                      <w:szCs w:val="18"/>
                    </w:rPr>
                    <w:t>火灾爆炸引发的次伴生污染</w:t>
                  </w:r>
                </w:p>
              </w:tc>
              <w:tc>
                <w:tcPr>
                  <w:tcW w:w="830" w:type="pct"/>
                  <w:vMerge w:val="restart"/>
                  <w:noWrap w:val="0"/>
                  <w:vAlign w:val="center"/>
                </w:tcPr>
                <w:p>
                  <w:pPr>
                    <w:jc w:val="center"/>
                    <w:rPr>
                      <w:rFonts w:hint="eastAsia" w:ascii="Times New Roman" w:hAnsi="Times New Roman" w:eastAsia="宋体" w:cs="Times New Roman"/>
                      <w:color w:val="auto"/>
                      <w:sz w:val="18"/>
                      <w:szCs w:val="18"/>
                      <w:lang w:val="en-US" w:eastAsia="zh-CN"/>
                    </w:rPr>
                  </w:pPr>
                  <w:r>
                    <w:rPr>
                      <w:rFonts w:hint="eastAsia"/>
                      <w:color w:val="auto"/>
                      <w:sz w:val="18"/>
                      <w:szCs w:val="18"/>
                    </w:rPr>
                    <w:t>生产</w:t>
                  </w:r>
                  <w:r>
                    <w:rPr>
                      <w:rFonts w:hint="eastAsia"/>
                      <w:color w:val="auto"/>
                      <w:sz w:val="18"/>
                      <w:szCs w:val="18"/>
                      <w:lang w:val="en-US" w:eastAsia="zh-CN"/>
                    </w:rPr>
                    <w:t>车间</w:t>
                  </w:r>
                  <w:r>
                    <w:rPr>
                      <w:rFonts w:hint="eastAsia"/>
                      <w:color w:val="auto"/>
                      <w:sz w:val="18"/>
                      <w:szCs w:val="18"/>
                      <w:lang w:eastAsia="zh-CN"/>
                    </w:rPr>
                    <w:t>、</w:t>
                  </w:r>
                </w:p>
                <w:p>
                  <w:pPr>
                    <w:jc w:val="center"/>
                    <w:rPr>
                      <w:rFonts w:hint="eastAsia"/>
                      <w:color w:val="auto"/>
                      <w:sz w:val="18"/>
                      <w:szCs w:val="18"/>
                    </w:rPr>
                  </w:pPr>
                  <w:r>
                    <w:rPr>
                      <w:rFonts w:hint="eastAsia" w:ascii="Times New Roman" w:hAnsi="Times New Roman" w:eastAsia="宋体" w:cs="Times New Roman"/>
                      <w:color w:val="auto"/>
                      <w:sz w:val="18"/>
                      <w:szCs w:val="18"/>
                      <w:lang w:val="en-US" w:eastAsia="zh-CN"/>
                    </w:rPr>
                    <w:t>危废暂存间</w:t>
                  </w:r>
                </w:p>
              </w:tc>
              <w:tc>
                <w:tcPr>
                  <w:tcW w:w="747" w:type="pct"/>
                  <w:noWrap w:val="0"/>
                  <w:vAlign w:val="center"/>
                </w:tcPr>
                <w:p>
                  <w:pPr>
                    <w:jc w:val="center"/>
                    <w:rPr>
                      <w:rFonts w:hint="eastAsia"/>
                      <w:color w:val="auto"/>
                      <w:sz w:val="18"/>
                      <w:szCs w:val="18"/>
                    </w:rPr>
                  </w:pPr>
                  <w:r>
                    <w:rPr>
                      <w:rFonts w:hint="eastAsia"/>
                      <w:color w:val="auto"/>
                      <w:sz w:val="18"/>
                      <w:szCs w:val="18"/>
                    </w:rPr>
                    <w:t>伴生毒物</w:t>
                  </w:r>
                </w:p>
              </w:tc>
              <w:tc>
                <w:tcPr>
                  <w:tcW w:w="863" w:type="pct"/>
                  <w:noWrap w:val="0"/>
                  <w:vAlign w:val="center"/>
                </w:tcPr>
                <w:p>
                  <w:pPr>
                    <w:jc w:val="center"/>
                    <w:rPr>
                      <w:rFonts w:hint="eastAsia"/>
                      <w:color w:val="auto"/>
                      <w:sz w:val="18"/>
                      <w:szCs w:val="18"/>
                    </w:rPr>
                  </w:pPr>
                  <w:r>
                    <w:rPr>
                      <w:rFonts w:hint="eastAsia"/>
                      <w:color w:val="auto"/>
                      <w:sz w:val="18"/>
                      <w:szCs w:val="18"/>
                    </w:rPr>
                    <w:t>扩散</w:t>
                  </w:r>
                </w:p>
              </w:tc>
              <w:tc>
                <w:tcPr>
                  <w:tcW w:w="863" w:type="pct"/>
                  <w:noWrap w:val="0"/>
                  <w:vAlign w:val="center"/>
                </w:tcPr>
                <w:p>
                  <w:pPr>
                    <w:jc w:val="center"/>
                    <w:rPr>
                      <w:rFonts w:hint="eastAsia"/>
                      <w:color w:val="auto"/>
                      <w:sz w:val="18"/>
                      <w:szCs w:val="18"/>
                    </w:rPr>
                  </w:pPr>
                  <w:r>
                    <w:rPr>
                      <w:rFonts w:hint="eastAsia"/>
                      <w:color w:val="auto"/>
                      <w:sz w:val="18"/>
                      <w:szCs w:val="18"/>
                      <w:lang w:val="en-US" w:eastAsia="zh-CN"/>
                    </w:rPr>
                    <w:t>/</w:t>
                  </w:r>
                </w:p>
              </w:tc>
              <w:tc>
                <w:tcPr>
                  <w:tcW w:w="866" w:type="pct"/>
                  <w:noWrap w:val="0"/>
                  <w:vAlign w:val="center"/>
                </w:tcPr>
                <w:p>
                  <w:pPr>
                    <w:jc w:val="center"/>
                    <w:rPr>
                      <w:rFonts w:hint="eastAsia"/>
                      <w:color w:val="auto"/>
                      <w:sz w:val="18"/>
                      <w:szCs w:val="18"/>
                    </w:rPr>
                  </w:pPr>
                  <w:r>
                    <w:rPr>
                      <w:rFonts w:hint="eastAsia"/>
                      <w:color w:val="auto"/>
                      <w:sz w:val="18"/>
                      <w:szCs w:val="18"/>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9" w:type="pct"/>
                  <w:vMerge w:val="continue"/>
                  <w:noWrap w:val="0"/>
                  <w:vAlign w:val="center"/>
                </w:tcPr>
                <w:p>
                  <w:pPr>
                    <w:jc w:val="center"/>
                    <w:rPr>
                      <w:rFonts w:hint="eastAsia"/>
                      <w:color w:val="auto"/>
                      <w:sz w:val="18"/>
                      <w:szCs w:val="18"/>
                    </w:rPr>
                  </w:pPr>
                </w:p>
              </w:tc>
              <w:tc>
                <w:tcPr>
                  <w:tcW w:w="830" w:type="pct"/>
                  <w:vMerge w:val="continue"/>
                  <w:noWrap w:val="0"/>
                  <w:vAlign w:val="center"/>
                </w:tcPr>
                <w:p>
                  <w:pPr>
                    <w:jc w:val="center"/>
                    <w:rPr>
                      <w:rFonts w:hint="eastAsia"/>
                      <w:color w:val="auto"/>
                      <w:sz w:val="18"/>
                      <w:szCs w:val="18"/>
                    </w:rPr>
                  </w:pPr>
                </w:p>
              </w:tc>
              <w:tc>
                <w:tcPr>
                  <w:tcW w:w="747" w:type="pct"/>
                  <w:noWrap w:val="0"/>
                  <w:vAlign w:val="center"/>
                </w:tcPr>
                <w:p>
                  <w:pPr>
                    <w:jc w:val="center"/>
                    <w:rPr>
                      <w:rFonts w:hint="eastAsia"/>
                      <w:color w:val="auto"/>
                      <w:sz w:val="18"/>
                      <w:szCs w:val="18"/>
                    </w:rPr>
                  </w:pPr>
                  <w:r>
                    <w:rPr>
                      <w:rFonts w:hint="eastAsia"/>
                      <w:color w:val="auto"/>
                      <w:sz w:val="18"/>
                      <w:szCs w:val="18"/>
                    </w:rPr>
                    <w:t>消防废水</w:t>
                  </w:r>
                </w:p>
              </w:tc>
              <w:tc>
                <w:tcPr>
                  <w:tcW w:w="863" w:type="pct"/>
                  <w:noWrap w:val="0"/>
                  <w:vAlign w:val="center"/>
                </w:tcPr>
                <w:p>
                  <w:pPr>
                    <w:jc w:val="center"/>
                    <w:rPr>
                      <w:rFonts w:hint="eastAsia" w:eastAsia="宋体"/>
                      <w:color w:val="auto"/>
                      <w:sz w:val="18"/>
                      <w:szCs w:val="18"/>
                      <w:lang w:eastAsia="zh-CN"/>
                    </w:rPr>
                  </w:pPr>
                  <w:r>
                    <w:rPr>
                      <w:rFonts w:hint="eastAsia"/>
                      <w:color w:val="auto"/>
                      <w:sz w:val="18"/>
                      <w:szCs w:val="18"/>
                      <w:lang w:val="en-US" w:eastAsia="zh-CN"/>
                    </w:rPr>
                    <w:t>/</w:t>
                  </w:r>
                </w:p>
              </w:tc>
              <w:tc>
                <w:tcPr>
                  <w:tcW w:w="863" w:type="pct"/>
                  <w:noWrap w:val="0"/>
                  <w:vAlign w:val="center"/>
                </w:tcPr>
                <w:p>
                  <w:pPr>
                    <w:jc w:val="center"/>
                    <w:rPr>
                      <w:rFonts w:hint="eastAsia"/>
                      <w:color w:val="auto"/>
                      <w:sz w:val="18"/>
                      <w:szCs w:val="18"/>
                    </w:rPr>
                  </w:pPr>
                  <w:r>
                    <w:rPr>
                      <w:rFonts w:hint="eastAsia"/>
                      <w:color w:val="auto"/>
                      <w:sz w:val="18"/>
                      <w:szCs w:val="18"/>
                    </w:rPr>
                    <w:t>生产废水/雨水</w:t>
                  </w:r>
                </w:p>
              </w:tc>
              <w:tc>
                <w:tcPr>
                  <w:tcW w:w="866" w:type="pct"/>
                  <w:noWrap w:val="0"/>
                  <w:vAlign w:val="center"/>
                </w:tcPr>
                <w:p>
                  <w:pPr>
                    <w:jc w:val="center"/>
                    <w:rPr>
                      <w:rFonts w:hint="eastAsia"/>
                      <w:color w:val="auto"/>
                      <w:sz w:val="18"/>
                      <w:szCs w:val="18"/>
                    </w:rPr>
                  </w:pPr>
                  <w:r>
                    <w:rPr>
                      <w:rFonts w:hint="eastAsia"/>
                      <w:color w:val="auto"/>
                      <w:sz w:val="18"/>
                      <w:szCs w:val="18"/>
                    </w:rPr>
                    <w:t>渗透、吸收</w:t>
                  </w:r>
                </w:p>
              </w:tc>
            </w:tr>
          </w:tbl>
          <w:p>
            <w:pPr>
              <w:adjustRightInd w:val="0"/>
              <w:snapToGrid w:val="0"/>
              <w:spacing w:line="500" w:lineRule="exact"/>
              <w:ind w:firstLine="420" w:firstLineChars="200"/>
              <w:rPr>
                <w:rFonts w:hint="eastAsia"/>
                <w:bCs/>
                <w:color w:val="auto"/>
                <w:szCs w:val="21"/>
              </w:rPr>
            </w:pPr>
            <w:r>
              <w:rPr>
                <w:rFonts w:hint="eastAsia"/>
                <w:bCs/>
                <w:color w:val="auto"/>
                <w:szCs w:val="21"/>
              </w:rPr>
              <w:t>2、环境风险防范措施</w:t>
            </w:r>
          </w:p>
          <w:p>
            <w:pPr>
              <w:adjustRightInd w:val="0"/>
              <w:snapToGrid w:val="0"/>
              <w:spacing w:line="500" w:lineRule="exact"/>
              <w:ind w:firstLine="420" w:firstLineChars="200"/>
              <w:rPr>
                <w:bCs/>
                <w:color w:val="auto"/>
                <w:szCs w:val="21"/>
              </w:rPr>
            </w:pPr>
            <w:r>
              <w:rPr>
                <w:rFonts w:hint="eastAsia"/>
                <w:bCs/>
                <w:color w:val="auto"/>
                <w:szCs w:val="21"/>
              </w:rPr>
              <w:t>1）生产过程风险防范措施</w:t>
            </w:r>
          </w:p>
          <w:p>
            <w:pPr>
              <w:adjustRightInd w:val="0"/>
              <w:snapToGrid w:val="0"/>
              <w:spacing w:line="500" w:lineRule="exact"/>
              <w:ind w:firstLine="420" w:firstLineChars="200"/>
              <w:rPr>
                <w:rFonts w:hint="eastAsia"/>
                <w:bCs/>
                <w:color w:val="auto"/>
                <w:szCs w:val="21"/>
              </w:rPr>
            </w:pPr>
            <w:r>
              <w:rPr>
                <w:rFonts w:hint="eastAsia" w:ascii="宋体" w:hAnsi="宋体"/>
                <w:bCs/>
                <w:color w:val="auto"/>
                <w:szCs w:val="21"/>
              </w:rPr>
              <w:t>建立健全各种有关消防与安全生产的规章制度，建立岗位责任制。生产车间严禁明火。生产车间、公用工程等场所配置足量的泡沫、干粉等灭火器，并保持完好状态。</w:t>
            </w:r>
          </w:p>
          <w:p>
            <w:pPr>
              <w:adjustRightInd w:val="0"/>
              <w:snapToGrid w:val="0"/>
              <w:spacing w:line="500" w:lineRule="exact"/>
              <w:ind w:firstLine="420" w:firstLineChars="200"/>
              <w:rPr>
                <w:bCs/>
                <w:color w:val="auto"/>
                <w:szCs w:val="21"/>
              </w:rPr>
            </w:pPr>
            <w:r>
              <w:rPr>
                <w:rFonts w:hint="eastAsia"/>
                <w:bCs/>
                <w:color w:val="auto"/>
                <w:szCs w:val="21"/>
              </w:rPr>
              <w:t>2）储运过程风险防范措施</w:t>
            </w:r>
          </w:p>
          <w:p>
            <w:pPr>
              <w:adjustRightInd w:val="0"/>
              <w:snapToGrid w:val="0"/>
              <w:spacing w:line="500" w:lineRule="exact"/>
              <w:ind w:firstLine="420" w:firstLineChars="200"/>
              <w:rPr>
                <w:bCs/>
                <w:color w:val="auto"/>
                <w:szCs w:val="21"/>
              </w:rPr>
            </w:pPr>
            <w:r>
              <w:rPr>
                <w:rFonts w:hint="eastAsia" w:ascii="宋体" w:hAnsi="宋体"/>
                <w:bCs/>
                <w:color w:val="auto"/>
                <w:szCs w:val="21"/>
              </w:rPr>
              <w:t>①</w:t>
            </w:r>
            <w:r>
              <w:rPr>
                <w:rFonts w:hint="eastAsia"/>
                <w:bCs/>
                <w:color w:val="auto"/>
                <w:szCs w:val="21"/>
              </w:rPr>
              <w:t>按照原辅料性质分类、分区存放，严禁将性质相互抵触、灭火方法不同、容易引起自燃的物品存放于一处；</w:t>
            </w:r>
          </w:p>
          <w:p>
            <w:pPr>
              <w:adjustRightInd w:val="0"/>
              <w:snapToGrid w:val="0"/>
              <w:spacing w:line="500" w:lineRule="exact"/>
              <w:ind w:firstLine="420" w:firstLineChars="200"/>
              <w:rPr>
                <w:bCs/>
                <w:color w:val="auto"/>
                <w:szCs w:val="21"/>
              </w:rPr>
            </w:pPr>
            <w:r>
              <w:rPr>
                <w:rFonts w:hint="eastAsia" w:ascii="宋体" w:hAnsi="宋体"/>
                <w:bCs/>
                <w:color w:val="auto"/>
                <w:szCs w:val="21"/>
              </w:rPr>
              <w:t>②</w:t>
            </w:r>
            <w:r>
              <w:rPr>
                <w:rFonts w:hint="eastAsia"/>
                <w:bCs/>
                <w:color w:val="auto"/>
                <w:szCs w:val="21"/>
              </w:rPr>
              <w:t>储存物品时，堆垛不可过高、过大、过密，不得超量储存；</w:t>
            </w:r>
          </w:p>
          <w:p>
            <w:pPr>
              <w:adjustRightInd w:val="0"/>
              <w:snapToGrid w:val="0"/>
              <w:spacing w:line="500" w:lineRule="exact"/>
              <w:ind w:firstLine="420" w:firstLineChars="200"/>
              <w:rPr>
                <w:rFonts w:hint="eastAsia"/>
                <w:bCs/>
                <w:color w:val="auto"/>
                <w:szCs w:val="21"/>
              </w:rPr>
            </w:pPr>
            <w:r>
              <w:rPr>
                <w:rFonts w:hint="eastAsia" w:ascii="宋体" w:hAnsi="宋体"/>
                <w:bCs/>
                <w:color w:val="auto"/>
                <w:szCs w:val="21"/>
              </w:rPr>
              <w:t>③</w:t>
            </w:r>
            <w:r>
              <w:rPr>
                <w:rFonts w:hint="eastAsia"/>
                <w:bCs/>
                <w:color w:val="auto"/>
                <w:szCs w:val="21"/>
              </w:rPr>
              <w:t>采用不导热的耐火材料作为屋顶和墙壁的隔热层；</w:t>
            </w:r>
          </w:p>
          <w:p>
            <w:pPr>
              <w:adjustRightInd w:val="0"/>
              <w:snapToGrid w:val="0"/>
              <w:spacing w:line="500" w:lineRule="exact"/>
              <w:ind w:firstLine="420" w:firstLineChars="200"/>
              <w:rPr>
                <w:rFonts w:hint="eastAsia"/>
                <w:bCs/>
                <w:color w:val="auto"/>
                <w:szCs w:val="21"/>
              </w:rPr>
            </w:pPr>
            <w:r>
              <w:rPr>
                <w:rFonts w:hint="eastAsia"/>
                <w:bCs/>
                <w:color w:val="auto"/>
                <w:szCs w:val="21"/>
              </w:rPr>
              <w:t>④库管人员需定期巡查，发现问题及时解决。</w:t>
            </w:r>
          </w:p>
          <w:p>
            <w:pPr>
              <w:adjustRightInd w:val="0"/>
              <w:snapToGrid w:val="0"/>
              <w:spacing w:line="500" w:lineRule="exact"/>
              <w:ind w:firstLine="420" w:firstLineChars="200"/>
              <w:rPr>
                <w:rFonts w:hint="eastAsia"/>
                <w:bCs/>
                <w:color w:val="auto"/>
                <w:szCs w:val="21"/>
              </w:rPr>
            </w:pPr>
            <w:r>
              <w:rPr>
                <w:rFonts w:hint="eastAsia"/>
                <w:bCs/>
                <w:color w:val="auto"/>
                <w:szCs w:val="21"/>
                <w:lang w:val="en-US" w:eastAsia="zh-CN"/>
              </w:rPr>
              <w:t>3</w:t>
            </w:r>
            <w:r>
              <w:rPr>
                <w:rFonts w:hint="eastAsia"/>
                <w:bCs/>
                <w:color w:val="auto"/>
                <w:szCs w:val="21"/>
              </w:rPr>
              <w:t>）火灾事故风险防范措施</w:t>
            </w:r>
          </w:p>
          <w:p>
            <w:pPr>
              <w:adjustRightInd w:val="0"/>
              <w:snapToGrid w:val="0"/>
              <w:spacing w:line="500" w:lineRule="exact"/>
              <w:ind w:firstLine="420" w:firstLineChars="200"/>
              <w:rPr>
                <w:rFonts w:hint="eastAsia"/>
                <w:bCs/>
                <w:color w:val="auto"/>
                <w:szCs w:val="21"/>
              </w:rPr>
            </w:pPr>
            <w:r>
              <w:rPr>
                <w:rFonts w:hint="eastAsia" w:ascii="宋体" w:hAnsi="宋体"/>
                <w:bCs/>
                <w:color w:val="auto"/>
                <w:szCs w:val="21"/>
              </w:rPr>
              <w:t>①</w:t>
            </w:r>
            <w:r>
              <w:rPr>
                <w:rFonts w:hint="eastAsia"/>
                <w:bCs/>
                <w:color w:val="auto"/>
                <w:szCs w:val="21"/>
              </w:rPr>
              <w:t>建设单位按照《建筑灭火器配置设计规范》（GB50140-2005）要求，在生产车间、仓库等配备消防器材</w:t>
            </w:r>
            <w:r>
              <w:rPr>
                <w:rFonts w:hint="eastAsia"/>
                <w:bCs/>
                <w:color w:val="auto"/>
                <w:szCs w:val="21"/>
                <w:lang w:eastAsia="zh-CN"/>
              </w:rPr>
              <w:t>、</w:t>
            </w:r>
            <w:r>
              <w:rPr>
                <w:rFonts w:hint="eastAsia"/>
                <w:bCs/>
                <w:color w:val="auto"/>
                <w:szCs w:val="21"/>
                <w:lang w:val="en-US" w:eastAsia="zh-CN"/>
              </w:rPr>
              <w:t>防毒面具等</w:t>
            </w:r>
            <w:r>
              <w:rPr>
                <w:rFonts w:hint="eastAsia"/>
                <w:bCs/>
                <w:color w:val="auto"/>
                <w:szCs w:val="21"/>
              </w:rPr>
              <w:t>用于扑灭初期火灾</w:t>
            </w:r>
            <w:r>
              <w:rPr>
                <w:rFonts w:hint="eastAsia"/>
                <w:bCs/>
                <w:color w:val="auto"/>
                <w:szCs w:val="21"/>
                <w:lang w:val="en-US" w:eastAsia="zh-CN"/>
              </w:rPr>
              <w:t>和灭火人员的人身保障</w:t>
            </w:r>
            <w:r>
              <w:rPr>
                <w:rFonts w:hint="eastAsia"/>
                <w:bCs/>
                <w:color w:val="auto"/>
                <w:szCs w:val="21"/>
              </w:rPr>
              <w:t>。定期检查及维护消防器材</w:t>
            </w:r>
            <w:r>
              <w:rPr>
                <w:rFonts w:hint="eastAsia"/>
                <w:bCs/>
                <w:color w:val="auto"/>
                <w:szCs w:val="21"/>
                <w:lang w:val="en-US" w:eastAsia="zh-CN"/>
              </w:rPr>
              <w:t>和防毒面具的有效性</w:t>
            </w:r>
            <w:r>
              <w:rPr>
                <w:rFonts w:hint="eastAsia"/>
                <w:bCs/>
                <w:color w:val="auto"/>
                <w:szCs w:val="21"/>
              </w:rPr>
              <w:t>；</w:t>
            </w:r>
          </w:p>
          <w:p>
            <w:pPr>
              <w:adjustRightInd w:val="0"/>
              <w:snapToGrid w:val="0"/>
              <w:spacing w:line="500" w:lineRule="exact"/>
              <w:ind w:firstLine="420" w:firstLineChars="200"/>
              <w:rPr>
                <w:rFonts w:hint="eastAsia"/>
                <w:bCs/>
                <w:color w:val="auto"/>
                <w:szCs w:val="21"/>
              </w:rPr>
            </w:pPr>
            <w:r>
              <w:rPr>
                <w:rFonts w:hint="eastAsia" w:ascii="宋体" w:hAnsi="宋体"/>
                <w:bCs/>
                <w:color w:val="auto"/>
                <w:szCs w:val="21"/>
              </w:rPr>
              <w:t>②</w:t>
            </w:r>
            <w:r>
              <w:rPr>
                <w:rFonts w:hint="eastAsia"/>
                <w:bCs/>
                <w:color w:val="auto"/>
                <w:szCs w:val="21"/>
              </w:rPr>
              <w:t>原料、成品远离火种、热源，车间禁止使用明火，设置明显的提示标志。</w:t>
            </w:r>
          </w:p>
          <w:p>
            <w:pPr>
              <w:adjustRightInd w:val="0"/>
              <w:snapToGrid w:val="0"/>
              <w:spacing w:line="500" w:lineRule="exact"/>
              <w:ind w:firstLine="420" w:firstLineChars="200"/>
              <w:rPr>
                <w:rFonts w:hint="eastAsia"/>
                <w:bCs/>
                <w:color w:val="auto"/>
                <w:szCs w:val="21"/>
              </w:rPr>
            </w:pPr>
            <w:r>
              <w:rPr>
                <w:rFonts w:hint="eastAsia" w:ascii="宋体" w:hAnsi="宋体"/>
                <w:bCs/>
                <w:color w:val="auto"/>
                <w:szCs w:val="21"/>
              </w:rPr>
              <w:t>③</w:t>
            </w:r>
            <w:r>
              <w:rPr>
                <w:rFonts w:hint="eastAsia"/>
                <w:bCs/>
                <w:color w:val="auto"/>
                <w:szCs w:val="21"/>
              </w:rPr>
              <w:t>明确部门、个人的职责，按计划落实到个人。加强对员工教育培训，增强员工风险意识，提高事故自救能力，制定和强化各种安全管理、安全生产规程，减少人为风险事故的发生。</w:t>
            </w:r>
          </w:p>
          <w:p>
            <w:pPr>
              <w:adjustRightInd w:val="0"/>
              <w:snapToGrid w:val="0"/>
              <w:spacing w:line="500" w:lineRule="exact"/>
              <w:ind w:firstLine="420" w:firstLineChars="200"/>
              <w:rPr>
                <w:rFonts w:hint="eastAsia"/>
                <w:bCs/>
                <w:color w:val="auto"/>
                <w:szCs w:val="21"/>
              </w:rPr>
            </w:pPr>
            <w:r>
              <w:rPr>
                <w:rFonts w:hint="eastAsia"/>
                <w:bCs/>
                <w:color w:val="auto"/>
                <w:szCs w:val="21"/>
                <w:lang w:val="en-US" w:eastAsia="zh-CN"/>
              </w:rPr>
              <w:t>4</w:t>
            </w:r>
            <w:r>
              <w:rPr>
                <w:rFonts w:hint="eastAsia"/>
                <w:bCs/>
                <w:color w:val="auto"/>
                <w:szCs w:val="21"/>
              </w:rPr>
              <w:t>）泄漏事故风险防范措施</w:t>
            </w:r>
          </w:p>
          <w:p>
            <w:pPr>
              <w:adjustRightInd w:val="0"/>
              <w:snapToGrid w:val="0"/>
              <w:spacing w:line="500" w:lineRule="exact"/>
              <w:ind w:firstLine="420" w:firstLineChars="200"/>
              <w:rPr>
                <w:rFonts w:hint="eastAsia"/>
                <w:bCs/>
                <w:color w:val="auto"/>
                <w:szCs w:val="21"/>
                <w:lang w:val="en-US" w:eastAsia="zh-CN"/>
              </w:rPr>
            </w:pPr>
            <w:r>
              <w:rPr>
                <w:rFonts w:hint="eastAsia"/>
                <w:bCs/>
                <w:color w:val="auto"/>
                <w:szCs w:val="21"/>
              </w:rPr>
              <w:t>安排专人对设备、管路、配件及应急系统进行定期检查维修，负责相关工作人员需进行专业的培训，以免因操作失误或违规操作等引起泄漏等事故。为加强密封管理，减少跑、冒、滴、漏现象，做好清洁生产工作，认真贯彻执行设备管理制度，对操作工进行技术培训，掌握设备管理方面的知识，树立清洁生产的观念。开展创造和巩固无泄漏工厂活动，消漏、堵漏工作经常化、具体化、制度化。</w:t>
            </w:r>
          </w:p>
          <w:p>
            <w:pPr>
              <w:adjustRightInd w:val="0"/>
              <w:snapToGrid w:val="0"/>
              <w:spacing w:line="500" w:lineRule="exact"/>
              <w:ind w:firstLine="420" w:firstLineChars="200"/>
              <w:rPr>
                <w:rFonts w:hint="eastAsia"/>
                <w:bCs/>
                <w:color w:val="auto"/>
                <w:szCs w:val="21"/>
              </w:rPr>
            </w:pPr>
            <w:r>
              <w:rPr>
                <w:rFonts w:hint="eastAsia"/>
                <w:bCs/>
                <w:color w:val="auto"/>
                <w:szCs w:val="21"/>
                <w:lang w:val="en-US" w:eastAsia="zh-CN"/>
              </w:rPr>
              <w:t>5</w:t>
            </w:r>
            <w:r>
              <w:rPr>
                <w:rFonts w:hint="eastAsia"/>
                <w:bCs/>
                <w:color w:val="auto"/>
                <w:szCs w:val="21"/>
              </w:rPr>
              <w:t>）事故废水风险防范措施</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20" w:firstLineChars="200"/>
              <w:textAlignment w:val="auto"/>
              <w:rPr>
                <w:rFonts w:hint="default" w:ascii="Times New Roman" w:hAnsi="Times New Roman" w:eastAsia="宋体" w:cs="Times New Roman"/>
                <w:color w:val="auto"/>
                <w:highlight w:val="none"/>
                <w:lang w:val="zh-CN"/>
              </w:rPr>
            </w:pPr>
            <w:r>
              <w:rPr>
                <w:rFonts w:hint="default" w:ascii="Times New Roman" w:hAnsi="Times New Roman" w:eastAsia="宋体" w:cs="Times New Roman"/>
                <w:color w:val="auto"/>
                <w:highlight w:val="none"/>
                <w:lang w:val="zh-CN"/>
              </w:rPr>
              <w:t>为了最大程度降低建设项目事故发生时对水环境的影响，建设项目将设置足够容量的废水事故池用于贮存消防废水等。</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20" w:firstLineChars="200"/>
              <w:textAlignment w:val="auto"/>
              <w:rPr>
                <w:rFonts w:hint="default" w:ascii="Times New Roman" w:hAnsi="Times New Roman" w:eastAsia="宋体" w:cs="Times New Roman"/>
                <w:color w:val="auto"/>
                <w:highlight w:val="none"/>
                <w:lang w:val="zh-CN"/>
              </w:rPr>
            </w:pPr>
            <w:r>
              <w:rPr>
                <w:rFonts w:hint="default" w:ascii="Times New Roman" w:hAnsi="Times New Roman" w:eastAsia="宋体" w:cs="Times New Roman"/>
                <w:color w:val="auto"/>
                <w:highlight w:val="none"/>
              </w:rPr>
              <w:t>应急事故池设置：</w:t>
            </w:r>
          </w:p>
          <w:p>
            <w:pPr>
              <w:keepNext w:val="0"/>
              <w:keepLines w:val="0"/>
              <w:pageBreakBefore w:val="0"/>
              <w:widowControl w:val="0"/>
              <w:kinsoku/>
              <w:wordWrap/>
              <w:overflowPunct/>
              <w:topLinePunct w:val="0"/>
              <w:autoSpaceDE/>
              <w:autoSpaceDN/>
              <w:bidi w:val="0"/>
              <w:spacing w:line="500" w:lineRule="exact"/>
              <w:ind w:firstLine="42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根据《化工建设项目环境保护设计规范》（GB50483-2019）</w:t>
            </w:r>
            <w:r>
              <w:rPr>
                <w:rFonts w:hint="eastAsia" w:ascii="Times New Roman" w:hAnsi="Times New Roman" w:eastAsia="宋体" w:cs="Times New Roman"/>
                <w:color w:val="auto"/>
                <w:highlight w:val="none"/>
                <w:lang w:eastAsia="zh-CN"/>
              </w:rPr>
              <w:t>、《消防给水及消火栓系统技术规范》（GB50974-2014）、</w:t>
            </w:r>
            <w:r>
              <w:rPr>
                <w:rFonts w:hint="default" w:ascii="Times New Roman" w:hAnsi="Times New Roman" w:eastAsia="宋体" w:cs="Times New Roman"/>
                <w:color w:val="auto"/>
                <w:highlight w:val="none"/>
              </w:rPr>
              <w:t>《事故状态下水体污染的预防和控制技术要求》（Q/SY08190-2019）</w:t>
            </w:r>
            <w:r>
              <w:rPr>
                <w:rFonts w:hint="eastAsia" w:ascii="Times New Roman" w:hAnsi="Times New Roman" w:eastAsia="宋体" w:cs="Times New Roman"/>
                <w:color w:val="auto"/>
                <w:highlight w:val="none"/>
                <w:lang w:eastAsia="zh-CN"/>
              </w:rPr>
              <w:t>、《消防设施通用规范》（GB55036-2022）、《建筑防火通用规范》（GB55037-2022）</w:t>
            </w:r>
            <w:r>
              <w:rPr>
                <w:rFonts w:hint="default" w:ascii="Times New Roman" w:hAnsi="Times New Roman" w:eastAsia="宋体" w:cs="Times New Roman"/>
                <w:color w:val="auto"/>
                <w:highlight w:val="none"/>
              </w:rPr>
              <w:t>中的相关规定设置。明确事故存储设施总有效容积的计算公式如下：</w:t>
            </w:r>
          </w:p>
          <w:p>
            <w:pPr>
              <w:keepNext w:val="0"/>
              <w:keepLines w:val="0"/>
              <w:pageBreakBefore w:val="0"/>
              <w:widowControl w:val="0"/>
              <w:kinsoku/>
              <w:wordWrap/>
              <w:overflowPunct/>
              <w:topLinePunct w:val="0"/>
              <w:autoSpaceDE/>
              <w:autoSpaceDN/>
              <w:bidi w:val="0"/>
              <w:spacing w:line="500" w:lineRule="exact"/>
              <w:ind w:firstLine="42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V</w:t>
            </w:r>
            <w:r>
              <w:rPr>
                <w:rFonts w:hint="default" w:ascii="Times New Roman" w:hAnsi="Times New Roman" w:eastAsia="宋体" w:cs="Times New Roman"/>
                <w:color w:val="auto"/>
                <w:highlight w:val="none"/>
                <w:vertAlign w:val="subscript"/>
              </w:rPr>
              <w:t>总</w:t>
            </w:r>
            <w:r>
              <w:rPr>
                <w:rFonts w:hint="default" w:ascii="Times New Roman" w:hAnsi="Times New Roman" w:eastAsia="宋体" w:cs="Times New Roman"/>
                <w:color w:val="auto"/>
                <w:highlight w:val="none"/>
              </w:rPr>
              <w:t>=（V</w:t>
            </w:r>
            <w:r>
              <w:rPr>
                <w:rFonts w:hint="default" w:ascii="Times New Roman" w:hAnsi="Times New Roman" w:eastAsia="宋体" w:cs="Times New Roman"/>
                <w:color w:val="auto"/>
                <w:highlight w:val="none"/>
                <w:vertAlign w:val="subscript"/>
              </w:rPr>
              <w:t>1</w:t>
            </w:r>
            <w:r>
              <w:rPr>
                <w:rFonts w:hint="default" w:ascii="Times New Roman" w:hAnsi="Times New Roman" w:eastAsia="宋体" w:cs="Times New Roman"/>
                <w:color w:val="auto"/>
                <w:highlight w:val="none"/>
              </w:rPr>
              <w:t>+V</w:t>
            </w:r>
            <w:r>
              <w:rPr>
                <w:rFonts w:hint="default" w:ascii="Times New Roman" w:hAnsi="Times New Roman" w:eastAsia="宋体" w:cs="Times New Roman"/>
                <w:color w:val="auto"/>
                <w:highlight w:val="none"/>
                <w:vertAlign w:val="subscript"/>
              </w:rPr>
              <w:t>2</w:t>
            </w:r>
            <w:r>
              <w:rPr>
                <w:rFonts w:hint="default" w:ascii="Times New Roman" w:hAnsi="Times New Roman" w:eastAsia="宋体" w:cs="Times New Roman"/>
                <w:color w:val="auto"/>
                <w:highlight w:val="none"/>
              </w:rPr>
              <w:t>-V</w:t>
            </w:r>
            <w:r>
              <w:rPr>
                <w:rFonts w:hint="default" w:ascii="Times New Roman" w:hAnsi="Times New Roman" w:eastAsia="宋体" w:cs="Times New Roman"/>
                <w:color w:val="auto"/>
                <w:highlight w:val="none"/>
                <w:vertAlign w:val="subscript"/>
              </w:rPr>
              <w:t>3</w:t>
            </w:r>
            <w:r>
              <w:rPr>
                <w:rFonts w:hint="default" w:ascii="Times New Roman" w:hAnsi="Times New Roman" w:eastAsia="宋体" w:cs="Times New Roman"/>
                <w:color w:val="auto"/>
                <w:highlight w:val="none"/>
              </w:rPr>
              <w:t>）max+V</w:t>
            </w:r>
            <w:r>
              <w:rPr>
                <w:rFonts w:hint="default" w:ascii="Times New Roman" w:hAnsi="Times New Roman" w:eastAsia="宋体" w:cs="Times New Roman"/>
                <w:color w:val="auto"/>
                <w:highlight w:val="none"/>
                <w:vertAlign w:val="subscript"/>
              </w:rPr>
              <w:t>4</w:t>
            </w:r>
            <w:r>
              <w:rPr>
                <w:rFonts w:hint="default" w:ascii="Times New Roman" w:hAnsi="Times New Roman" w:eastAsia="宋体" w:cs="Times New Roman"/>
                <w:color w:val="auto"/>
                <w:highlight w:val="none"/>
              </w:rPr>
              <w:t>+V</w:t>
            </w:r>
            <w:r>
              <w:rPr>
                <w:rFonts w:hint="default" w:ascii="Times New Roman" w:hAnsi="Times New Roman" w:eastAsia="宋体" w:cs="Times New Roman"/>
                <w:color w:val="auto"/>
                <w:highlight w:val="none"/>
                <w:vertAlign w:val="subscript"/>
              </w:rPr>
              <w:t>5</w:t>
            </w:r>
          </w:p>
          <w:p>
            <w:pPr>
              <w:keepNext w:val="0"/>
              <w:keepLines w:val="0"/>
              <w:pageBreakBefore w:val="0"/>
              <w:widowControl w:val="0"/>
              <w:kinsoku/>
              <w:wordWrap/>
              <w:overflowPunct/>
              <w:topLinePunct w:val="0"/>
              <w:autoSpaceDE/>
              <w:autoSpaceDN/>
              <w:bidi w:val="0"/>
              <w:spacing w:line="500" w:lineRule="exact"/>
              <w:ind w:firstLine="42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注：（V</w:t>
            </w:r>
            <w:r>
              <w:rPr>
                <w:rFonts w:hint="default" w:ascii="Times New Roman" w:hAnsi="Times New Roman" w:eastAsia="宋体" w:cs="Times New Roman"/>
                <w:color w:val="auto"/>
                <w:highlight w:val="none"/>
                <w:vertAlign w:val="subscript"/>
              </w:rPr>
              <w:t>1</w:t>
            </w:r>
            <w:r>
              <w:rPr>
                <w:rFonts w:hint="default" w:ascii="Times New Roman" w:hAnsi="Times New Roman" w:eastAsia="宋体" w:cs="Times New Roman"/>
                <w:color w:val="auto"/>
                <w:highlight w:val="none"/>
              </w:rPr>
              <w:t>＋V</w:t>
            </w:r>
            <w:r>
              <w:rPr>
                <w:rFonts w:hint="default" w:ascii="Times New Roman" w:hAnsi="Times New Roman" w:eastAsia="宋体" w:cs="Times New Roman"/>
                <w:color w:val="auto"/>
                <w:highlight w:val="none"/>
                <w:vertAlign w:val="subscript"/>
              </w:rPr>
              <w:t>2</w:t>
            </w:r>
            <w:r>
              <w:rPr>
                <w:rFonts w:hint="default" w:ascii="Times New Roman" w:hAnsi="Times New Roman" w:eastAsia="宋体" w:cs="Times New Roman"/>
                <w:color w:val="auto"/>
                <w:highlight w:val="none"/>
              </w:rPr>
              <w:t>-V</w:t>
            </w:r>
            <w:r>
              <w:rPr>
                <w:rFonts w:hint="default" w:ascii="Times New Roman" w:hAnsi="Times New Roman" w:eastAsia="宋体" w:cs="Times New Roman"/>
                <w:color w:val="auto"/>
                <w:highlight w:val="none"/>
                <w:vertAlign w:val="subscript"/>
              </w:rPr>
              <w:t>3</w:t>
            </w:r>
            <w:r>
              <w:rPr>
                <w:rFonts w:hint="default" w:ascii="Times New Roman" w:hAnsi="Times New Roman" w:eastAsia="宋体" w:cs="Times New Roman"/>
                <w:color w:val="auto"/>
                <w:highlight w:val="none"/>
              </w:rPr>
              <w:t>）max是指对收集系统范围内不同罐组或装置分别计算V</w:t>
            </w:r>
            <w:r>
              <w:rPr>
                <w:rFonts w:hint="default" w:ascii="Times New Roman" w:hAnsi="Times New Roman" w:eastAsia="宋体" w:cs="Times New Roman"/>
                <w:color w:val="auto"/>
                <w:highlight w:val="none"/>
                <w:vertAlign w:val="subscript"/>
              </w:rPr>
              <w:t>1</w:t>
            </w:r>
            <w:r>
              <w:rPr>
                <w:rFonts w:hint="default" w:ascii="Times New Roman" w:hAnsi="Times New Roman" w:eastAsia="宋体" w:cs="Times New Roman"/>
                <w:color w:val="auto"/>
                <w:highlight w:val="none"/>
              </w:rPr>
              <w:t>＋V</w:t>
            </w:r>
            <w:r>
              <w:rPr>
                <w:rFonts w:hint="default" w:ascii="Times New Roman" w:hAnsi="Times New Roman" w:eastAsia="宋体" w:cs="Times New Roman"/>
                <w:color w:val="auto"/>
                <w:highlight w:val="none"/>
                <w:vertAlign w:val="subscript"/>
              </w:rPr>
              <w:t>2</w:t>
            </w:r>
            <w:r>
              <w:rPr>
                <w:rFonts w:hint="default" w:ascii="Times New Roman" w:hAnsi="Times New Roman" w:eastAsia="宋体" w:cs="Times New Roman"/>
                <w:color w:val="auto"/>
                <w:highlight w:val="none"/>
              </w:rPr>
              <w:t>－V</w:t>
            </w:r>
            <w:r>
              <w:rPr>
                <w:rFonts w:hint="default" w:ascii="Times New Roman" w:hAnsi="Times New Roman" w:eastAsia="宋体" w:cs="Times New Roman"/>
                <w:color w:val="auto"/>
                <w:highlight w:val="none"/>
                <w:vertAlign w:val="subscript"/>
              </w:rPr>
              <w:t>3</w:t>
            </w:r>
            <w:r>
              <w:rPr>
                <w:rFonts w:hint="default" w:ascii="Times New Roman" w:hAnsi="Times New Roman" w:eastAsia="宋体" w:cs="Times New Roman"/>
                <w:color w:val="auto"/>
                <w:highlight w:val="none"/>
              </w:rPr>
              <w:t>，取其中最大值。</w:t>
            </w:r>
          </w:p>
          <w:p>
            <w:pPr>
              <w:keepNext w:val="0"/>
              <w:keepLines w:val="0"/>
              <w:pageBreakBefore w:val="0"/>
              <w:widowControl w:val="0"/>
              <w:kinsoku/>
              <w:wordWrap/>
              <w:overflowPunct/>
              <w:topLinePunct w:val="0"/>
              <w:autoSpaceDE/>
              <w:autoSpaceDN/>
              <w:bidi w:val="0"/>
              <w:spacing w:line="500" w:lineRule="exact"/>
              <w:ind w:firstLine="42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V</w:t>
            </w:r>
            <w:r>
              <w:rPr>
                <w:rFonts w:hint="default" w:ascii="Times New Roman" w:hAnsi="Times New Roman" w:eastAsia="宋体" w:cs="Times New Roman"/>
                <w:color w:val="auto"/>
                <w:highlight w:val="none"/>
                <w:vertAlign w:val="subscript"/>
              </w:rPr>
              <w:t>1</w:t>
            </w:r>
            <w:r>
              <w:rPr>
                <w:rFonts w:hint="default" w:ascii="Times New Roman" w:hAnsi="Times New Roman" w:eastAsia="宋体" w:cs="Times New Roman"/>
                <w:color w:val="auto"/>
                <w:highlight w:val="none"/>
              </w:rPr>
              <w:t>—收集系统范围内发生事故的一个罐组或一套装置的物料量。（注：储存相同物料的罐组按一个最大储罐计，</w:t>
            </w:r>
            <w:r>
              <w:rPr>
                <w:rFonts w:hint="eastAsia" w:ascii="Times New Roman" w:hAnsi="Times New Roman" w:eastAsia="宋体" w:cs="Times New Roman"/>
                <w:color w:val="auto"/>
                <w:highlight w:val="none"/>
                <w:lang w:eastAsia="zh-CN"/>
              </w:rPr>
              <w:t>装载</w:t>
            </w:r>
            <w:r>
              <w:rPr>
                <w:rFonts w:hint="default" w:ascii="Times New Roman" w:hAnsi="Times New Roman" w:eastAsia="宋体" w:cs="Times New Roman"/>
                <w:color w:val="auto"/>
                <w:highlight w:val="none"/>
              </w:rPr>
              <w:t>物料量按存留最大物料量的一台反应器或中间储罐计）</w:t>
            </w:r>
          </w:p>
          <w:p>
            <w:pPr>
              <w:keepNext w:val="0"/>
              <w:keepLines w:val="0"/>
              <w:pageBreakBefore w:val="0"/>
              <w:widowControl w:val="0"/>
              <w:kinsoku/>
              <w:wordWrap/>
              <w:overflowPunct/>
              <w:topLinePunct w:val="0"/>
              <w:autoSpaceDE/>
              <w:autoSpaceDN/>
              <w:bidi w:val="0"/>
              <w:spacing w:line="500" w:lineRule="exact"/>
              <w:ind w:firstLine="42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V</w:t>
            </w:r>
            <w:r>
              <w:rPr>
                <w:rFonts w:hint="default" w:ascii="Times New Roman" w:hAnsi="Times New Roman" w:eastAsia="宋体" w:cs="Times New Roman"/>
                <w:color w:val="auto"/>
                <w:highlight w:val="none"/>
                <w:vertAlign w:val="subscript"/>
              </w:rPr>
              <w:t>2</w:t>
            </w:r>
            <w:r>
              <w:rPr>
                <w:rFonts w:hint="default" w:ascii="Times New Roman" w:hAnsi="Times New Roman" w:eastAsia="宋体" w:cs="Times New Roman"/>
                <w:color w:val="auto"/>
                <w:highlight w:val="none"/>
              </w:rPr>
              <w:t>—发生事故的储罐或装置的消防水量，m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w:t>
            </w:r>
          </w:p>
          <w:p>
            <w:pPr>
              <w:keepNext w:val="0"/>
              <w:keepLines w:val="0"/>
              <w:pageBreakBefore w:val="0"/>
              <w:widowControl w:val="0"/>
              <w:kinsoku/>
              <w:wordWrap/>
              <w:overflowPunct/>
              <w:topLinePunct w:val="0"/>
              <w:autoSpaceDE/>
              <w:autoSpaceDN/>
              <w:bidi w:val="0"/>
              <w:spacing w:line="500" w:lineRule="exact"/>
              <w:ind w:firstLine="42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V</w:t>
            </w:r>
            <w:r>
              <w:rPr>
                <w:rFonts w:hint="default" w:ascii="Times New Roman" w:hAnsi="Times New Roman" w:eastAsia="宋体" w:cs="Times New Roman"/>
                <w:color w:val="auto"/>
                <w:highlight w:val="none"/>
                <w:vertAlign w:val="subscript"/>
              </w:rPr>
              <w:t>3</w:t>
            </w:r>
            <w:r>
              <w:rPr>
                <w:rFonts w:hint="default" w:ascii="Times New Roman" w:hAnsi="Times New Roman" w:eastAsia="宋体" w:cs="Times New Roman"/>
                <w:color w:val="auto"/>
                <w:highlight w:val="none"/>
              </w:rPr>
              <w:t>—发生事故时可以</w:t>
            </w:r>
            <w:r>
              <w:rPr>
                <w:rFonts w:hint="eastAsia" w:ascii="Times New Roman" w:hAnsi="Times New Roman" w:eastAsia="宋体" w:cs="Times New Roman"/>
                <w:color w:val="auto"/>
                <w:highlight w:val="none"/>
                <w:lang w:eastAsia="zh-CN"/>
              </w:rPr>
              <w:t>传输</w:t>
            </w:r>
            <w:r>
              <w:rPr>
                <w:rFonts w:hint="default" w:ascii="Times New Roman" w:hAnsi="Times New Roman" w:eastAsia="宋体" w:cs="Times New Roman"/>
                <w:color w:val="auto"/>
                <w:highlight w:val="none"/>
              </w:rPr>
              <w:t>到其他储存或处理设施的物料量，m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w:t>
            </w:r>
          </w:p>
          <w:p>
            <w:pPr>
              <w:keepNext w:val="0"/>
              <w:keepLines w:val="0"/>
              <w:pageBreakBefore w:val="0"/>
              <w:widowControl w:val="0"/>
              <w:kinsoku/>
              <w:wordWrap/>
              <w:overflowPunct/>
              <w:topLinePunct w:val="0"/>
              <w:autoSpaceDE/>
              <w:autoSpaceDN/>
              <w:bidi w:val="0"/>
              <w:spacing w:line="500" w:lineRule="exact"/>
              <w:ind w:firstLine="42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V</w:t>
            </w:r>
            <w:r>
              <w:rPr>
                <w:rFonts w:hint="default" w:ascii="Times New Roman" w:hAnsi="Times New Roman" w:eastAsia="宋体" w:cs="Times New Roman"/>
                <w:color w:val="auto"/>
                <w:highlight w:val="none"/>
                <w:vertAlign w:val="subscript"/>
              </w:rPr>
              <w:t>4</w:t>
            </w:r>
            <w:r>
              <w:rPr>
                <w:rFonts w:hint="default" w:ascii="Times New Roman" w:hAnsi="Times New Roman" w:eastAsia="宋体" w:cs="Times New Roman"/>
                <w:color w:val="auto"/>
                <w:highlight w:val="none"/>
              </w:rPr>
              <w:t>—发生事故时仍必须进入该收集系统的生产废水量，m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w:t>
            </w:r>
          </w:p>
          <w:p>
            <w:pPr>
              <w:keepNext w:val="0"/>
              <w:keepLines w:val="0"/>
              <w:pageBreakBefore w:val="0"/>
              <w:widowControl w:val="0"/>
              <w:kinsoku/>
              <w:wordWrap/>
              <w:overflowPunct/>
              <w:topLinePunct w:val="0"/>
              <w:autoSpaceDE/>
              <w:autoSpaceDN/>
              <w:bidi w:val="0"/>
              <w:spacing w:line="500" w:lineRule="exact"/>
              <w:ind w:firstLine="42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V</w:t>
            </w:r>
            <w:r>
              <w:rPr>
                <w:rFonts w:hint="default" w:ascii="Times New Roman" w:hAnsi="Times New Roman" w:eastAsia="宋体" w:cs="Times New Roman"/>
                <w:color w:val="auto"/>
                <w:highlight w:val="none"/>
                <w:vertAlign w:val="subscript"/>
              </w:rPr>
              <w:t>5</w:t>
            </w:r>
            <w:r>
              <w:rPr>
                <w:rFonts w:hint="default" w:ascii="Times New Roman" w:hAnsi="Times New Roman" w:eastAsia="宋体" w:cs="Times New Roman"/>
                <w:color w:val="auto"/>
                <w:highlight w:val="none"/>
              </w:rPr>
              <w:t>—发生事故时可能进入该收集系统的降雨量，m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w:t>
            </w:r>
          </w:p>
          <w:p>
            <w:pPr>
              <w:keepNext w:val="0"/>
              <w:keepLines w:val="0"/>
              <w:pageBreakBefore w:val="0"/>
              <w:widowControl w:val="0"/>
              <w:kinsoku/>
              <w:wordWrap/>
              <w:overflowPunct/>
              <w:topLinePunct w:val="0"/>
              <w:autoSpaceDE/>
              <w:autoSpaceDN/>
              <w:bidi w:val="0"/>
              <w:spacing w:line="500" w:lineRule="exact"/>
              <w:ind w:firstLine="42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V</w:t>
            </w:r>
            <w:r>
              <w:rPr>
                <w:rFonts w:hint="default" w:ascii="Times New Roman" w:hAnsi="Times New Roman" w:eastAsia="宋体" w:cs="Times New Roman"/>
                <w:color w:val="auto"/>
                <w:highlight w:val="none"/>
                <w:vertAlign w:val="subscript"/>
              </w:rPr>
              <w:t>5</w:t>
            </w:r>
            <w:r>
              <w:rPr>
                <w:rFonts w:hint="default" w:ascii="Times New Roman" w:hAnsi="Times New Roman" w:eastAsia="宋体" w:cs="Times New Roman"/>
                <w:color w:val="auto"/>
                <w:highlight w:val="none"/>
              </w:rPr>
              <w:t>＝10qF</w:t>
            </w:r>
          </w:p>
          <w:p>
            <w:pPr>
              <w:keepNext w:val="0"/>
              <w:keepLines w:val="0"/>
              <w:pageBreakBefore w:val="0"/>
              <w:widowControl w:val="0"/>
              <w:kinsoku/>
              <w:wordWrap/>
              <w:overflowPunct/>
              <w:topLinePunct w:val="0"/>
              <w:autoSpaceDE/>
              <w:autoSpaceDN/>
              <w:bidi w:val="0"/>
              <w:spacing w:line="500" w:lineRule="exact"/>
              <w:ind w:firstLine="420" w:firstLineChars="200"/>
              <w:textAlignment w:val="auto"/>
              <w:rPr>
                <w:rFonts w:hint="eastAsia"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q—降雨强度，mm；按平均日降雨量；13.8mm</w:t>
            </w:r>
            <w:r>
              <w:rPr>
                <w:rFonts w:hint="eastAsia" w:ascii="Times New Roman" w:hAnsi="Times New Roman" w:eastAsia="宋体" w:cs="Times New Roman"/>
                <w:color w:val="auto"/>
                <w:highlight w:val="none"/>
                <w:lang w:eastAsia="zh-CN"/>
              </w:rPr>
              <w:t>；</w:t>
            </w:r>
          </w:p>
          <w:p>
            <w:pPr>
              <w:keepNext w:val="0"/>
              <w:keepLines w:val="0"/>
              <w:pageBreakBefore w:val="0"/>
              <w:widowControl w:val="0"/>
              <w:kinsoku/>
              <w:wordWrap/>
              <w:overflowPunct/>
              <w:topLinePunct w:val="0"/>
              <w:autoSpaceDE/>
              <w:autoSpaceDN/>
              <w:bidi w:val="0"/>
              <w:spacing w:line="500" w:lineRule="exact"/>
              <w:ind w:firstLine="42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q=qa/n</w:t>
            </w:r>
          </w:p>
          <w:p>
            <w:pPr>
              <w:keepNext w:val="0"/>
              <w:keepLines w:val="0"/>
              <w:pageBreakBefore w:val="0"/>
              <w:widowControl w:val="0"/>
              <w:kinsoku/>
              <w:wordWrap/>
              <w:overflowPunct/>
              <w:topLinePunct w:val="0"/>
              <w:autoSpaceDE/>
              <w:autoSpaceDN/>
              <w:bidi w:val="0"/>
              <w:spacing w:line="500" w:lineRule="exact"/>
              <w:ind w:firstLine="420" w:firstLineChars="200"/>
              <w:textAlignment w:val="auto"/>
              <w:rPr>
                <w:rFonts w:hint="default" w:ascii="Times New Roman" w:hAnsi="Times New Roman" w:eastAsia="宋体" w:cs="Times New Roman"/>
                <w:strike/>
                <w:dstrike w:val="0"/>
                <w:color w:val="auto"/>
                <w:highlight w:val="none"/>
              </w:rPr>
            </w:pPr>
            <w:r>
              <w:rPr>
                <w:rFonts w:hint="default" w:ascii="Times New Roman" w:hAnsi="Times New Roman" w:eastAsia="宋体" w:cs="Times New Roman"/>
                <w:color w:val="auto"/>
                <w:highlight w:val="none"/>
              </w:rPr>
              <w:t>qa—年平均降雨量，mm；</w:t>
            </w:r>
          </w:p>
          <w:p>
            <w:pPr>
              <w:keepNext w:val="0"/>
              <w:keepLines w:val="0"/>
              <w:pageBreakBefore w:val="0"/>
              <w:widowControl w:val="0"/>
              <w:kinsoku/>
              <w:wordWrap/>
              <w:overflowPunct/>
              <w:topLinePunct w:val="0"/>
              <w:autoSpaceDE/>
              <w:autoSpaceDN/>
              <w:bidi w:val="0"/>
              <w:spacing w:line="500" w:lineRule="exact"/>
              <w:ind w:firstLine="42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n—年平均降雨日数。</w:t>
            </w:r>
          </w:p>
          <w:p>
            <w:pPr>
              <w:keepNext w:val="0"/>
              <w:keepLines w:val="0"/>
              <w:pageBreakBefore w:val="0"/>
              <w:widowControl w:val="0"/>
              <w:kinsoku/>
              <w:wordWrap/>
              <w:overflowPunct/>
              <w:topLinePunct w:val="0"/>
              <w:autoSpaceDE/>
              <w:autoSpaceDN/>
              <w:bidi w:val="0"/>
              <w:spacing w:line="500" w:lineRule="exact"/>
              <w:ind w:firstLine="42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F—必须进入事故废水收集系统的雨水汇水面积，hm</w:t>
            </w:r>
            <w:r>
              <w:rPr>
                <w:rFonts w:hint="default" w:ascii="Times New Roman" w:hAnsi="Times New Roman" w:eastAsia="宋体" w:cs="Times New Roman"/>
                <w:color w:val="auto"/>
                <w:highlight w:val="none"/>
                <w:vertAlign w:val="superscript"/>
              </w:rPr>
              <w:t>2</w:t>
            </w:r>
            <w:r>
              <w:rPr>
                <w:rFonts w:hint="default"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0.</w:t>
            </w:r>
            <w:r>
              <w:rPr>
                <w:rFonts w:hint="eastAsia" w:cs="Times New Roman"/>
                <w:color w:val="auto"/>
                <w:highlight w:val="none"/>
                <w:lang w:val="en-US" w:eastAsia="zh-CN"/>
              </w:rPr>
              <w:t>8</w:t>
            </w:r>
            <w:r>
              <w:rPr>
                <w:rFonts w:hint="default" w:ascii="Times New Roman" w:hAnsi="Times New Roman" w:eastAsia="宋体" w:cs="Times New Roman"/>
                <w:color w:val="auto"/>
                <w:highlight w:val="none"/>
              </w:rPr>
              <w:t>hm</w:t>
            </w:r>
            <w:r>
              <w:rPr>
                <w:rFonts w:hint="default" w:ascii="Times New Roman" w:hAnsi="Times New Roman" w:eastAsia="宋体" w:cs="Times New Roman"/>
                <w:color w:val="auto"/>
                <w:highlight w:val="none"/>
                <w:vertAlign w:val="superscript"/>
              </w:rPr>
              <w:t>2</w:t>
            </w:r>
            <w:r>
              <w:rPr>
                <w:rFonts w:hint="default" w:ascii="Times New Roman" w:hAnsi="Times New Roman" w:eastAsia="宋体" w:cs="Times New Roman"/>
                <w:color w:val="auto"/>
                <w:highlight w:val="none"/>
              </w:rPr>
              <w:t>。</w:t>
            </w:r>
          </w:p>
          <w:p>
            <w:pPr>
              <w:keepNext w:val="0"/>
              <w:keepLines w:val="0"/>
              <w:pageBreakBefore w:val="0"/>
              <w:widowControl w:val="0"/>
              <w:kinsoku/>
              <w:wordWrap/>
              <w:overflowPunct/>
              <w:topLinePunct w:val="0"/>
              <w:autoSpaceDE/>
              <w:autoSpaceDN/>
              <w:bidi w:val="0"/>
              <w:spacing w:line="500" w:lineRule="exact"/>
              <w:ind w:firstLine="42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V</w:t>
            </w:r>
            <w:r>
              <w:rPr>
                <w:rFonts w:hint="default" w:ascii="Times New Roman" w:hAnsi="Times New Roman" w:eastAsia="宋体" w:cs="Times New Roman"/>
                <w:color w:val="auto"/>
                <w:highlight w:val="none"/>
                <w:vertAlign w:val="subscript"/>
              </w:rPr>
              <w:t>1</w:t>
            </w:r>
            <w:r>
              <w:rPr>
                <w:rFonts w:hint="default" w:ascii="Times New Roman" w:hAnsi="Times New Roman" w:eastAsia="宋体" w:cs="Times New Roman"/>
                <w:color w:val="auto"/>
                <w:highlight w:val="none"/>
              </w:rPr>
              <w:t>＝0m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w:t>
            </w:r>
          </w:p>
          <w:p>
            <w:pPr>
              <w:keepNext w:val="0"/>
              <w:keepLines w:val="0"/>
              <w:pageBreakBefore w:val="0"/>
              <w:widowControl w:val="0"/>
              <w:kinsoku/>
              <w:wordWrap/>
              <w:overflowPunct/>
              <w:topLinePunct w:val="0"/>
              <w:autoSpaceDE/>
              <w:autoSpaceDN/>
              <w:bidi w:val="0"/>
              <w:spacing w:line="500" w:lineRule="exact"/>
              <w:ind w:firstLine="420" w:firstLineChars="200"/>
              <w:textAlignment w:val="auto"/>
              <w:rPr>
                <w:rFonts w:hint="eastAsia"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V</w:t>
            </w:r>
            <w:r>
              <w:rPr>
                <w:rFonts w:hint="default" w:ascii="Times New Roman" w:hAnsi="Times New Roman" w:eastAsia="宋体" w:cs="Times New Roman"/>
                <w:color w:val="auto"/>
                <w:highlight w:val="none"/>
                <w:vertAlign w:val="subscript"/>
              </w:rPr>
              <w:t>2</w:t>
            </w:r>
            <w:r>
              <w:rPr>
                <w:rFonts w:hint="default"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216</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根据《建筑防火通用规范》（GB55037-2022）、</w:t>
            </w:r>
            <w:r>
              <w:rPr>
                <w:rFonts w:hint="default" w:ascii="Times New Roman" w:hAnsi="Times New Roman" w:eastAsia="宋体" w:cs="Times New Roman"/>
                <w:color w:val="auto"/>
                <w:highlight w:val="none"/>
              </w:rPr>
              <w:t>《消防给水及消火栓系统技术规范》</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GB50974-2014</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等技术规范</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本项目车间属于丁类厂房</w:t>
            </w:r>
            <w:r>
              <w:rPr>
                <w:rFonts w:hint="default" w:ascii="Times New Roman" w:hAnsi="Times New Roman" w:eastAsia="宋体" w:cs="Times New Roman"/>
                <w:color w:val="auto"/>
                <w:highlight w:val="none"/>
              </w:rPr>
              <w:t>，本项目</w:t>
            </w:r>
            <w:r>
              <w:rPr>
                <w:rFonts w:hint="eastAsia" w:ascii="Times New Roman" w:hAnsi="Times New Roman" w:eastAsia="宋体" w:cs="Times New Roman"/>
                <w:color w:val="auto"/>
                <w:highlight w:val="none"/>
                <w:lang w:val="en-US" w:eastAsia="zh-CN"/>
              </w:rPr>
              <w:t>室内</w:t>
            </w:r>
            <w:r>
              <w:rPr>
                <w:rFonts w:hint="default" w:ascii="Times New Roman" w:hAnsi="Times New Roman" w:eastAsia="宋体" w:cs="Times New Roman"/>
                <w:color w:val="auto"/>
                <w:highlight w:val="none"/>
              </w:rPr>
              <w:t>消防水量为</w:t>
            </w:r>
            <w:r>
              <w:rPr>
                <w:rFonts w:hint="eastAsia" w:ascii="Times New Roman" w:hAnsi="Times New Roman" w:eastAsia="宋体" w:cs="Times New Roman"/>
                <w:color w:val="auto"/>
                <w:highlight w:val="none"/>
                <w:lang w:val="en-US" w:eastAsia="zh-CN"/>
              </w:rPr>
              <w:t>10</w:t>
            </w:r>
            <w:r>
              <w:rPr>
                <w:rFonts w:hint="default" w:ascii="Times New Roman" w:hAnsi="Times New Roman" w:eastAsia="宋体" w:cs="Times New Roman"/>
                <w:color w:val="auto"/>
                <w:highlight w:val="none"/>
              </w:rPr>
              <w:t>L/s，</w:t>
            </w:r>
            <w:r>
              <w:rPr>
                <w:rFonts w:hint="eastAsia" w:ascii="Times New Roman" w:hAnsi="Times New Roman" w:eastAsia="宋体" w:cs="Times New Roman"/>
                <w:color w:val="auto"/>
                <w:highlight w:val="none"/>
                <w:lang w:val="en-US" w:eastAsia="zh-CN"/>
              </w:rPr>
              <w:t>室外消防水量为15L/s，</w:t>
            </w:r>
            <w:r>
              <w:rPr>
                <w:rFonts w:hint="default" w:ascii="Times New Roman" w:hAnsi="Times New Roman" w:eastAsia="宋体" w:cs="Times New Roman"/>
                <w:color w:val="auto"/>
                <w:highlight w:val="none"/>
              </w:rPr>
              <w:t>火灾延续时间为</w:t>
            </w:r>
            <w:r>
              <w:rPr>
                <w:rFonts w:hint="eastAsia" w:cs="Times New Roman"/>
                <w:color w:val="auto"/>
                <w:highlight w:val="none"/>
                <w:lang w:val="en-US" w:eastAsia="zh-CN"/>
              </w:rPr>
              <w:t>2</w:t>
            </w:r>
            <w:r>
              <w:rPr>
                <w:rFonts w:hint="default" w:ascii="Times New Roman" w:hAnsi="Times New Roman" w:eastAsia="宋体" w:cs="Times New Roman"/>
                <w:color w:val="auto"/>
                <w:highlight w:val="none"/>
              </w:rPr>
              <w:t>h，</w:t>
            </w:r>
            <w:r>
              <w:rPr>
                <w:rFonts w:hint="eastAsia" w:ascii="Times New Roman" w:hAnsi="Times New Roman" w:eastAsia="宋体" w:cs="Times New Roman"/>
                <w:color w:val="auto"/>
                <w:highlight w:val="none"/>
                <w:lang w:val="en-US" w:eastAsia="zh-CN"/>
              </w:rPr>
              <w:t>废水量为</w:t>
            </w:r>
            <w:r>
              <w:rPr>
                <w:rFonts w:hint="eastAsia" w:cs="Times New Roman"/>
                <w:color w:val="auto"/>
                <w:highlight w:val="none"/>
                <w:lang w:val="en-US" w:eastAsia="zh-CN"/>
              </w:rPr>
              <w:t>180</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w:t>
            </w:r>
          </w:p>
          <w:p>
            <w:pPr>
              <w:keepNext w:val="0"/>
              <w:keepLines w:val="0"/>
              <w:pageBreakBefore w:val="0"/>
              <w:widowControl w:val="0"/>
              <w:kinsoku/>
              <w:wordWrap/>
              <w:overflowPunct/>
              <w:topLinePunct w:val="0"/>
              <w:autoSpaceDE/>
              <w:autoSpaceDN/>
              <w:bidi w:val="0"/>
              <w:spacing w:line="500" w:lineRule="exact"/>
              <w:ind w:firstLine="42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V</w:t>
            </w:r>
            <w:r>
              <w:rPr>
                <w:rFonts w:hint="default" w:ascii="Times New Roman" w:hAnsi="Times New Roman" w:eastAsia="宋体" w:cs="Times New Roman"/>
                <w:color w:val="auto"/>
                <w:highlight w:val="none"/>
                <w:vertAlign w:val="subscript"/>
              </w:rPr>
              <w:t>3</w:t>
            </w:r>
            <w:r>
              <w:rPr>
                <w:rFonts w:hint="default"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0</w:t>
            </w:r>
            <w:r>
              <w:rPr>
                <w:rFonts w:hint="default" w:ascii="Times New Roman" w:hAnsi="Times New Roman" w:eastAsia="宋体" w:cs="Times New Roman"/>
                <w:color w:val="auto"/>
                <w:highlight w:val="none"/>
              </w:rPr>
              <w:t>。</w:t>
            </w:r>
          </w:p>
          <w:p>
            <w:pPr>
              <w:keepNext w:val="0"/>
              <w:keepLines w:val="0"/>
              <w:pageBreakBefore w:val="0"/>
              <w:widowControl w:val="0"/>
              <w:kinsoku/>
              <w:wordWrap/>
              <w:overflowPunct/>
              <w:topLinePunct w:val="0"/>
              <w:autoSpaceDE/>
              <w:autoSpaceDN/>
              <w:bidi w:val="0"/>
              <w:spacing w:line="500" w:lineRule="exact"/>
              <w:ind w:firstLine="42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V</w:t>
            </w:r>
            <w:r>
              <w:rPr>
                <w:rFonts w:hint="default" w:ascii="Times New Roman" w:hAnsi="Times New Roman" w:eastAsia="宋体" w:cs="Times New Roman"/>
                <w:color w:val="auto"/>
                <w:highlight w:val="none"/>
                <w:vertAlign w:val="subscript"/>
              </w:rPr>
              <w:t>4</w:t>
            </w:r>
            <w:r>
              <w:rPr>
                <w:rFonts w:hint="default" w:ascii="Times New Roman" w:hAnsi="Times New Roman" w:eastAsia="宋体" w:cs="Times New Roman"/>
                <w:color w:val="auto"/>
                <w:highlight w:val="none"/>
              </w:rPr>
              <w:t>＝0。</w:t>
            </w:r>
          </w:p>
          <w:p>
            <w:pPr>
              <w:keepNext w:val="0"/>
              <w:keepLines w:val="0"/>
              <w:pageBreakBefore w:val="0"/>
              <w:widowControl w:val="0"/>
              <w:kinsoku/>
              <w:wordWrap/>
              <w:overflowPunct/>
              <w:topLinePunct w:val="0"/>
              <w:autoSpaceDE/>
              <w:autoSpaceDN/>
              <w:bidi w:val="0"/>
              <w:spacing w:line="500" w:lineRule="exact"/>
              <w:ind w:firstLine="42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V</w:t>
            </w:r>
            <w:r>
              <w:rPr>
                <w:rFonts w:hint="default" w:ascii="Times New Roman" w:hAnsi="Times New Roman" w:eastAsia="宋体" w:cs="Times New Roman"/>
                <w:color w:val="auto"/>
                <w:highlight w:val="none"/>
                <w:vertAlign w:val="subscript"/>
              </w:rPr>
              <w:t>5</w:t>
            </w:r>
            <w:r>
              <w:rPr>
                <w:rFonts w:hint="default" w:ascii="Times New Roman" w:hAnsi="Times New Roman" w:eastAsia="宋体" w:cs="Times New Roman"/>
                <w:color w:val="auto"/>
                <w:highlight w:val="none"/>
              </w:rPr>
              <w:t>＝10×13.8×0.</w:t>
            </w:r>
            <w:r>
              <w:rPr>
                <w:rFonts w:hint="eastAsia" w:cs="Times New Roman"/>
                <w:color w:val="auto"/>
                <w:highlight w:val="none"/>
                <w:lang w:val="en-US" w:eastAsia="zh-CN"/>
              </w:rPr>
              <w:t>8</w:t>
            </w:r>
            <w:r>
              <w:rPr>
                <w:rFonts w:hint="default"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en-US" w:eastAsia="zh-CN"/>
              </w:rPr>
              <w:t>1</w:t>
            </w:r>
            <w:r>
              <w:rPr>
                <w:rFonts w:hint="eastAsia" w:cs="Times New Roman"/>
                <w:color w:val="auto"/>
                <w:highlight w:val="none"/>
                <w:lang w:val="en-US" w:eastAsia="zh-CN"/>
              </w:rPr>
              <w:t>10.4</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w:t>
            </w:r>
          </w:p>
          <w:p>
            <w:pPr>
              <w:keepNext w:val="0"/>
              <w:keepLines w:val="0"/>
              <w:pageBreakBefore w:val="0"/>
              <w:widowControl w:val="0"/>
              <w:kinsoku/>
              <w:wordWrap/>
              <w:overflowPunct/>
              <w:topLinePunct w:val="0"/>
              <w:autoSpaceDE/>
              <w:autoSpaceDN/>
              <w:bidi w:val="0"/>
              <w:spacing w:line="500" w:lineRule="exact"/>
              <w:ind w:firstLine="42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V</w:t>
            </w:r>
            <w:r>
              <w:rPr>
                <w:rFonts w:hint="default" w:ascii="Times New Roman" w:hAnsi="Times New Roman" w:eastAsia="宋体" w:cs="Times New Roman"/>
                <w:color w:val="auto"/>
                <w:highlight w:val="none"/>
                <w:vertAlign w:val="subscript"/>
              </w:rPr>
              <w:t>总</w:t>
            </w:r>
            <w:r>
              <w:rPr>
                <w:rFonts w:hint="default" w:ascii="Times New Roman" w:hAnsi="Times New Roman" w:eastAsia="宋体" w:cs="Times New Roman"/>
                <w:color w:val="auto"/>
                <w:highlight w:val="none"/>
              </w:rPr>
              <w:t>＝（V</w:t>
            </w:r>
            <w:r>
              <w:rPr>
                <w:rFonts w:hint="default" w:ascii="Times New Roman" w:hAnsi="Times New Roman" w:eastAsia="宋体" w:cs="Times New Roman"/>
                <w:color w:val="auto"/>
                <w:highlight w:val="none"/>
                <w:vertAlign w:val="subscript"/>
              </w:rPr>
              <w:t>1</w:t>
            </w:r>
            <w:r>
              <w:rPr>
                <w:rFonts w:hint="default" w:ascii="Times New Roman" w:hAnsi="Times New Roman" w:eastAsia="宋体" w:cs="Times New Roman"/>
                <w:color w:val="auto"/>
                <w:highlight w:val="none"/>
              </w:rPr>
              <w:t>+V</w:t>
            </w:r>
            <w:r>
              <w:rPr>
                <w:rFonts w:hint="default" w:ascii="Times New Roman" w:hAnsi="Times New Roman" w:eastAsia="宋体" w:cs="Times New Roman"/>
                <w:color w:val="auto"/>
                <w:highlight w:val="none"/>
                <w:vertAlign w:val="subscript"/>
              </w:rPr>
              <w:t>2</w:t>
            </w:r>
            <w:r>
              <w:rPr>
                <w:rFonts w:hint="default" w:ascii="Times New Roman" w:hAnsi="Times New Roman" w:eastAsia="宋体" w:cs="Times New Roman"/>
                <w:color w:val="auto"/>
                <w:highlight w:val="none"/>
              </w:rPr>
              <w:t>-V</w:t>
            </w:r>
            <w:r>
              <w:rPr>
                <w:rFonts w:hint="default" w:ascii="Times New Roman" w:hAnsi="Times New Roman" w:eastAsia="宋体" w:cs="Times New Roman"/>
                <w:color w:val="auto"/>
                <w:highlight w:val="none"/>
                <w:vertAlign w:val="subscript"/>
              </w:rPr>
              <w:t>3</w:t>
            </w:r>
            <w:r>
              <w:rPr>
                <w:rFonts w:hint="default" w:ascii="Times New Roman" w:hAnsi="Times New Roman" w:eastAsia="宋体" w:cs="Times New Roman"/>
                <w:color w:val="auto"/>
                <w:highlight w:val="none"/>
              </w:rPr>
              <w:t>）max＋V</w:t>
            </w:r>
            <w:r>
              <w:rPr>
                <w:rFonts w:hint="default" w:ascii="Times New Roman" w:hAnsi="Times New Roman" w:eastAsia="宋体" w:cs="Times New Roman"/>
                <w:color w:val="auto"/>
                <w:highlight w:val="none"/>
                <w:vertAlign w:val="subscript"/>
              </w:rPr>
              <w:t>4</w:t>
            </w:r>
            <w:r>
              <w:rPr>
                <w:rFonts w:hint="default" w:ascii="Times New Roman" w:hAnsi="Times New Roman" w:eastAsia="宋体" w:cs="Times New Roman"/>
                <w:color w:val="auto"/>
                <w:highlight w:val="none"/>
              </w:rPr>
              <w:t>+V</w:t>
            </w:r>
            <w:r>
              <w:rPr>
                <w:rFonts w:hint="default" w:ascii="Times New Roman" w:hAnsi="Times New Roman" w:eastAsia="宋体" w:cs="Times New Roman"/>
                <w:color w:val="auto"/>
                <w:highlight w:val="none"/>
                <w:vertAlign w:val="subscript"/>
              </w:rPr>
              <w:t>5</w:t>
            </w:r>
            <w:r>
              <w:rPr>
                <w:rFonts w:hint="default" w:ascii="Times New Roman" w:hAnsi="Times New Roman" w:eastAsia="宋体" w:cs="Times New Roman"/>
                <w:color w:val="auto"/>
                <w:highlight w:val="none"/>
              </w:rPr>
              <w:t>＝0+</w:t>
            </w:r>
            <w:r>
              <w:rPr>
                <w:rFonts w:hint="eastAsia" w:cs="Times New Roman"/>
                <w:color w:val="auto"/>
                <w:highlight w:val="none"/>
                <w:lang w:val="en-US" w:eastAsia="zh-CN"/>
              </w:rPr>
              <w:t>180</w:t>
            </w:r>
            <w:r>
              <w:rPr>
                <w:rFonts w:hint="default"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en-US" w:eastAsia="zh-CN"/>
              </w:rPr>
              <w:t>0</w:t>
            </w:r>
            <w:r>
              <w:rPr>
                <w:rFonts w:hint="default" w:ascii="Times New Roman" w:hAnsi="Times New Roman" w:eastAsia="宋体" w:cs="Times New Roman"/>
                <w:color w:val="auto"/>
                <w:highlight w:val="none"/>
              </w:rPr>
              <w:t>+0+</w:t>
            </w:r>
            <w:r>
              <w:rPr>
                <w:rFonts w:hint="eastAsia" w:ascii="Times New Roman" w:hAnsi="Times New Roman" w:eastAsia="宋体" w:cs="Times New Roman"/>
                <w:color w:val="auto"/>
                <w:highlight w:val="none"/>
                <w:lang w:val="en-US" w:eastAsia="zh-CN"/>
              </w:rPr>
              <w:t>1</w:t>
            </w:r>
            <w:r>
              <w:rPr>
                <w:rFonts w:hint="eastAsia" w:cs="Times New Roman"/>
                <w:color w:val="auto"/>
                <w:highlight w:val="none"/>
                <w:lang w:val="en-US" w:eastAsia="zh-CN"/>
              </w:rPr>
              <w:t>10.4</w:t>
            </w:r>
            <w:r>
              <w:rPr>
                <w:rFonts w:hint="default" w:ascii="Times New Roman" w:hAnsi="Times New Roman" w:eastAsia="宋体" w:cs="Times New Roman"/>
                <w:color w:val="auto"/>
                <w:highlight w:val="none"/>
              </w:rPr>
              <w:t>=</w:t>
            </w:r>
            <w:r>
              <w:rPr>
                <w:rFonts w:hint="eastAsia" w:cs="Times New Roman"/>
                <w:color w:val="auto"/>
                <w:highlight w:val="none"/>
                <w:lang w:val="en-US" w:eastAsia="zh-CN"/>
              </w:rPr>
              <w:t>290.4</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w:t>
            </w:r>
          </w:p>
          <w:p>
            <w:pPr>
              <w:adjustRightInd w:val="0"/>
              <w:snapToGrid w:val="0"/>
              <w:spacing w:line="500" w:lineRule="exact"/>
              <w:ind w:firstLine="420" w:firstLineChars="200"/>
              <w:rPr>
                <w:rFonts w:hint="eastAsia"/>
                <w:color w:val="auto"/>
              </w:rPr>
            </w:pPr>
            <w:r>
              <w:rPr>
                <w:color w:val="auto"/>
              </w:rPr>
              <w:t>通过上述计算可知，</w:t>
            </w:r>
            <w:r>
              <w:rPr>
                <w:rFonts w:hint="eastAsia"/>
                <w:color w:val="auto"/>
              </w:rPr>
              <w:t>若发生事故时在降雨</w:t>
            </w:r>
            <w:r>
              <w:rPr>
                <w:color w:val="auto"/>
              </w:rPr>
              <w:t>，</w:t>
            </w:r>
            <w:r>
              <w:rPr>
                <w:rFonts w:hint="eastAsia"/>
                <w:color w:val="auto"/>
                <w:lang w:eastAsia="zh-CN"/>
              </w:rPr>
              <w:t>依托宏茂铸钢厂内现有的</w:t>
            </w:r>
            <w:r>
              <w:rPr>
                <w:rFonts w:hint="eastAsia"/>
                <w:color w:val="auto"/>
                <w:lang w:val="en-US" w:eastAsia="zh-CN"/>
              </w:rPr>
              <w:t>1200</w:t>
            </w:r>
            <w:r>
              <w:rPr>
                <w:color w:val="auto"/>
              </w:rPr>
              <w:t>m</w:t>
            </w:r>
            <w:r>
              <w:rPr>
                <w:color w:val="auto"/>
                <w:vertAlign w:val="superscript"/>
              </w:rPr>
              <w:t>3</w:t>
            </w:r>
            <w:r>
              <w:rPr>
                <w:color w:val="auto"/>
              </w:rPr>
              <w:t>事故</w:t>
            </w:r>
            <w:r>
              <w:rPr>
                <w:rFonts w:hint="eastAsia"/>
                <w:color w:val="auto"/>
                <w:lang w:eastAsia="zh-CN"/>
              </w:rPr>
              <w:t>应急池依托可行性见</w:t>
            </w:r>
            <w:r>
              <w:rPr>
                <w:rFonts w:hint="eastAsia"/>
                <w:color w:val="auto"/>
                <w:lang w:val="en-US" w:eastAsia="zh-CN"/>
              </w:rPr>
              <w:t>p36</w:t>
            </w:r>
            <w:r>
              <w:rPr>
                <w:color w:val="auto"/>
              </w:rPr>
              <w:t>，</w:t>
            </w:r>
            <w:r>
              <w:rPr>
                <w:rFonts w:hint="default" w:ascii="Times New Roman" w:hAnsi="Times New Roman" w:eastAsia="宋体" w:cs="Times New Roman"/>
                <w:color w:val="auto"/>
              </w:rPr>
              <w:t>可满足事故状态下污水贮存、消防废水贮存需求，同时，配套建设相应的事故废水收集、导排系统，确保事故状态下废水得到有效收集处理。</w:t>
            </w:r>
            <w:r>
              <w:rPr>
                <w:rFonts w:hint="default" w:ascii="Times New Roman" w:hAnsi="Times New Roman" w:eastAsia="宋体" w:cs="Times New Roman"/>
                <w:color w:val="auto"/>
                <w:lang w:val="en-US" w:eastAsia="zh-CN"/>
              </w:rPr>
              <w:t>常生产时保持事故池空置状态，当发生事故时关闭雨水排放阀，并开启事故池进水阀，一旦发生泄漏事故，废水可排入事故池，不向外排放，不会对保护目标产生影响。</w:t>
            </w:r>
          </w:p>
          <w:p>
            <w:pPr>
              <w:adjustRightInd w:val="0"/>
              <w:snapToGrid w:val="0"/>
              <w:spacing w:line="500" w:lineRule="exact"/>
              <w:ind w:firstLine="420" w:firstLineChars="200"/>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6</w:t>
            </w:r>
            <w:r>
              <w:rPr>
                <w:rFonts w:hint="default" w:ascii="Times New Roman" w:hAnsi="Times New Roman" w:eastAsia="宋体" w:cs="Times New Roman"/>
                <w:color w:val="auto"/>
              </w:rPr>
              <w:t>）风险处理应急</w:t>
            </w:r>
            <w:r>
              <w:rPr>
                <w:rFonts w:hint="eastAsia" w:ascii="Times New Roman" w:hAnsi="Times New Roman" w:eastAsia="宋体" w:cs="Times New Roman"/>
                <w:color w:val="auto"/>
                <w:lang w:eastAsia="zh-CN"/>
              </w:rPr>
              <w:t>管理制度</w:t>
            </w:r>
          </w:p>
          <w:p>
            <w:pPr>
              <w:adjustRightInd w:val="0"/>
              <w:snapToGrid w:val="0"/>
              <w:spacing w:line="500" w:lineRule="exact"/>
              <w:ind w:firstLine="420" w:firstLineChars="200"/>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根据江苏省突发环境事件应急预案管理办法，实施“一图两单两卡”管理，即绘制预案管理“一张图”，编制环境风险辨识、环境风险防范措施“两个清单”，实行环境安全职责承诺、应急处置措施“两张卡”。按规定对应急预案和风险评估报告进行回顾性评估和修订，开展验证演练，其中较大以上风险企业每年至少开展一次。</w:t>
            </w:r>
          </w:p>
          <w:p>
            <w:pPr>
              <w:adjustRightInd w:val="0"/>
              <w:snapToGrid w:val="0"/>
              <w:spacing w:line="500" w:lineRule="exact"/>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为预防事故风险和风险应急处理后对环境造成的污染影响，必须采取积极主动的防范措施。</w:t>
            </w:r>
          </w:p>
          <w:p>
            <w:pPr>
              <w:adjustRightInd w:val="0"/>
              <w:snapToGrid w:val="0"/>
              <w:spacing w:line="500" w:lineRule="exact"/>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消防系统：</w:t>
            </w:r>
          </w:p>
          <w:p>
            <w:pPr>
              <w:adjustRightInd w:val="0"/>
              <w:snapToGrid w:val="0"/>
              <w:spacing w:line="500" w:lineRule="exact"/>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a、根据火灾危险性等级和防火、防爆要求，建筑物的防火等级均应采用国家现行规范要求按一、二级耐火等级设计，满足建筑防火要求。凡禁火区均设置明显标志牌。各种易燃易爆物料均储存在阴凉、通风处，远离火源，避免与强氧化剂接触。安全出口及安全疏散距离应符合</w:t>
            </w:r>
            <w:r>
              <w:rPr>
                <w:rFonts w:hint="eastAsia" w:ascii="Times New Roman" w:hAnsi="Times New Roman" w:eastAsia="宋体" w:cs="Times New Roman"/>
                <w:color w:val="auto"/>
                <w:lang w:eastAsia="zh-CN"/>
              </w:rPr>
              <w:t>《建筑防火通用规范》（GB55037-2022）</w:t>
            </w:r>
            <w:r>
              <w:rPr>
                <w:rFonts w:hint="default" w:ascii="Times New Roman" w:hAnsi="Times New Roman" w:eastAsia="宋体" w:cs="Times New Roman"/>
                <w:color w:val="auto"/>
              </w:rPr>
              <w:t>的要求。</w:t>
            </w:r>
          </w:p>
          <w:p>
            <w:pPr>
              <w:adjustRightInd w:val="0"/>
              <w:snapToGrid w:val="0"/>
              <w:spacing w:line="500" w:lineRule="exact"/>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b、消防水是独立的稳高压消防水管网，消防水管道沿装置及辅助生产设施周围布置，在管道上按照规范要求配置消火栓及消防水炮。一旦发生火灾，需使用泡沫或干粉灭火器材，消防用水仅对燃烧区附近的容器作表面降温处理。车间地面为水泥地面，不易渗水，消防水经生产装置周边的地沟进入事故池而不设排放口。</w:t>
            </w:r>
          </w:p>
          <w:p>
            <w:pPr>
              <w:adjustRightInd w:val="0"/>
              <w:snapToGrid w:val="0"/>
              <w:spacing w:line="500" w:lineRule="exact"/>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c、火灾报警系统：全厂采用电话报警，报警至消防站。消防泵房与消防站设置直通电话。根据需要设置火灾自动报警装置。</w:t>
            </w:r>
          </w:p>
          <w:p>
            <w:pPr>
              <w:adjustRightInd w:val="0"/>
              <w:snapToGrid w:val="0"/>
              <w:spacing w:line="500" w:lineRule="exact"/>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个体防护设备：根据保障现场职工安全及卫生的需要，厂区应按照《工业企业设计卫生标准》的要求配备了相应的劳动防护用品，存放位置根据其工作活动范围合理布置。</w:t>
            </w:r>
          </w:p>
          <w:p>
            <w:pPr>
              <w:spacing w:line="500" w:lineRule="exact"/>
              <w:ind w:firstLine="420"/>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7</w:t>
            </w:r>
            <w:r>
              <w:rPr>
                <w:rFonts w:hint="default" w:ascii="Times New Roman" w:hAnsi="Times New Roman" w:eastAsia="宋体" w:cs="Times New Roman"/>
                <w:color w:val="auto"/>
              </w:rPr>
              <w:t>）风险应急预案</w:t>
            </w:r>
          </w:p>
          <w:p>
            <w:pPr>
              <w:spacing w:line="500" w:lineRule="exact"/>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通过类比事故调查，结合该厂生产工艺、管理水平和自然灾害等因素，事故风险主要来自于物料危险性和生产装置、储存装置的危险性，危害其安全的潜在危险因素主要有违反操作规程、设备缺陷、防护装置缺陷、保险装置缺陷、自然灾害、腐蚀环境、设计及施工问题等。</w:t>
            </w:r>
          </w:p>
          <w:p>
            <w:pPr>
              <w:spacing w:line="500" w:lineRule="exact"/>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针对上述风险事故，本项目制定了一系列事故应急预案和响应计划，并定期演练，以减少对生命、财产、公众和环境的危害。</w:t>
            </w:r>
          </w:p>
          <w:p>
            <w:pPr>
              <w:spacing w:line="500" w:lineRule="exact"/>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①应急计划区</w:t>
            </w:r>
          </w:p>
          <w:p>
            <w:pPr>
              <w:spacing w:line="500" w:lineRule="exact"/>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建设单位将根据所发生的事故类型，对应相应级别的预案，并开启同级别的相应程序，应急计划区也将随之有所变化。根据本项目的实际情况和区位特点，应急计划区由小到大依次为：事故现场区、工厂及其周边区域。</w:t>
            </w:r>
          </w:p>
          <w:p>
            <w:pPr>
              <w:spacing w:line="500" w:lineRule="exact"/>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②应急组织机构、人员</w:t>
            </w:r>
          </w:p>
          <w:p>
            <w:pPr>
              <w:spacing w:line="500" w:lineRule="exact"/>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厂区紧急事故的组织系统机构指由关键人员组成的采取规范化行动处理紧急事故的人员和活动系统。由于建设单位人员较少，因此由生产负责人统一组织应急小组，主要职责为负责现场抢险工作的指挥。同时兼任抢险救援、通讯联络、物资调度等工作。</w:t>
            </w:r>
          </w:p>
          <w:p>
            <w:pPr>
              <w:spacing w:line="500" w:lineRule="exact"/>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③预案分级响应条件</w:t>
            </w:r>
          </w:p>
          <w:p>
            <w:pPr>
              <w:spacing w:line="500" w:lineRule="exact"/>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根据项目可能发生的风险事故严重性作出分级预案：日常应急救援预案、严重事故应急预案、特大事故应急预案。对日常操作事故，现场人员应当机立断，迅速的在车间内直接处理或由日常应急救援办公室负责处理，防止事故扩大，并向总指挥部汇报；对于厂内严重事故，应向总指挥部和现场指挥部及时汇报，由总指挥部协调处理，严防事故扩大，迅速遏制泄漏源扩散、流失；在发生特大事故，应立即启动应急预案，迅速准确的报警、报告地方政府和环保机构和相关主管部门，并根据实际情况，请求应急救援，统一现场指挥。</w:t>
            </w:r>
          </w:p>
          <w:p>
            <w:pPr>
              <w:spacing w:line="500" w:lineRule="exact"/>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④应急状态分类及应急响应程序</w:t>
            </w:r>
          </w:p>
          <w:p>
            <w:pPr>
              <w:spacing w:line="500" w:lineRule="exact"/>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a、环境风险三级(单元-厂区-园区)应急防范体系</w:t>
            </w:r>
          </w:p>
          <w:p>
            <w:pPr>
              <w:spacing w:line="500" w:lineRule="exact"/>
              <w:ind w:firstLine="420"/>
              <w:rPr>
                <w:rFonts w:hint="eastAsia" w:ascii="Times New Roman" w:hAnsi="Times New Roman" w:eastAsia="宋体" w:cs="Times New Roman"/>
                <w:color w:val="auto"/>
                <w:lang w:eastAsia="zh-CN"/>
              </w:rPr>
            </w:pPr>
            <w:r>
              <w:rPr>
                <w:rFonts w:hint="default" w:ascii="Times New Roman" w:hAnsi="Times New Roman" w:eastAsia="宋体" w:cs="Times New Roman"/>
                <w:color w:val="auto"/>
              </w:rPr>
              <w:t>本项目根据可能发生的事故具体情形分为三级防控体系</w:t>
            </w:r>
            <w:r>
              <w:rPr>
                <w:rFonts w:hint="eastAsia" w:ascii="Times New Roman" w:hAnsi="Times New Roman" w:eastAsia="宋体" w:cs="Times New Roman"/>
                <w:color w:val="auto"/>
                <w:lang w:eastAsia="zh-CN"/>
              </w:rPr>
              <w:t>。</w:t>
            </w:r>
          </w:p>
          <w:p>
            <w:pPr>
              <w:spacing w:line="500" w:lineRule="exact"/>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第一级防控体系</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在</w:t>
            </w:r>
            <w:r>
              <w:rPr>
                <w:rFonts w:hint="eastAsia" w:ascii="Times New Roman" w:hAnsi="Times New Roman" w:eastAsia="宋体" w:cs="Times New Roman"/>
                <w:color w:val="auto"/>
                <w:lang w:eastAsia="zh-CN"/>
              </w:rPr>
              <w:t>生产车间</w:t>
            </w:r>
            <w:r>
              <w:rPr>
                <w:rFonts w:hint="default" w:ascii="Times New Roman" w:hAnsi="Times New Roman" w:eastAsia="宋体" w:cs="Times New Roman"/>
                <w:color w:val="auto"/>
              </w:rPr>
              <w:t>、危废仓库内围堰、收集沟，对泄漏物料进行围堵和收集，防止轻微事故泄漏时造成的污染水流出界区。</w:t>
            </w:r>
            <w:r>
              <w:rPr>
                <w:rFonts w:hint="eastAsia" w:ascii="Times New Roman" w:hAnsi="Times New Roman" w:eastAsia="宋体" w:cs="Times New Roman"/>
                <w:color w:val="auto"/>
                <w:lang w:eastAsia="zh-CN"/>
              </w:rPr>
              <w:t>生产车间</w:t>
            </w:r>
            <w:r>
              <w:rPr>
                <w:rFonts w:hint="default" w:ascii="Times New Roman" w:hAnsi="Times New Roman" w:eastAsia="宋体" w:cs="Times New Roman"/>
                <w:color w:val="auto"/>
              </w:rPr>
              <w:t>外应设置的雨水系统阀门，发生轻微事故时，关闭阀门，事故区工艺物料、消防水及雨水均被拦截在内。未发生事故的区域内雨水不会进入事故水收集系统，而是被截留在未发生事故的区域内。</w:t>
            </w:r>
          </w:p>
          <w:p>
            <w:pPr>
              <w:spacing w:line="500" w:lineRule="exact"/>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第二级防控体系</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厂区建设事故应急池和排水系统，发生重大的火灾、爆炸事故时，消防水及携带的物料排入事故水管线，将污染消防水和泄漏物料导入事故应急池、应急储水袋中，然后用泵输送至污水处理站处理。可防止单套生产装置较大事故泄漏物料和消防废水造成的环境污染。</w:t>
            </w:r>
          </w:p>
          <w:p>
            <w:pPr>
              <w:spacing w:line="500" w:lineRule="exact"/>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第三级风险防控体系</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在园区内企业发生环境污染事故，由于消防废水过量，超出企业自身应急防控能力，园区将采取统一调度周边企业的应急设施、园区事故应急池、污水处理厂等，同时关闭雨水排口阀门，将事故废水控制在园区应急设施和雨水管网内，确保不进入园区内河道，必要时启动园区突发环境事件应急预案。</w:t>
            </w:r>
          </w:p>
          <w:p>
            <w:pPr>
              <w:spacing w:line="500" w:lineRule="exact"/>
              <w:ind w:firstLine="420"/>
              <w:rPr>
                <w:rFonts w:hint="default"/>
                <w:color w:val="auto"/>
              </w:rPr>
            </w:pPr>
            <w:r>
              <w:rPr>
                <w:rFonts w:hint="default" w:ascii="Times New Roman" w:hAnsi="Times New Roman" w:eastAsia="宋体" w:cs="Times New Roman"/>
                <w:color w:val="auto"/>
              </w:rPr>
              <w:t>三级防控</w:t>
            </w:r>
            <w:r>
              <w:rPr>
                <w:rFonts w:hint="eastAsia" w:ascii="Times New Roman" w:hAnsi="Times New Roman" w:eastAsia="宋体" w:cs="Times New Roman"/>
                <w:color w:val="auto"/>
                <w:lang w:eastAsia="zh-CN"/>
              </w:rPr>
              <w:t>措施：</w:t>
            </w:r>
            <w:r>
              <w:rPr>
                <w:rFonts w:hint="default" w:ascii="Times New Roman" w:hAnsi="Times New Roman" w:eastAsia="宋体" w:cs="Times New Roman"/>
                <w:color w:val="auto"/>
                <w:lang w:val="en-US" w:eastAsia="zh-CN"/>
              </w:rPr>
              <w:t>厂区所有雨水管道的进口均设置截流阀，一旦发生泄漏事故，如果溢出的物料四处流散，立即启动泄漏源与雨水管网之间的切换阀。将事故污水及时截留在厂区内，切断被污染的消防水排入外部水环境的途径。事故状态下，厂区内所有事故废水必须全部收集。企业</w:t>
            </w:r>
            <w:r>
              <w:rPr>
                <w:rFonts w:hint="eastAsia"/>
                <w:bCs/>
                <w:color w:val="auto"/>
                <w:szCs w:val="21"/>
                <w:lang w:val="en-US" w:eastAsia="zh-CN"/>
              </w:rPr>
              <w:t>事故废水截留、收集、转输、暂存示意图</w:t>
            </w:r>
            <w:r>
              <w:rPr>
                <w:rFonts w:hint="default" w:ascii="Times New Roman" w:hAnsi="Times New Roman" w:eastAsia="宋体" w:cs="Times New Roman"/>
                <w:color w:val="auto"/>
                <w:lang w:val="en-US" w:eastAsia="zh-CN"/>
              </w:rPr>
              <w:t>见下图。</w:t>
            </w:r>
          </w:p>
          <w:p>
            <w:pPr>
              <w:keepNext w:val="0"/>
              <w:keepLines w:val="0"/>
              <w:pageBreakBefore w:val="0"/>
              <w:widowControl w:val="0"/>
              <w:kinsoku/>
              <w:wordWrap/>
              <w:overflowPunct/>
              <w:topLinePunct w:val="0"/>
              <w:autoSpaceDE/>
              <w:autoSpaceDN/>
              <w:bidi w:val="0"/>
              <w:adjustRightInd w:val="0"/>
              <w:snapToGrid w:val="0"/>
              <w:spacing w:line="500" w:lineRule="exact"/>
              <w:ind w:firstLine="0" w:firstLineChars="0"/>
              <w:jc w:val="center"/>
              <w:textAlignment w:val="auto"/>
              <w:rPr>
                <w:rFonts w:hint="default"/>
                <w:b/>
                <w:bCs/>
                <w:color w:val="auto"/>
                <w:szCs w:val="21"/>
                <w:lang w:val="en-US" w:eastAsia="zh-CN"/>
              </w:rPr>
            </w:pPr>
            <w:r>
              <w:rPr>
                <w:b/>
                <w:bCs/>
                <w:color w:val="auto"/>
              </w:rPr>
              <w:drawing>
                <wp:anchor distT="0" distB="0" distL="114300" distR="114300" simplePos="0" relativeHeight="251667456" behindDoc="0" locked="0" layoutInCell="1" allowOverlap="1">
                  <wp:simplePos x="0" y="0"/>
                  <wp:positionH relativeFrom="column">
                    <wp:posOffset>754380</wp:posOffset>
                  </wp:positionH>
                  <wp:positionV relativeFrom="paragraph">
                    <wp:posOffset>-814070</wp:posOffset>
                  </wp:positionV>
                  <wp:extent cx="3218815" cy="2499995"/>
                  <wp:effectExtent l="0" t="0" r="635" b="14605"/>
                  <wp:wrapTopAndBottom/>
                  <wp:docPr id="10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
                          <pic:cNvPicPr>
                            <a:picLocks noChangeAspect="1"/>
                          </pic:cNvPicPr>
                        </pic:nvPicPr>
                        <pic:blipFill>
                          <a:blip r:embed="rId22"/>
                          <a:stretch>
                            <a:fillRect/>
                          </a:stretch>
                        </pic:blipFill>
                        <pic:spPr>
                          <a:xfrm>
                            <a:off x="0" y="0"/>
                            <a:ext cx="3218815" cy="2499995"/>
                          </a:xfrm>
                          <a:prstGeom prst="rect">
                            <a:avLst/>
                          </a:prstGeom>
                          <a:noFill/>
                          <a:ln>
                            <a:noFill/>
                          </a:ln>
                        </pic:spPr>
                      </pic:pic>
                    </a:graphicData>
                  </a:graphic>
                </wp:anchor>
              </w:drawing>
            </w:r>
            <w:r>
              <w:rPr>
                <w:rFonts w:hint="eastAsia"/>
                <w:b/>
                <w:bCs/>
                <w:color w:val="auto"/>
                <w:szCs w:val="21"/>
                <w:lang w:val="en-US" w:eastAsia="zh-CN"/>
              </w:rPr>
              <w:t>图4-2 事故废水截留、收集、转输、暂存示意图</w:t>
            </w:r>
          </w:p>
          <w:p>
            <w:pPr>
              <w:adjustRightInd w:val="0"/>
              <w:snapToGrid w:val="0"/>
              <w:spacing w:line="500" w:lineRule="exact"/>
              <w:ind w:firstLine="420" w:firstLineChars="200"/>
              <w:rPr>
                <w:rFonts w:hint="eastAsia"/>
                <w:bCs/>
                <w:color w:val="auto"/>
                <w:szCs w:val="21"/>
              </w:rPr>
            </w:pPr>
            <w:r>
              <w:rPr>
                <w:rFonts w:hint="eastAsia"/>
                <w:bCs/>
                <w:color w:val="auto"/>
                <w:szCs w:val="21"/>
                <w:lang w:val="en-US" w:eastAsia="zh-CN"/>
              </w:rPr>
              <w:t>8</w:t>
            </w:r>
            <w:r>
              <w:rPr>
                <w:rFonts w:hint="eastAsia"/>
                <w:bCs/>
                <w:color w:val="auto"/>
                <w:szCs w:val="21"/>
              </w:rPr>
              <w:t>）事故应急监测计划</w:t>
            </w:r>
          </w:p>
          <w:p>
            <w:pPr>
              <w:adjustRightInd w:val="0"/>
              <w:snapToGrid w:val="0"/>
              <w:spacing w:line="500" w:lineRule="exact"/>
              <w:ind w:firstLine="420" w:firstLineChars="200"/>
              <w:rPr>
                <w:rFonts w:hint="eastAsia"/>
                <w:bCs/>
                <w:color w:val="auto"/>
                <w:szCs w:val="21"/>
              </w:rPr>
            </w:pPr>
            <w:r>
              <w:rPr>
                <w:rFonts w:hint="eastAsia"/>
                <w:bCs/>
                <w:color w:val="auto"/>
                <w:szCs w:val="21"/>
              </w:rPr>
              <w:t>为及时有效</w:t>
            </w:r>
            <w:r>
              <w:rPr>
                <w:rFonts w:hint="eastAsia"/>
                <w:bCs/>
                <w:color w:val="auto"/>
                <w:szCs w:val="21"/>
                <w:lang w:eastAsia="zh-CN"/>
              </w:rPr>
              <w:t>地</w:t>
            </w:r>
            <w:r>
              <w:rPr>
                <w:rFonts w:hint="eastAsia"/>
                <w:bCs/>
                <w:color w:val="auto"/>
                <w:szCs w:val="21"/>
              </w:rPr>
              <w:t>了解企业事故对外界的影响，便于指挥和调度，发生较大污染事故时，可委托第三方监测机构进行环境监测，具体监测方法和事故类型如下：</w:t>
            </w:r>
          </w:p>
          <w:p>
            <w:pPr>
              <w:autoSpaceDE w:val="0"/>
              <w:autoSpaceDN w:val="0"/>
              <w:adjustRightInd w:val="0"/>
              <w:spacing w:line="500" w:lineRule="exact"/>
              <w:jc w:val="center"/>
              <w:rPr>
                <w:rFonts w:hint="eastAsia"/>
                <w:b/>
                <w:bCs/>
                <w:color w:val="auto"/>
                <w:szCs w:val="21"/>
              </w:rPr>
            </w:pPr>
            <w:r>
              <w:rPr>
                <w:b/>
                <w:bCs/>
                <w:color w:val="auto"/>
                <w:szCs w:val="21"/>
              </w:rPr>
              <w:t>表</w:t>
            </w:r>
            <w:r>
              <w:rPr>
                <w:rFonts w:hint="eastAsia"/>
                <w:b/>
                <w:bCs/>
                <w:color w:val="auto"/>
                <w:szCs w:val="21"/>
              </w:rPr>
              <w:t>4-</w:t>
            </w:r>
            <w:r>
              <w:rPr>
                <w:rFonts w:hint="eastAsia"/>
                <w:b/>
                <w:bCs/>
                <w:color w:val="auto"/>
                <w:szCs w:val="21"/>
                <w:lang w:val="en-US" w:eastAsia="zh-CN"/>
              </w:rPr>
              <w:t>28</w:t>
            </w:r>
            <w:r>
              <w:rPr>
                <w:rFonts w:hint="eastAsia"/>
                <w:b/>
                <w:bCs/>
                <w:color w:val="auto"/>
                <w:szCs w:val="21"/>
                <w:lang w:eastAsia="zh-CN"/>
              </w:rPr>
              <w:t xml:space="preserve">  </w:t>
            </w:r>
            <w:r>
              <w:rPr>
                <w:rFonts w:hint="eastAsia"/>
                <w:b/>
                <w:bCs/>
                <w:color w:val="auto"/>
                <w:szCs w:val="21"/>
                <w:lang w:val="en-US" w:eastAsia="zh-CN"/>
              </w:rPr>
              <w:t>废水</w:t>
            </w:r>
            <w:r>
              <w:rPr>
                <w:rFonts w:hint="eastAsia"/>
                <w:b/>
                <w:bCs/>
                <w:color w:val="auto"/>
                <w:szCs w:val="21"/>
              </w:rPr>
              <w:t>事故应急监测计划</w:t>
            </w:r>
          </w:p>
          <w:tbl>
            <w:tblPr>
              <w:tblStyle w:val="21"/>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514"/>
              <w:gridCol w:w="50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670" w:type="pct"/>
                  <w:noWrap w:val="0"/>
                  <w:vAlign w:val="center"/>
                </w:tcPr>
                <w:p>
                  <w:pPr>
                    <w:jc w:val="center"/>
                    <w:rPr>
                      <w:b/>
                      <w:bCs/>
                      <w:color w:val="auto"/>
                      <w:sz w:val="18"/>
                      <w:szCs w:val="18"/>
                    </w:rPr>
                  </w:pPr>
                  <w:r>
                    <w:rPr>
                      <w:b/>
                      <w:bCs/>
                      <w:color w:val="auto"/>
                      <w:sz w:val="18"/>
                      <w:szCs w:val="18"/>
                    </w:rPr>
                    <w:t>监测点位</w:t>
                  </w:r>
                </w:p>
              </w:tc>
              <w:tc>
                <w:tcPr>
                  <w:tcW w:w="3329" w:type="pct"/>
                  <w:noWrap w:val="0"/>
                  <w:vAlign w:val="center"/>
                </w:tcPr>
                <w:p>
                  <w:pPr>
                    <w:jc w:val="center"/>
                    <w:rPr>
                      <w:b/>
                      <w:bCs/>
                      <w:color w:val="auto"/>
                      <w:sz w:val="18"/>
                      <w:szCs w:val="18"/>
                    </w:rPr>
                  </w:pPr>
                  <w:r>
                    <w:rPr>
                      <w:rFonts w:hint="eastAsia"/>
                      <w:b/>
                      <w:bCs/>
                      <w:color w:val="auto"/>
                      <w:sz w:val="18"/>
                      <w:szCs w:val="18"/>
                      <w:lang w:val="en-US" w:eastAsia="zh-CN"/>
                    </w:rPr>
                    <w:t>监测指标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670" w:type="pct"/>
                  <w:noWrap w:val="0"/>
                  <w:vAlign w:val="center"/>
                </w:tcPr>
                <w:p>
                  <w:pPr>
                    <w:jc w:val="center"/>
                    <w:rPr>
                      <w:rFonts w:hint="default" w:eastAsia="宋体"/>
                      <w:color w:val="auto"/>
                      <w:sz w:val="18"/>
                      <w:szCs w:val="18"/>
                      <w:lang w:val="en-US" w:eastAsia="zh-CN"/>
                    </w:rPr>
                  </w:pPr>
                  <w:r>
                    <w:rPr>
                      <w:color w:val="auto"/>
                      <w:sz w:val="18"/>
                      <w:szCs w:val="18"/>
                    </w:rPr>
                    <w:t>废水排口</w:t>
                  </w:r>
                </w:p>
              </w:tc>
              <w:tc>
                <w:tcPr>
                  <w:tcW w:w="3329" w:type="pct"/>
                  <w:noWrap w:val="0"/>
                  <w:vAlign w:val="center"/>
                </w:tcPr>
                <w:p>
                  <w:pPr>
                    <w:jc w:val="center"/>
                    <w:rPr>
                      <w:rFonts w:hint="default" w:eastAsia="宋体"/>
                      <w:color w:val="auto"/>
                      <w:sz w:val="18"/>
                      <w:szCs w:val="18"/>
                      <w:lang w:val="en-US" w:eastAsia="zh-CN"/>
                    </w:rPr>
                  </w:pPr>
                  <w:r>
                    <w:rPr>
                      <w:rFonts w:hint="eastAsia" w:ascii="Times New Roman" w:hAnsi="Times New Roman"/>
                      <w:color w:val="auto"/>
                      <w:sz w:val="18"/>
                      <w:szCs w:val="18"/>
                      <w:lang w:val="en-US" w:eastAsia="zh-CN"/>
                    </w:rPr>
                    <w:t>pH值、</w:t>
                  </w:r>
                  <w:r>
                    <w:rPr>
                      <w:rFonts w:hint="eastAsia"/>
                      <w:color w:val="auto"/>
                      <w:sz w:val="18"/>
                      <w:szCs w:val="18"/>
                      <w:lang w:val="en-US" w:eastAsia="zh-CN"/>
                    </w:rPr>
                    <w:t>COD、SS、NH</w:t>
                  </w:r>
                  <w:r>
                    <w:rPr>
                      <w:rFonts w:hint="eastAsia"/>
                      <w:color w:val="auto"/>
                      <w:sz w:val="18"/>
                      <w:szCs w:val="18"/>
                      <w:vertAlign w:val="subscript"/>
                      <w:lang w:val="en-US" w:eastAsia="zh-CN"/>
                    </w:rPr>
                    <w:t>3</w:t>
                  </w:r>
                  <w:r>
                    <w:rPr>
                      <w:rFonts w:hint="eastAsia"/>
                      <w:color w:val="auto"/>
                      <w:sz w:val="18"/>
                      <w:szCs w:val="18"/>
                      <w:lang w:val="en-US" w:eastAsia="zh-CN"/>
                    </w:rPr>
                    <w:t>-N、TP、TN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670" w:type="pct"/>
                  <w:noWrap w:val="0"/>
                  <w:vAlign w:val="center"/>
                </w:tcPr>
                <w:p>
                  <w:pPr>
                    <w:jc w:val="center"/>
                    <w:rPr>
                      <w:color w:val="auto"/>
                      <w:sz w:val="18"/>
                      <w:szCs w:val="18"/>
                    </w:rPr>
                  </w:pPr>
                  <w:r>
                    <w:rPr>
                      <w:rFonts w:hint="eastAsia"/>
                      <w:color w:val="auto"/>
                      <w:sz w:val="18"/>
                      <w:szCs w:val="18"/>
                      <w:lang w:val="en-US" w:eastAsia="zh-CN"/>
                    </w:rPr>
                    <w:t>雨水排口</w:t>
                  </w:r>
                </w:p>
              </w:tc>
              <w:tc>
                <w:tcPr>
                  <w:tcW w:w="3329" w:type="pct"/>
                  <w:noWrap w:val="0"/>
                  <w:vAlign w:val="center"/>
                </w:tcPr>
                <w:p>
                  <w:pPr>
                    <w:jc w:val="center"/>
                    <w:rPr>
                      <w:rFonts w:hint="default"/>
                      <w:color w:val="auto"/>
                      <w:sz w:val="18"/>
                      <w:szCs w:val="18"/>
                      <w:lang w:val="en-US" w:eastAsia="zh-CN"/>
                    </w:rPr>
                  </w:pPr>
                  <w:r>
                    <w:rPr>
                      <w:rFonts w:hint="eastAsia" w:ascii="Times New Roman" w:hAnsi="Times New Roman"/>
                      <w:color w:val="auto"/>
                      <w:sz w:val="18"/>
                      <w:szCs w:val="18"/>
                      <w:lang w:val="en-US" w:eastAsia="zh-CN"/>
                    </w:rPr>
                    <w:t>pH值、</w:t>
                  </w:r>
                  <w:r>
                    <w:rPr>
                      <w:rFonts w:hint="eastAsia"/>
                      <w:color w:val="auto"/>
                      <w:sz w:val="18"/>
                      <w:szCs w:val="18"/>
                      <w:lang w:val="en-US" w:eastAsia="zh-CN"/>
                    </w:rPr>
                    <w:t>COD、SS、NH</w:t>
                  </w:r>
                  <w:r>
                    <w:rPr>
                      <w:rFonts w:hint="eastAsia"/>
                      <w:color w:val="auto"/>
                      <w:sz w:val="18"/>
                      <w:szCs w:val="18"/>
                      <w:vertAlign w:val="subscript"/>
                      <w:lang w:val="en-US" w:eastAsia="zh-CN"/>
                    </w:rPr>
                    <w:t>3</w:t>
                  </w:r>
                  <w:r>
                    <w:rPr>
                      <w:rFonts w:hint="eastAsia"/>
                      <w:color w:val="auto"/>
                      <w:sz w:val="18"/>
                      <w:szCs w:val="18"/>
                      <w:lang w:val="en-US" w:eastAsia="zh-CN"/>
                    </w:rPr>
                    <w:t>-N、TP、TN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670" w:type="pct"/>
                  <w:noWrap w:val="0"/>
                  <w:vAlign w:val="center"/>
                </w:tcPr>
                <w:p>
                  <w:pPr>
                    <w:jc w:val="center"/>
                    <w:rPr>
                      <w:rFonts w:hint="default"/>
                      <w:color w:val="auto"/>
                      <w:sz w:val="18"/>
                      <w:szCs w:val="18"/>
                      <w:lang w:val="en-US" w:eastAsia="zh-CN"/>
                    </w:rPr>
                  </w:pPr>
                  <w:r>
                    <w:rPr>
                      <w:rFonts w:hint="eastAsia"/>
                      <w:color w:val="auto"/>
                      <w:sz w:val="18"/>
                      <w:szCs w:val="18"/>
                      <w:lang w:val="en-US" w:eastAsia="zh-CN"/>
                    </w:rPr>
                    <w:t>雨水排口上游500米</w:t>
                  </w:r>
                </w:p>
              </w:tc>
              <w:tc>
                <w:tcPr>
                  <w:tcW w:w="3329" w:type="pct"/>
                  <w:noWrap w:val="0"/>
                  <w:vAlign w:val="center"/>
                </w:tcPr>
                <w:p>
                  <w:pPr>
                    <w:jc w:val="center"/>
                    <w:rPr>
                      <w:rFonts w:hint="eastAsia"/>
                      <w:color w:val="auto"/>
                      <w:sz w:val="18"/>
                      <w:szCs w:val="18"/>
                      <w:lang w:val="en-US" w:eastAsia="zh-CN"/>
                    </w:rPr>
                  </w:pPr>
                  <w:r>
                    <w:rPr>
                      <w:rFonts w:hint="eastAsia" w:ascii="Times New Roman" w:hAnsi="Times New Roman"/>
                      <w:color w:val="auto"/>
                      <w:sz w:val="18"/>
                      <w:szCs w:val="18"/>
                      <w:lang w:val="en-US" w:eastAsia="zh-CN"/>
                    </w:rPr>
                    <w:t>pH值、</w:t>
                  </w:r>
                  <w:r>
                    <w:rPr>
                      <w:rFonts w:hint="eastAsia"/>
                      <w:color w:val="auto"/>
                      <w:sz w:val="18"/>
                      <w:szCs w:val="18"/>
                      <w:lang w:val="en-US" w:eastAsia="zh-CN"/>
                    </w:rPr>
                    <w:t>COD、SS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670" w:type="pct"/>
                  <w:noWrap w:val="0"/>
                  <w:vAlign w:val="center"/>
                </w:tcPr>
                <w:p>
                  <w:pPr>
                    <w:jc w:val="center"/>
                    <w:rPr>
                      <w:rFonts w:hint="eastAsia"/>
                      <w:color w:val="auto"/>
                      <w:sz w:val="18"/>
                      <w:szCs w:val="18"/>
                      <w:lang w:val="en-US" w:eastAsia="zh-CN"/>
                    </w:rPr>
                  </w:pPr>
                  <w:r>
                    <w:rPr>
                      <w:rFonts w:hint="eastAsia"/>
                      <w:color w:val="auto"/>
                      <w:sz w:val="18"/>
                      <w:szCs w:val="18"/>
                      <w:lang w:val="en-US" w:eastAsia="zh-CN"/>
                    </w:rPr>
                    <w:t>雨水排口下游500米</w:t>
                  </w:r>
                </w:p>
              </w:tc>
              <w:tc>
                <w:tcPr>
                  <w:tcW w:w="3329" w:type="pct"/>
                  <w:noWrap w:val="0"/>
                  <w:vAlign w:val="center"/>
                </w:tcPr>
                <w:p>
                  <w:pPr>
                    <w:jc w:val="center"/>
                    <w:rPr>
                      <w:rFonts w:hint="eastAsia"/>
                      <w:color w:val="auto"/>
                      <w:sz w:val="18"/>
                      <w:szCs w:val="18"/>
                      <w:lang w:val="en-US" w:eastAsia="zh-CN"/>
                    </w:rPr>
                  </w:pPr>
                  <w:r>
                    <w:rPr>
                      <w:rFonts w:hint="eastAsia" w:ascii="Times New Roman" w:hAnsi="Times New Roman"/>
                      <w:color w:val="auto"/>
                      <w:sz w:val="18"/>
                      <w:szCs w:val="18"/>
                      <w:lang w:val="en-US" w:eastAsia="zh-CN"/>
                    </w:rPr>
                    <w:t>pH值、</w:t>
                  </w:r>
                  <w:r>
                    <w:rPr>
                      <w:rFonts w:hint="eastAsia"/>
                      <w:color w:val="auto"/>
                      <w:sz w:val="18"/>
                      <w:szCs w:val="18"/>
                      <w:lang w:val="en-US" w:eastAsia="zh-CN"/>
                    </w:rPr>
                    <w:t>COD、SS</w:t>
                  </w:r>
                </w:p>
              </w:tc>
            </w:tr>
          </w:tbl>
          <w:p>
            <w:pPr>
              <w:autoSpaceDE w:val="0"/>
              <w:autoSpaceDN w:val="0"/>
              <w:adjustRightInd w:val="0"/>
              <w:spacing w:line="500" w:lineRule="exact"/>
              <w:jc w:val="center"/>
              <w:rPr>
                <w:rFonts w:hint="eastAsia"/>
                <w:b/>
                <w:bCs/>
                <w:color w:val="auto"/>
                <w:szCs w:val="21"/>
              </w:rPr>
            </w:pPr>
            <w:r>
              <w:rPr>
                <w:b/>
                <w:bCs/>
                <w:color w:val="auto"/>
                <w:szCs w:val="21"/>
              </w:rPr>
              <w:t>表</w:t>
            </w:r>
            <w:r>
              <w:rPr>
                <w:rFonts w:hint="eastAsia"/>
                <w:b/>
                <w:bCs/>
                <w:color w:val="auto"/>
                <w:szCs w:val="21"/>
              </w:rPr>
              <w:t>4-</w:t>
            </w:r>
            <w:r>
              <w:rPr>
                <w:rFonts w:hint="eastAsia"/>
                <w:b/>
                <w:bCs/>
                <w:color w:val="auto"/>
                <w:szCs w:val="21"/>
                <w:lang w:val="en-US" w:eastAsia="zh-CN"/>
              </w:rPr>
              <w:t>29</w:t>
            </w:r>
            <w:r>
              <w:rPr>
                <w:rFonts w:hint="eastAsia"/>
                <w:b/>
                <w:bCs/>
                <w:color w:val="auto"/>
                <w:szCs w:val="21"/>
                <w:lang w:eastAsia="zh-CN"/>
              </w:rPr>
              <w:t xml:space="preserve">  </w:t>
            </w:r>
            <w:r>
              <w:rPr>
                <w:rFonts w:hint="eastAsia"/>
                <w:b/>
                <w:bCs/>
                <w:color w:val="auto"/>
                <w:szCs w:val="21"/>
                <w:lang w:val="en-US" w:eastAsia="zh-CN"/>
              </w:rPr>
              <w:t>废气</w:t>
            </w:r>
            <w:r>
              <w:rPr>
                <w:rFonts w:hint="eastAsia"/>
                <w:b/>
                <w:bCs/>
                <w:color w:val="auto"/>
                <w:szCs w:val="21"/>
              </w:rPr>
              <w:t>事故应急监测计划</w:t>
            </w:r>
          </w:p>
          <w:tbl>
            <w:tblPr>
              <w:tblStyle w:val="2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37"/>
              <w:gridCol w:w="57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154" w:type="pct"/>
                  <w:noWrap w:val="0"/>
                  <w:vAlign w:val="center"/>
                </w:tcPr>
                <w:p>
                  <w:pPr>
                    <w:jc w:val="center"/>
                    <w:rPr>
                      <w:b/>
                      <w:bCs/>
                      <w:color w:val="auto"/>
                      <w:sz w:val="18"/>
                      <w:szCs w:val="18"/>
                    </w:rPr>
                  </w:pPr>
                  <w:r>
                    <w:rPr>
                      <w:b/>
                      <w:bCs/>
                      <w:color w:val="auto"/>
                      <w:sz w:val="18"/>
                      <w:szCs w:val="18"/>
                    </w:rPr>
                    <w:t>监测点位</w:t>
                  </w:r>
                </w:p>
              </w:tc>
              <w:tc>
                <w:tcPr>
                  <w:tcW w:w="3845" w:type="pct"/>
                  <w:noWrap w:val="0"/>
                  <w:vAlign w:val="center"/>
                </w:tcPr>
                <w:p>
                  <w:pPr>
                    <w:jc w:val="center"/>
                    <w:rPr>
                      <w:b/>
                      <w:bCs/>
                      <w:color w:val="auto"/>
                      <w:sz w:val="18"/>
                      <w:szCs w:val="18"/>
                    </w:rPr>
                  </w:pPr>
                  <w:r>
                    <w:rPr>
                      <w:rFonts w:hint="eastAsia"/>
                      <w:b/>
                      <w:bCs/>
                      <w:color w:val="auto"/>
                      <w:sz w:val="18"/>
                      <w:szCs w:val="18"/>
                      <w:lang w:val="en-US" w:eastAsia="zh-CN"/>
                    </w:rPr>
                    <w:t>监测指标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154" w:type="pct"/>
                  <w:noWrap w:val="0"/>
                  <w:vAlign w:val="center"/>
                </w:tcPr>
                <w:p>
                  <w:pPr>
                    <w:jc w:val="center"/>
                    <w:rPr>
                      <w:rFonts w:hint="default" w:eastAsia="宋体"/>
                      <w:color w:val="auto"/>
                      <w:sz w:val="18"/>
                      <w:szCs w:val="18"/>
                      <w:lang w:val="en-US" w:eastAsia="zh-CN"/>
                    </w:rPr>
                  </w:pPr>
                  <w:r>
                    <w:rPr>
                      <w:rFonts w:hint="eastAsia" w:eastAsia="宋体"/>
                      <w:color w:val="auto"/>
                      <w:sz w:val="18"/>
                      <w:szCs w:val="18"/>
                      <w:lang w:val="en-US" w:eastAsia="zh-CN"/>
                    </w:rPr>
                    <w:t>项目所在地</w:t>
                  </w:r>
                </w:p>
              </w:tc>
              <w:tc>
                <w:tcPr>
                  <w:tcW w:w="3845" w:type="pct"/>
                  <w:noWrap w:val="0"/>
                  <w:vAlign w:val="center"/>
                </w:tcPr>
                <w:p>
                  <w:pPr>
                    <w:jc w:val="center"/>
                    <w:rPr>
                      <w:rFonts w:hint="eastAsia" w:eastAsia="宋体"/>
                      <w:color w:val="auto"/>
                      <w:sz w:val="18"/>
                      <w:szCs w:val="18"/>
                      <w:lang w:val="en-US" w:eastAsia="zh-CN"/>
                    </w:rPr>
                  </w:pPr>
                  <w:r>
                    <w:rPr>
                      <w:rFonts w:hint="eastAsia" w:eastAsia="宋体"/>
                      <w:color w:val="auto"/>
                      <w:sz w:val="18"/>
                      <w:szCs w:val="18"/>
                      <w:lang w:val="en-US" w:eastAsia="zh-CN"/>
                    </w:rPr>
                    <w:t>SO</w:t>
                  </w:r>
                  <w:r>
                    <w:rPr>
                      <w:rFonts w:hint="eastAsia" w:eastAsia="宋体"/>
                      <w:color w:val="auto"/>
                      <w:sz w:val="18"/>
                      <w:szCs w:val="18"/>
                      <w:vertAlign w:val="subscript"/>
                      <w:lang w:val="en-US" w:eastAsia="zh-CN"/>
                    </w:rPr>
                    <w:t>2</w:t>
                  </w:r>
                  <w:r>
                    <w:rPr>
                      <w:rFonts w:hint="eastAsia" w:eastAsia="宋体"/>
                      <w:color w:val="auto"/>
                      <w:sz w:val="18"/>
                      <w:szCs w:val="18"/>
                      <w:lang w:val="en-US" w:eastAsia="zh-CN"/>
                    </w:rPr>
                    <w:t>、NOx、TSP、CO</w:t>
                  </w:r>
                  <w:r>
                    <w:rPr>
                      <w:rFonts w:hint="eastAsia"/>
                      <w:color w:val="auto"/>
                      <w:sz w:val="18"/>
                      <w:szCs w:val="18"/>
                      <w:lang w:val="en-US" w:eastAsia="zh-CN"/>
                    </w:rPr>
                    <w:t>、非甲烷总烃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154" w:type="pct"/>
                  <w:noWrap w:val="0"/>
                  <w:vAlign w:val="center"/>
                </w:tcPr>
                <w:p>
                  <w:pPr>
                    <w:jc w:val="center"/>
                    <w:rPr>
                      <w:rFonts w:hint="default" w:eastAsia="宋体"/>
                      <w:color w:val="auto"/>
                      <w:sz w:val="18"/>
                      <w:szCs w:val="18"/>
                      <w:lang w:val="en-US" w:eastAsia="zh-CN"/>
                    </w:rPr>
                  </w:pPr>
                  <w:r>
                    <w:rPr>
                      <w:rFonts w:hint="eastAsia"/>
                      <w:color w:val="auto"/>
                      <w:sz w:val="18"/>
                      <w:szCs w:val="18"/>
                      <w:lang w:val="en-US" w:eastAsia="zh-CN"/>
                    </w:rPr>
                    <w:t>永丰</w:t>
                  </w:r>
                  <w:r>
                    <w:rPr>
                      <w:rFonts w:hint="eastAsia"/>
                      <w:color w:val="auto"/>
                      <w:sz w:val="18"/>
                      <w:szCs w:val="18"/>
                      <w:highlight w:val="none"/>
                      <w:lang w:val="en-US" w:eastAsia="zh-CN"/>
                    </w:rPr>
                    <w:t>居委</w:t>
                  </w:r>
                  <w:r>
                    <w:rPr>
                      <w:rFonts w:hint="eastAsia"/>
                      <w:color w:val="auto"/>
                      <w:sz w:val="18"/>
                      <w:szCs w:val="18"/>
                      <w:lang w:val="en-US" w:eastAsia="zh-CN"/>
                    </w:rPr>
                    <w:t>居民</w:t>
                  </w:r>
                </w:p>
              </w:tc>
              <w:tc>
                <w:tcPr>
                  <w:tcW w:w="3845" w:type="pct"/>
                  <w:noWrap w:val="0"/>
                  <w:vAlign w:val="center"/>
                </w:tcPr>
                <w:p>
                  <w:pPr>
                    <w:jc w:val="center"/>
                    <w:rPr>
                      <w:rFonts w:hint="eastAsia"/>
                      <w:color w:val="auto"/>
                      <w:sz w:val="18"/>
                      <w:szCs w:val="18"/>
                      <w:lang w:val="en-US" w:eastAsia="zh-CN"/>
                    </w:rPr>
                  </w:pPr>
                  <w:r>
                    <w:rPr>
                      <w:rFonts w:hint="eastAsia" w:eastAsia="宋体"/>
                      <w:color w:val="auto"/>
                      <w:sz w:val="18"/>
                      <w:szCs w:val="18"/>
                      <w:lang w:val="en-US" w:eastAsia="zh-CN"/>
                    </w:rPr>
                    <w:t>SO</w:t>
                  </w:r>
                  <w:r>
                    <w:rPr>
                      <w:rFonts w:hint="eastAsia" w:eastAsia="宋体"/>
                      <w:color w:val="auto"/>
                      <w:sz w:val="18"/>
                      <w:szCs w:val="18"/>
                      <w:vertAlign w:val="subscript"/>
                      <w:lang w:val="en-US" w:eastAsia="zh-CN"/>
                    </w:rPr>
                    <w:t>2</w:t>
                  </w:r>
                  <w:r>
                    <w:rPr>
                      <w:rFonts w:hint="eastAsia" w:eastAsia="宋体"/>
                      <w:color w:val="auto"/>
                      <w:sz w:val="18"/>
                      <w:szCs w:val="18"/>
                      <w:lang w:val="en-US" w:eastAsia="zh-CN"/>
                    </w:rPr>
                    <w:t>、NOx、TSP、CO</w:t>
                  </w:r>
                  <w:r>
                    <w:rPr>
                      <w:rFonts w:hint="eastAsia"/>
                      <w:color w:val="auto"/>
                      <w:sz w:val="18"/>
                      <w:szCs w:val="18"/>
                      <w:lang w:val="en-US" w:eastAsia="zh-CN"/>
                    </w:rPr>
                    <w:t>、非甲烷总烃</w:t>
                  </w:r>
                </w:p>
              </w:tc>
            </w:tr>
          </w:tbl>
          <w:p>
            <w:pPr>
              <w:adjustRightInd w:val="0"/>
              <w:snapToGrid w:val="0"/>
              <w:spacing w:line="500" w:lineRule="exact"/>
              <w:ind w:firstLine="422" w:firstLineChars="200"/>
              <w:rPr>
                <w:rFonts w:hint="eastAsia"/>
                <w:b/>
                <w:color w:val="auto"/>
                <w:szCs w:val="21"/>
              </w:rPr>
            </w:pPr>
            <w:r>
              <w:rPr>
                <w:rFonts w:hint="eastAsia"/>
                <w:b/>
                <w:color w:val="auto"/>
                <w:szCs w:val="21"/>
              </w:rPr>
              <w:t>八、电磁辐射</w:t>
            </w:r>
          </w:p>
          <w:p>
            <w:pPr>
              <w:adjustRightInd w:val="0"/>
              <w:snapToGrid w:val="0"/>
              <w:spacing w:line="500" w:lineRule="exact"/>
              <w:ind w:firstLine="420" w:firstLineChars="200"/>
              <w:rPr>
                <w:rFonts w:hint="eastAsia"/>
                <w:bCs/>
                <w:color w:val="auto"/>
                <w:szCs w:val="21"/>
              </w:rPr>
            </w:pPr>
            <w:r>
              <w:rPr>
                <w:rFonts w:hint="eastAsia"/>
                <w:bCs/>
                <w:color w:val="auto"/>
                <w:szCs w:val="21"/>
              </w:rPr>
              <w:t>项目不涉及电磁辐射设施的使用</w:t>
            </w:r>
            <w:r>
              <w:rPr>
                <w:rFonts w:hint="eastAsia"/>
                <w:bCs/>
                <w:color w:val="auto"/>
                <w:szCs w:val="21"/>
                <w:lang w:eastAsia="zh-CN"/>
              </w:rPr>
              <w:t>，不作</w:t>
            </w:r>
            <w:r>
              <w:rPr>
                <w:rFonts w:hint="eastAsia"/>
                <w:bCs/>
                <w:color w:val="auto"/>
                <w:szCs w:val="21"/>
                <w:lang w:val="en-US" w:eastAsia="zh-CN"/>
              </w:rPr>
              <w:t>评价分析</w:t>
            </w:r>
            <w:r>
              <w:rPr>
                <w:rFonts w:hint="eastAsia"/>
                <w:bCs/>
                <w:color w:val="auto"/>
                <w:szCs w:val="21"/>
              </w:rPr>
              <w:t>。</w:t>
            </w:r>
          </w:p>
          <w:p>
            <w:pPr>
              <w:adjustRightInd w:val="0"/>
              <w:snapToGrid w:val="0"/>
              <w:spacing w:line="500" w:lineRule="exact"/>
              <w:ind w:firstLine="422" w:firstLineChars="200"/>
              <w:rPr>
                <w:rFonts w:hint="default" w:ascii="Times New Roman" w:hAnsi="Times New Roman" w:eastAsia="宋体" w:cs="Times New Roman"/>
                <w:b/>
                <w:color w:val="auto"/>
                <w:szCs w:val="21"/>
                <w:lang w:val="en-US" w:eastAsia="zh-CN"/>
              </w:rPr>
            </w:pPr>
            <w:r>
              <w:rPr>
                <w:rFonts w:hint="eastAsia" w:ascii="Times New Roman" w:hAnsi="Times New Roman" w:eastAsia="宋体" w:cs="Times New Roman"/>
                <w:b/>
                <w:color w:val="auto"/>
                <w:szCs w:val="21"/>
                <w:lang w:val="en-US" w:eastAsia="zh-CN"/>
              </w:rPr>
              <w:t>九、环境管理制度</w:t>
            </w:r>
          </w:p>
          <w:p>
            <w:pPr>
              <w:adjustRightInd w:val="0"/>
              <w:snapToGrid w:val="0"/>
              <w:spacing w:line="500" w:lineRule="exact"/>
              <w:ind w:firstLine="420" w:firstLineChars="200"/>
              <w:rPr>
                <w:rFonts w:hint="eastAsia"/>
                <w:bCs/>
                <w:color w:val="auto"/>
                <w:szCs w:val="21"/>
              </w:rPr>
            </w:pPr>
            <w:r>
              <w:rPr>
                <w:rFonts w:hint="eastAsia"/>
                <w:bCs/>
                <w:color w:val="auto"/>
                <w:szCs w:val="21"/>
              </w:rPr>
              <w:t>企业应建立健全环境管理制度体系，将环保工作纳入考核体系，确保在日常运行中将环保目标</w:t>
            </w:r>
            <w:r>
              <w:rPr>
                <w:rFonts w:hint="eastAsia"/>
                <w:bCs/>
                <w:color w:val="auto"/>
                <w:szCs w:val="21"/>
                <w:lang w:eastAsia="zh-CN"/>
              </w:rPr>
              <w:t>落到实处</w:t>
            </w:r>
            <w:r>
              <w:rPr>
                <w:rFonts w:hint="eastAsia"/>
                <w:bCs/>
                <w:color w:val="auto"/>
                <w:szCs w:val="21"/>
              </w:rPr>
              <w:t>。</w:t>
            </w:r>
          </w:p>
          <w:p>
            <w:pPr>
              <w:adjustRightInd w:val="0"/>
              <w:snapToGrid w:val="0"/>
              <w:spacing w:line="500" w:lineRule="exact"/>
              <w:ind w:firstLine="420" w:firstLineChars="200"/>
              <w:rPr>
                <w:rFonts w:hint="eastAsia"/>
                <w:bCs/>
                <w:color w:val="auto"/>
                <w:szCs w:val="21"/>
              </w:rPr>
            </w:pPr>
            <w:r>
              <w:rPr>
                <w:rFonts w:hint="eastAsia"/>
                <w:bCs/>
                <w:color w:val="auto"/>
                <w:szCs w:val="21"/>
                <w:lang w:val="en-US" w:eastAsia="zh-CN"/>
              </w:rPr>
              <w:t>1、</w:t>
            </w:r>
            <w:r>
              <w:rPr>
                <w:rFonts w:hint="eastAsia"/>
                <w:bCs/>
                <w:color w:val="auto"/>
                <w:szCs w:val="21"/>
              </w:rPr>
              <w:t>“三同时”制度</w:t>
            </w:r>
          </w:p>
          <w:p>
            <w:pPr>
              <w:adjustRightInd w:val="0"/>
              <w:snapToGrid w:val="0"/>
              <w:spacing w:line="500" w:lineRule="exact"/>
              <w:ind w:firstLine="420" w:firstLineChars="200"/>
              <w:rPr>
                <w:rFonts w:hint="eastAsia"/>
                <w:bCs/>
                <w:color w:val="auto"/>
                <w:szCs w:val="21"/>
              </w:rPr>
            </w:pPr>
            <w:r>
              <w:rPr>
                <w:rFonts w:hint="eastAsia"/>
                <w:bCs/>
                <w:color w:val="auto"/>
                <w:szCs w:val="21"/>
              </w:rPr>
              <w:t>根据《建设项目环境保护管理条例》，建设项目需要配套建设的环境保护设施，必须与主体工程同时设计、同时施工、同时投产使用。项目竣工后，建设单位应当按照国务院环境保护行政主管部门规定的标准和程序，对配套建设的环境保护设施进行验收，编制验收报告。建设单位在环境保护设施验收过程中，应当如实查验、监测、记载建设项目环境保护设施的建设和调试情况，不得弄虚作假，验收报告应依法向社会公开。本项目配套建设的环境保护设施经验收合格，方可投入生产</w:t>
            </w:r>
            <w:r>
              <w:rPr>
                <w:rFonts w:hint="eastAsia"/>
                <w:bCs/>
                <w:color w:val="auto"/>
                <w:szCs w:val="21"/>
                <w:lang w:eastAsia="zh-CN"/>
              </w:rPr>
              <w:t>或</w:t>
            </w:r>
            <w:r>
              <w:rPr>
                <w:rFonts w:hint="eastAsia"/>
                <w:bCs/>
                <w:color w:val="auto"/>
                <w:szCs w:val="21"/>
              </w:rPr>
              <w:t>使用。本项目的性质、规模、地点、生产工艺和环境保护措施等发生变动的，必须向环保部门报告，并履行相关手续，如发生重大变动并且可能导致环境影响显著变化（特别是不利环境影响加重）的，应当重新报批环评。</w:t>
            </w:r>
          </w:p>
          <w:p>
            <w:pPr>
              <w:adjustRightInd w:val="0"/>
              <w:snapToGrid w:val="0"/>
              <w:spacing w:line="500" w:lineRule="exact"/>
              <w:ind w:firstLine="420" w:firstLineChars="200"/>
              <w:rPr>
                <w:rFonts w:hint="eastAsia"/>
                <w:bCs/>
                <w:color w:val="auto"/>
                <w:szCs w:val="21"/>
              </w:rPr>
            </w:pPr>
            <w:r>
              <w:rPr>
                <w:rFonts w:hint="eastAsia"/>
                <w:bCs/>
                <w:color w:val="auto"/>
                <w:szCs w:val="21"/>
                <w:lang w:val="en-US" w:eastAsia="zh-CN"/>
              </w:rPr>
              <w:t>2、</w:t>
            </w:r>
            <w:r>
              <w:rPr>
                <w:rFonts w:hint="eastAsia"/>
                <w:bCs/>
                <w:color w:val="auto"/>
                <w:szCs w:val="21"/>
              </w:rPr>
              <w:t>排污许可证制度</w:t>
            </w:r>
          </w:p>
          <w:p>
            <w:pPr>
              <w:adjustRightInd w:val="0"/>
              <w:snapToGrid w:val="0"/>
              <w:spacing w:line="500" w:lineRule="exact"/>
              <w:ind w:firstLine="420" w:firstLineChars="200"/>
              <w:rPr>
                <w:rFonts w:hint="eastAsia"/>
                <w:bCs/>
                <w:color w:val="auto"/>
                <w:szCs w:val="21"/>
              </w:rPr>
            </w:pPr>
            <w:r>
              <w:rPr>
                <w:rFonts w:hint="eastAsia"/>
                <w:bCs/>
                <w:color w:val="auto"/>
                <w:szCs w:val="21"/>
              </w:rPr>
              <w:t>建设单位应当在项目投入生产或使用并产生实际排污行为之前申请变更排污许可证。依法按照排污许可证申请与核发技术规范提交排污许可申请，申报排放污染物种类、排放浓度等，测算并申报污染物排放量。建设单位应当严格执行排污许可证的规定，禁止无证排污或不按证排污。</w:t>
            </w:r>
          </w:p>
          <w:p>
            <w:pPr>
              <w:adjustRightInd w:val="0"/>
              <w:snapToGrid w:val="0"/>
              <w:spacing w:line="500" w:lineRule="exact"/>
              <w:ind w:firstLine="420" w:firstLineChars="200"/>
              <w:rPr>
                <w:rFonts w:hint="eastAsia"/>
                <w:bCs/>
                <w:color w:val="auto"/>
                <w:szCs w:val="21"/>
              </w:rPr>
            </w:pPr>
            <w:r>
              <w:rPr>
                <w:rFonts w:hint="eastAsia"/>
                <w:bCs/>
                <w:color w:val="auto"/>
                <w:szCs w:val="21"/>
                <w:lang w:val="en-US" w:eastAsia="zh-CN"/>
              </w:rPr>
              <w:t>3、</w:t>
            </w:r>
            <w:r>
              <w:rPr>
                <w:rFonts w:hint="eastAsia"/>
                <w:bCs/>
                <w:color w:val="auto"/>
                <w:szCs w:val="21"/>
              </w:rPr>
              <w:t>环保台账制度</w:t>
            </w:r>
          </w:p>
          <w:p>
            <w:pPr>
              <w:adjustRightInd w:val="0"/>
              <w:snapToGrid w:val="0"/>
              <w:spacing w:line="500" w:lineRule="exact"/>
              <w:ind w:firstLine="420" w:firstLineChars="200"/>
              <w:rPr>
                <w:rFonts w:hint="eastAsia"/>
                <w:bCs/>
                <w:color w:val="auto"/>
                <w:szCs w:val="21"/>
              </w:rPr>
            </w:pPr>
            <w:r>
              <w:rPr>
                <w:rFonts w:hint="eastAsia"/>
                <w:bCs/>
                <w:color w:val="auto"/>
                <w:szCs w:val="21"/>
              </w:rPr>
              <w:t>厂内需完善记录制度和档案保存制度，有利于环境管理质量的追踪和持续改进；记录</w:t>
            </w:r>
            <w:r>
              <w:rPr>
                <w:rFonts w:hint="eastAsia"/>
                <w:bCs/>
                <w:color w:val="auto"/>
                <w:szCs w:val="21"/>
                <w:lang w:eastAsia="zh-CN"/>
              </w:rPr>
              <w:t>和台账</w:t>
            </w:r>
            <w:r>
              <w:rPr>
                <w:rFonts w:hint="eastAsia"/>
                <w:bCs/>
                <w:color w:val="auto"/>
                <w:szCs w:val="21"/>
              </w:rPr>
              <w:t>包括设施运行和维护记录、危险废物进出</w:t>
            </w:r>
            <w:r>
              <w:rPr>
                <w:rFonts w:hint="eastAsia"/>
                <w:bCs/>
                <w:color w:val="auto"/>
                <w:szCs w:val="21"/>
                <w:lang w:eastAsia="zh-CN"/>
              </w:rPr>
              <w:t>台账</w:t>
            </w:r>
            <w:r>
              <w:rPr>
                <w:rFonts w:hint="eastAsia"/>
                <w:bCs/>
                <w:color w:val="auto"/>
                <w:szCs w:val="21"/>
              </w:rPr>
              <w:t>、废水、废气污染物监测</w:t>
            </w:r>
            <w:r>
              <w:rPr>
                <w:rFonts w:hint="eastAsia"/>
                <w:bCs/>
                <w:color w:val="auto"/>
                <w:szCs w:val="21"/>
                <w:lang w:eastAsia="zh-CN"/>
              </w:rPr>
              <w:t>台账</w:t>
            </w:r>
            <w:r>
              <w:rPr>
                <w:rFonts w:hint="eastAsia"/>
                <w:bCs/>
                <w:color w:val="auto"/>
                <w:szCs w:val="21"/>
              </w:rPr>
              <w:t>、所有化学品</w:t>
            </w:r>
            <w:r>
              <w:rPr>
                <w:rFonts w:hint="eastAsia"/>
                <w:bCs/>
                <w:color w:val="auto"/>
                <w:szCs w:val="21"/>
                <w:lang w:eastAsia="zh-CN"/>
              </w:rPr>
              <w:t>使用台账</w:t>
            </w:r>
            <w:r>
              <w:rPr>
                <w:rFonts w:hint="eastAsia"/>
                <w:bCs/>
                <w:color w:val="auto"/>
                <w:szCs w:val="21"/>
              </w:rPr>
              <w:t>、突发性事件的处理、调查记录等，妥善保存所有记录、</w:t>
            </w:r>
            <w:r>
              <w:rPr>
                <w:rFonts w:hint="eastAsia"/>
                <w:bCs/>
                <w:color w:val="auto"/>
                <w:szCs w:val="21"/>
                <w:lang w:eastAsia="zh-CN"/>
              </w:rPr>
              <w:t>台账及</w:t>
            </w:r>
            <w:r>
              <w:rPr>
                <w:rFonts w:hint="eastAsia"/>
                <w:bCs/>
                <w:color w:val="auto"/>
                <w:szCs w:val="21"/>
              </w:rPr>
              <w:t>污染物排放监测资料、环境管理档案资料等。厂内环境保护相关的所有记录、</w:t>
            </w:r>
            <w:r>
              <w:rPr>
                <w:rFonts w:hint="eastAsia"/>
                <w:bCs/>
                <w:color w:val="auto"/>
                <w:szCs w:val="21"/>
                <w:lang w:eastAsia="zh-CN"/>
              </w:rPr>
              <w:t>台账及</w:t>
            </w:r>
            <w:r>
              <w:rPr>
                <w:rFonts w:hint="eastAsia"/>
                <w:bCs/>
                <w:color w:val="auto"/>
                <w:szCs w:val="21"/>
              </w:rPr>
              <w:t>污染物排放监测资料、环境管理档案资料等应妥善保存并定期上报，发现污染因子超标，要在监测数据出来后以书面形式上报公司管理层，快速果断采取应对措施。</w:t>
            </w:r>
          </w:p>
          <w:p>
            <w:pPr>
              <w:adjustRightInd w:val="0"/>
              <w:snapToGrid w:val="0"/>
              <w:spacing w:line="500" w:lineRule="exact"/>
              <w:ind w:firstLine="420" w:firstLineChars="200"/>
              <w:rPr>
                <w:rFonts w:hint="eastAsia"/>
                <w:bCs/>
                <w:color w:val="auto"/>
                <w:szCs w:val="21"/>
              </w:rPr>
            </w:pPr>
            <w:r>
              <w:rPr>
                <w:rFonts w:hint="eastAsia"/>
                <w:bCs/>
                <w:color w:val="auto"/>
                <w:szCs w:val="21"/>
                <w:lang w:val="en-US" w:eastAsia="zh-CN"/>
              </w:rPr>
              <w:t>4、</w:t>
            </w:r>
            <w:r>
              <w:rPr>
                <w:rFonts w:hint="eastAsia"/>
                <w:bCs/>
                <w:color w:val="auto"/>
                <w:szCs w:val="21"/>
              </w:rPr>
              <w:t>排污口规范化设置</w:t>
            </w:r>
          </w:p>
          <w:p>
            <w:pPr>
              <w:adjustRightInd w:val="0"/>
              <w:snapToGrid w:val="0"/>
              <w:spacing w:line="500" w:lineRule="exact"/>
              <w:ind w:firstLine="420" w:firstLineChars="200"/>
              <w:rPr>
                <w:rFonts w:hint="eastAsia"/>
                <w:bCs/>
                <w:color w:val="auto"/>
                <w:szCs w:val="21"/>
              </w:rPr>
            </w:pPr>
            <w:r>
              <w:rPr>
                <w:rFonts w:hint="eastAsia"/>
                <w:bCs/>
                <w:color w:val="auto"/>
                <w:szCs w:val="21"/>
              </w:rPr>
              <w:t>根据《江苏省排污口设置及规范化整治管理办法》的规定，排污口符合“一明显、二合理、三便于”要求，即环保标志明显，排污口设置合理、排污去向合理，便于采集样品、便于监测计量、便于公众监督管理。按照《环境保护图形标志》（GB15562.1-1995、GB15562.2-1995）</w:t>
            </w:r>
            <w:r>
              <w:rPr>
                <w:rFonts w:hint="eastAsia"/>
                <w:bCs/>
                <w:color w:val="auto"/>
                <w:szCs w:val="21"/>
                <w:lang w:val="en-US" w:eastAsia="zh-CN"/>
              </w:rPr>
              <w:t>以及</w:t>
            </w:r>
            <w:r>
              <w:rPr>
                <w:rFonts w:hint="eastAsia"/>
                <w:color w:val="auto"/>
                <w:kern w:val="0"/>
                <w:szCs w:val="21"/>
              </w:rPr>
              <w:t>《危险废物识别标志设置技术规范》（HJ 1276-2022）</w:t>
            </w:r>
            <w:r>
              <w:rPr>
                <w:rFonts w:hint="eastAsia"/>
                <w:bCs/>
                <w:color w:val="auto"/>
                <w:szCs w:val="21"/>
              </w:rPr>
              <w:t>的</w:t>
            </w:r>
            <w:r>
              <w:rPr>
                <w:rFonts w:hint="eastAsia"/>
                <w:bCs/>
                <w:color w:val="auto"/>
                <w:szCs w:val="21"/>
                <w:lang w:val="en-US" w:eastAsia="zh-CN"/>
              </w:rPr>
              <w:t>相关</w:t>
            </w:r>
            <w:r>
              <w:rPr>
                <w:rFonts w:hint="eastAsia"/>
                <w:bCs/>
                <w:color w:val="auto"/>
                <w:szCs w:val="21"/>
              </w:rPr>
              <w:t>规定，对各排污口设立相应的标志牌。</w:t>
            </w:r>
          </w:p>
          <w:p>
            <w:pPr>
              <w:autoSpaceDE w:val="0"/>
              <w:autoSpaceDN w:val="0"/>
              <w:snapToGrid w:val="0"/>
              <w:spacing w:line="500" w:lineRule="exact"/>
              <w:jc w:val="center"/>
              <w:rPr>
                <w:rFonts w:hint="eastAsia"/>
                <w:b/>
                <w:snapToGrid w:val="0"/>
                <w:color w:val="auto"/>
                <w:kern w:val="0"/>
              </w:rPr>
            </w:pPr>
          </w:p>
          <w:p>
            <w:pPr>
              <w:autoSpaceDE w:val="0"/>
              <w:autoSpaceDN w:val="0"/>
              <w:snapToGrid w:val="0"/>
              <w:spacing w:line="500" w:lineRule="exact"/>
              <w:jc w:val="center"/>
              <w:rPr>
                <w:rFonts w:hint="eastAsia"/>
                <w:b/>
                <w:snapToGrid w:val="0"/>
                <w:color w:val="auto"/>
                <w:kern w:val="0"/>
              </w:rPr>
            </w:pPr>
            <w:r>
              <w:rPr>
                <w:rFonts w:hint="eastAsia"/>
                <w:b/>
                <w:snapToGrid w:val="0"/>
                <w:color w:val="auto"/>
                <w:kern w:val="0"/>
              </w:rPr>
              <w:t>表</w:t>
            </w:r>
            <w:r>
              <w:rPr>
                <w:rFonts w:hint="eastAsia"/>
                <w:b/>
                <w:snapToGrid w:val="0"/>
                <w:color w:val="auto"/>
                <w:kern w:val="0"/>
                <w:lang w:val="en-US" w:eastAsia="zh-CN"/>
              </w:rPr>
              <w:t>4-30</w:t>
            </w:r>
            <w:r>
              <w:rPr>
                <w:rFonts w:hint="eastAsia"/>
                <w:b/>
                <w:snapToGrid w:val="0"/>
                <w:color w:val="auto"/>
                <w:kern w:val="0"/>
                <w:lang w:eastAsia="zh-CN"/>
              </w:rPr>
              <w:t xml:space="preserve">  </w:t>
            </w:r>
            <w:r>
              <w:rPr>
                <w:rFonts w:hint="eastAsia"/>
                <w:b/>
                <w:snapToGrid w:val="0"/>
                <w:color w:val="auto"/>
                <w:kern w:val="0"/>
              </w:rPr>
              <w:t>环境保护图形标志一览表</w:t>
            </w:r>
          </w:p>
          <w:tbl>
            <w:tblPr>
              <w:tblStyle w:val="21"/>
              <w:tblW w:w="765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3"/>
              <w:gridCol w:w="1087"/>
              <w:gridCol w:w="1188"/>
              <w:gridCol w:w="758"/>
              <w:gridCol w:w="758"/>
              <w:gridCol w:w="278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1083" w:type="dxa"/>
                  <w:noWrap w:val="0"/>
                  <w:vAlign w:val="center"/>
                </w:tcPr>
                <w:p>
                  <w:pPr>
                    <w:adjustRightInd w:val="0"/>
                    <w:snapToGrid w:val="0"/>
                    <w:jc w:val="center"/>
                    <w:rPr>
                      <w:rFonts w:hint="eastAsia"/>
                      <w:b/>
                      <w:bCs/>
                      <w:color w:val="auto"/>
                      <w:sz w:val="18"/>
                      <w:szCs w:val="18"/>
                    </w:rPr>
                  </w:pPr>
                  <w:r>
                    <w:rPr>
                      <w:rFonts w:hint="eastAsia"/>
                      <w:b/>
                      <w:bCs/>
                      <w:color w:val="auto"/>
                      <w:sz w:val="18"/>
                      <w:szCs w:val="18"/>
                    </w:rPr>
                    <w:t>排放口名称</w:t>
                  </w:r>
                </w:p>
              </w:tc>
              <w:tc>
                <w:tcPr>
                  <w:tcW w:w="1087" w:type="dxa"/>
                  <w:noWrap w:val="0"/>
                  <w:vAlign w:val="center"/>
                </w:tcPr>
                <w:p>
                  <w:pPr>
                    <w:adjustRightInd w:val="0"/>
                    <w:snapToGrid w:val="0"/>
                    <w:jc w:val="center"/>
                    <w:rPr>
                      <w:rFonts w:hint="eastAsia"/>
                      <w:b/>
                      <w:bCs/>
                      <w:color w:val="auto"/>
                      <w:sz w:val="18"/>
                      <w:szCs w:val="18"/>
                    </w:rPr>
                  </w:pPr>
                  <w:r>
                    <w:rPr>
                      <w:rFonts w:hint="eastAsia"/>
                      <w:b/>
                      <w:bCs/>
                      <w:color w:val="auto"/>
                      <w:sz w:val="18"/>
                      <w:szCs w:val="18"/>
                    </w:rPr>
                    <w:t>图形标志</w:t>
                  </w:r>
                </w:p>
              </w:tc>
              <w:tc>
                <w:tcPr>
                  <w:tcW w:w="1188" w:type="dxa"/>
                  <w:noWrap w:val="0"/>
                  <w:vAlign w:val="center"/>
                </w:tcPr>
                <w:p>
                  <w:pPr>
                    <w:adjustRightInd w:val="0"/>
                    <w:snapToGrid w:val="0"/>
                    <w:jc w:val="center"/>
                    <w:rPr>
                      <w:rFonts w:hint="eastAsia"/>
                      <w:b/>
                      <w:bCs/>
                      <w:color w:val="auto"/>
                      <w:sz w:val="18"/>
                      <w:szCs w:val="18"/>
                    </w:rPr>
                  </w:pPr>
                  <w:r>
                    <w:rPr>
                      <w:rFonts w:hint="eastAsia"/>
                      <w:b/>
                      <w:bCs/>
                      <w:color w:val="auto"/>
                      <w:sz w:val="18"/>
                      <w:szCs w:val="18"/>
                    </w:rPr>
                    <w:t>形状</w:t>
                  </w:r>
                </w:p>
              </w:tc>
              <w:tc>
                <w:tcPr>
                  <w:tcW w:w="758" w:type="dxa"/>
                  <w:noWrap w:val="0"/>
                  <w:vAlign w:val="center"/>
                </w:tcPr>
                <w:p>
                  <w:pPr>
                    <w:adjustRightInd w:val="0"/>
                    <w:snapToGrid w:val="0"/>
                    <w:jc w:val="center"/>
                    <w:rPr>
                      <w:rFonts w:hint="eastAsia"/>
                      <w:b/>
                      <w:bCs/>
                      <w:color w:val="auto"/>
                      <w:sz w:val="18"/>
                      <w:szCs w:val="18"/>
                    </w:rPr>
                  </w:pPr>
                  <w:r>
                    <w:rPr>
                      <w:rFonts w:hint="eastAsia"/>
                      <w:b/>
                      <w:bCs/>
                      <w:color w:val="auto"/>
                      <w:sz w:val="18"/>
                      <w:szCs w:val="18"/>
                    </w:rPr>
                    <w:t>背景</w:t>
                  </w:r>
                </w:p>
                <w:p>
                  <w:pPr>
                    <w:adjustRightInd w:val="0"/>
                    <w:snapToGrid w:val="0"/>
                    <w:jc w:val="center"/>
                    <w:rPr>
                      <w:rFonts w:hint="eastAsia"/>
                      <w:b/>
                      <w:bCs/>
                      <w:color w:val="auto"/>
                      <w:sz w:val="18"/>
                      <w:szCs w:val="18"/>
                    </w:rPr>
                  </w:pPr>
                  <w:r>
                    <w:rPr>
                      <w:rFonts w:hint="eastAsia"/>
                      <w:b/>
                      <w:bCs/>
                      <w:color w:val="auto"/>
                      <w:sz w:val="18"/>
                      <w:szCs w:val="18"/>
                    </w:rPr>
                    <w:t>颜色</w:t>
                  </w:r>
                </w:p>
              </w:tc>
              <w:tc>
                <w:tcPr>
                  <w:tcW w:w="758" w:type="dxa"/>
                  <w:noWrap w:val="0"/>
                  <w:vAlign w:val="center"/>
                </w:tcPr>
                <w:p>
                  <w:pPr>
                    <w:adjustRightInd w:val="0"/>
                    <w:snapToGrid w:val="0"/>
                    <w:jc w:val="center"/>
                    <w:rPr>
                      <w:rFonts w:hint="eastAsia"/>
                      <w:b/>
                      <w:bCs/>
                      <w:color w:val="auto"/>
                      <w:sz w:val="18"/>
                      <w:szCs w:val="18"/>
                    </w:rPr>
                  </w:pPr>
                  <w:r>
                    <w:rPr>
                      <w:rFonts w:hint="eastAsia"/>
                      <w:b/>
                      <w:bCs/>
                      <w:color w:val="auto"/>
                      <w:sz w:val="18"/>
                      <w:szCs w:val="18"/>
                    </w:rPr>
                    <w:t>图形</w:t>
                  </w:r>
                </w:p>
                <w:p>
                  <w:pPr>
                    <w:adjustRightInd w:val="0"/>
                    <w:snapToGrid w:val="0"/>
                    <w:jc w:val="center"/>
                    <w:rPr>
                      <w:rFonts w:hint="eastAsia"/>
                      <w:b/>
                      <w:bCs/>
                      <w:color w:val="auto"/>
                      <w:sz w:val="18"/>
                      <w:szCs w:val="18"/>
                    </w:rPr>
                  </w:pPr>
                  <w:r>
                    <w:rPr>
                      <w:rFonts w:hint="eastAsia"/>
                      <w:b/>
                      <w:bCs/>
                      <w:color w:val="auto"/>
                      <w:sz w:val="18"/>
                      <w:szCs w:val="18"/>
                    </w:rPr>
                    <w:t>颜色</w:t>
                  </w:r>
                </w:p>
              </w:tc>
              <w:tc>
                <w:tcPr>
                  <w:tcW w:w="2782" w:type="dxa"/>
                  <w:noWrap w:val="0"/>
                  <w:vAlign w:val="center"/>
                </w:tcPr>
                <w:p>
                  <w:pPr>
                    <w:adjustRightInd w:val="0"/>
                    <w:snapToGrid w:val="0"/>
                    <w:jc w:val="center"/>
                    <w:rPr>
                      <w:rFonts w:hint="eastAsia" w:eastAsia="宋体"/>
                      <w:b/>
                      <w:bCs/>
                      <w:color w:val="auto"/>
                      <w:sz w:val="18"/>
                      <w:szCs w:val="18"/>
                      <w:lang w:val="en-US" w:eastAsia="zh-CN"/>
                    </w:rPr>
                  </w:pPr>
                  <w:r>
                    <w:rPr>
                      <w:rFonts w:hint="eastAsia"/>
                      <w:b/>
                      <w:bCs/>
                      <w:color w:val="auto"/>
                      <w:sz w:val="18"/>
                      <w:szCs w:val="18"/>
                    </w:rPr>
                    <w:t>图形标志</w:t>
                  </w:r>
                  <w:r>
                    <w:rPr>
                      <w:rFonts w:hint="eastAsia"/>
                      <w:b/>
                      <w:bCs/>
                      <w:color w:val="auto"/>
                      <w:sz w:val="18"/>
                      <w:szCs w:val="18"/>
                      <w:lang w:val="en-US" w:eastAsia="zh-CN"/>
                    </w:rPr>
                    <w:t>样式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24" w:hRule="atLeast"/>
                <w:jc w:val="center"/>
              </w:trPr>
              <w:tc>
                <w:tcPr>
                  <w:tcW w:w="1083" w:type="dxa"/>
                  <w:noWrap w:val="0"/>
                  <w:vAlign w:val="center"/>
                </w:tcPr>
                <w:p>
                  <w:pPr>
                    <w:adjustRightInd w:val="0"/>
                    <w:snapToGrid w:val="0"/>
                    <w:jc w:val="center"/>
                    <w:rPr>
                      <w:rFonts w:hint="default"/>
                      <w:color w:val="auto"/>
                      <w:sz w:val="18"/>
                      <w:szCs w:val="18"/>
                      <w:lang w:val="en-US" w:eastAsia="zh-CN"/>
                    </w:rPr>
                  </w:pPr>
                  <w:r>
                    <w:rPr>
                      <w:rFonts w:hint="eastAsia"/>
                      <w:color w:val="auto"/>
                      <w:sz w:val="18"/>
                      <w:szCs w:val="18"/>
                      <w:lang w:val="en-US" w:eastAsia="zh-CN"/>
                    </w:rPr>
                    <w:t>废气排口</w:t>
                  </w:r>
                </w:p>
              </w:tc>
              <w:tc>
                <w:tcPr>
                  <w:tcW w:w="1087" w:type="dxa"/>
                  <w:noWrap w:val="0"/>
                  <w:vAlign w:val="center"/>
                </w:tcPr>
                <w:p>
                  <w:pPr>
                    <w:adjustRightInd w:val="0"/>
                    <w:snapToGrid w:val="0"/>
                    <w:jc w:val="center"/>
                    <w:rPr>
                      <w:rFonts w:hint="eastAsia"/>
                      <w:color w:val="auto"/>
                      <w:sz w:val="18"/>
                      <w:szCs w:val="18"/>
                    </w:rPr>
                  </w:pPr>
                  <w:r>
                    <w:rPr>
                      <w:rFonts w:hint="eastAsia"/>
                      <w:color w:val="auto"/>
                      <w:sz w:val="18"/>
                      <w:szCs w:val="18"/>
                    </w:rPr>
                    <w:t>提示标志</w:t>
                  </w:r>
                </w:p>
              </w:tc>
              <w:tc>
                <w:tcPr>
                  <w:tcW w:w="1188" w:type="dxa"/>
                  <w:noWrap w:val="0"/>
                  <w:vAlign w:val="center"/>
                </w:tcPr>
                <w:p>
                  <w:pPr>
                    <w:adjustRightInd w:val="0"/>
                    <w:snapToGrid w:val="0"/>
                    <w:jc w:val="center"/>
                    <w:rPr>
                      <w:rFonts w:hint="eastAsia"/>
                      <w:color w:val="auto"/>
                      <w:sz w:val="18"/>
                      <w:szCs w:val="18"/>
                    </w:rPr>
                  </w:pPr>
                  <w:r>
                    <w:rPr>
                      <w:rFonts w:hint="eastAsia"/>
                      <w:color w:val="auto"/>
                      <w:sz w:val="18"/>
                      <w:szCs w:val="18"/>
                    </w:rPr>
                    <w:t>70</w:t>
                  </w:r>
                  <w:r>
                    <w:rPr>
                      <w:color w:val="auto"/>
                      <w:sz w:val="18"/>
                      <w:szCs w:val="18"/>
                    </w:rPr>
                    <w:t>×</w:t>
                  </w:r>
                  <w:r>
                    <w:rPr>
                      <w:rFonts w:hint="eastAsia"/>
                      <w:color w:val="auto"/>
                      <w:sz w:val="18"/>
                      <w:szCs w:val="18"/>
                    </w:rPr>
                    <w:t>50cm</w:t>
                  </w:r>
                </w:p>
              </w:tc>
              <w:tc>
                <w:tcPr>
                  <w:tcW w:w="758" w:type="dxa"/>
                  <w:noWrap w:val="0"/>
                  <w:vAlign w:val="center"/>
                </w:tcPr>
                <w:p>
                  <w:pPr>
                    <w:adjustRightInd w:val="0"/>
                    <w:snapToGrid w:val="0"/>
                    <w:jc w:val="center"/>
                    <w:rPr>
                      <w:rFonts w:hint="eastAsia"/>
                      <w:color w:val="auto"/>
                      <w:sz w:val="18"/>
                      <w:szCs w:val="18"/>
                    </w:rPr>
                  </w:pPr>
                  <w:r>
                    <w:rPr>
                      <w:rFonts w:hint="eastAsia"/>
                      <w:color w:val="auto"/>
                      <w:sz w:val="18"/>
                      <w:szCs w:val="18"/>
                    </w:rPr>
                    <w:t>绿色</w:t>
                  </w:r>
                </w:p>
              </w:tc>
              <w:tc>
                <w:tcPr>
                  <w:tcW w:w="758" w:type="dxa"/>
                  <w:noWrap w:val="0"/>
                  <w:vAlign w:val="center"/>
                </w:tcPr>
                <w:p>
                  <w:pPr>
                    <w:adjustRightInd w:val="0"/>
                    <w:snapToGrid w:val="0"/>
                    <w:jc w:val="center"/>
                    <w:rPr>
                      <w:rFonts w:hint="eastAsia"/>
                      <w:color w:val="auto"/>
                      <w:sz w:val="18"/>
                      <w:szCs w:val="18"/>
                    </w:rPr>
                  </w:pPr>
                  <w:r>
                    <w:rPr>
                      <w:rFonts w:hint="eastAsia"/>
                      <w:color w:val="auto"/>
                      <w:sz w:val="18"/>
                      <w:szCs w:val="18"/>
                    </w:rPr>
                    <w:t>白色</w:t>
                  </w:r>
                </w:p>
              </w:tc>
              <w:tc>
                <w:tcPr>
                  <w:tcW w:w="2782" w:type="dxa"/>
                  <w:noWrap w:val="0"/>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drawing>
                      <wp:inline distT="0" distB="0" distL="114300" distR="114300">
                        <wp:extent cx="1682750" cy="1007745"/>
                        <wp:effectExtent l="0" t="0" r="12700" b="1905"/>
                        <wp:docPr id="95" name="图片 3" descr="E:\桌面\QQ截图20200702162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3" descr="E:\桌面\QQ截图20200702162140.png"/>
                                <pic:cNvPicPr>
                                  <a:picLocks noChangeAspect="1"/>
                                </pic:cNvPicPr>
                              </pic:nvPicPr>
                              <pic:blipFill>
                                <a:blip r:embed="rId23"/>
                                <a:stretch>
                                  <a:fillRect/>
                                </a:stretch>
                              </pic:blipFill>
                              <pic:spPr>
                                <a:xfrm>
                                  <a:off x="0" y="0"/>
                                  <a:ext cx="1682750" cy="1007745"/>
                                </a:xfrm>
                                <a:prstGeom prst="rect">
                                  <a:avLst/>
                                </a:prstGeom>
                                <a:noFill/>
                                <a:ln>
                                  <a:noFill/>
                                </a:ln>
                              </pic:spPr>
                            </pic:pic>
                          </a:graphicData>
                        </a:graphic>
                      </wp:inline>
                    </w:drawing>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4" w:hRule="atLeast"/>
                <w:jc w:val="center"/>
              </w:trPr>
              <w:tc>
                <w:tcPr>
                  <w:tcW w:w="1083" w:type="dxa"/>
                  <w:noWrap w:val="0"/>
                  <w:vAlign w:val="center"/>
                </w:tcPr>
                <w:p>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污水排口</w:t>
                  </w:r>
                </w:p>
              </w:tc>
              <w:tc>
                <w:tcPr>
                  <w:tcW w:w="1087" w:type="dxa"/>
                  <w:noWrap w:val="0"/>
                  <w:vAlign w:val="center"/>
                </w:tcPr>
                <w:p>
                  <w:pPr>
                    <w:adjustRightInd w:val="0"/>
                    <w:snapToGrid w:val="0"/>
                    <w:jc w:val="center"/>
                    <w:rPr>
                      <w:rFonts w:hint="eastAsia"/>
                      <w:color w:val="auto"/>
                      <w:sz w:val="18"/>
                      <w:szCs w:val="18"/>
                    </w:rPr>
                  </w:pPr>
                  <w:r>
                    <w:rPr>
                      <w:rFonts w:hint="eastAsia"/>
                      <w:color w:val="auto"/>
                      <w:sz w:val="18"/>
                      <w:szCs w:val="18"/>
                    </w:rPr>
                    <w:t>提示标志</w:t>
                  </w:r>
                </w:p>
              </w:tc>
              <w:tc>
                <w:tcPr>
                  <w:tcW w:w="1188" w:type="dxa"/>
                  <w:noWrap w:val="0"/>
                  <w:vAlign w:val="center"/>
                </w:tcPr>
                <w:p>
                  <w:pPr>
                    <w:adjustRightInd w:val="0"/>
                    <w:snapToGrid w:val="0"/>
                    <w:jc w:val="center"/>
                    <w:rPr>
                      <w:rFonts w:hint="eastAsia"/>
                      <w:color w:val="auto"/>
                      <w:sz w:val="18"/>
                      <w:szCs w:val="18"/>
                    </w:rPr>
                  </w:pPr>
                  <w:r>
                    <w:rPr>
                      <w:rFonts w:hint="eastAsia"/>
                      <w:color w:val="auto"/>
                      <w:sz w:val="18"/>
                      <w:szCs w:val="18"/>
                    </w:rPr>
                    <w:t>70</w:t>
                  </w:r>
                  <w:r>
                    <w:rPr>
                      <w:color w:val="auto"/>
                      <w:sz w:val="18"/>
                      <w:szCs w:val="18"/>
                    </w:rPr>
                    <w:t>×</w:t>
                  </w:r>
                  <w:r>
                    <w:rPr>
                      <w:rFonts w:hint="eastAsia"/>
                      <w:color w:val="auto"/>
                      <w:sz w:val="18"/>
                      <w:szCs w:val="18"/>
                    </w:rPr>
                    <w:t>50cm</w:t>
                  </w:r>
                </w:p>
              </w:tc>
              <w:tc>
                <w:tcPr>
                  <w:tcW w:w="758" w:type="dxa"/>
                  <w:noWrap w:val="0"/>
                  <w:vAlign w:val="center"/>
                </w:tcPr>
                <w:p>
                  <w:pPr>
                    <w:adjustRightInd w:val="0"/>
                    <w:snapToGrid w:val="0"/>
                    <w:jc w:val="center"/>
                    <w:rPr>
                      <w:rFonts w:hint="eastAsia"/>
                      <w:color w:val="auto"/>
                      <w:sz w:val="18"/>
                      <w:szCs w:val="18"/>
                    </w:rPr>
                  </w:pPr>
                  <w:r>
                    <w:rPr>
                      <w:rFonts w:hint="eastAsia"/>
                      <w:color w:val="auto"/>
                      <w:sz w:val="18"/>
                      <w:szCs w:val="18"/>
                    </w:rPr>
                    <w:t>绿色</w:t>
                  </w:r>
                </w:p>
              </w:tc>
              <w:tc>
                <w:tcPr>
                  <w:tcW w:w="758" w:type="dxa"/>
                  <w:noWrap w:val="0"/>
                  <w:vAlign w:val="center"/>
                </w:tcPr>
                <w:p>
                  <w:pPr>
                    <w:adjustRightInd w:val="0"/>
                    <w:snapToGrid w:val="0"/>
                    <w:jc w:val="center"/>
                    <w:rPr>
                      <w:rFonts w:hint="eastAsia"/>
                      <w:color w:val="auto"/>
                      <w:sz w:val="18"/>
                      <w:szCs w:val="18"/>
                    </w:rPr>
                  </w:pPr>
                  <w:r>
                    <w:rPr>
                      <w:rFonts w:hint="eastAsia"/>
                      <w:color w:val="auto"/>
                      <w:sz w:val="18"/>
                      <w:szCs w:val="18"/>
                    </w:rPr>
                    <w:t>白色</w:t>
                  </w:r>
                </w:p>
              </w:tc>
              <w:tc>
                <w:tcPr>
                  <w:tcW w:w="2782" w:type="dxa"/>
                  <w:noWrap w:val="0"/>
                  <w:vAlign w:val="center"/>
                </w:tcPr>
                <w:p>
                  <w:pPr>
                    <w:adjustRightInd w:val="0"/>
                    <w:snapToGrid w:val="0"/>
                    <w:jc w:val="center"/>
                    <w:rPr>
                      <w:color w:val="auto"/>
                      <w:sz w:val="18"/>
                      <w:szCs w:val="18"/>
                    </w:rPr>
                  </w:pPr>
                  <w:r>
                    <w:rPr>
                      <w:rFonts w:ascii="Times New Roman" w:hAnsi="Times New Roman" w:eastAsia="宋体" w:cs="Times New Roman"/>
                      <w:color w:val="auto"/>
                      <w:szCs w:val="21"/>
                    </w:rPr>
                    <w:drawing>
                      <wp:inline distT="0" distB="0" distL="114300" distR="114300">
                        <wp:extent cx="1697355" cy="1007745"/>
                        <wp:effectExtent l="0" t="0" r="17145" b="1905"/>
                        <wp:docPr id="98" name="图片 4" descr="E:\桌面\QQ截图202007021619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 descr="E:\桌面\QQ截图20200702161903.png"/>
                                <pic:cNvPicPr>
                                  <a:picLocks noChangeAspect="1"/>
                                </pic:cNvPicPr>
                              </pic:nvPicPr>
                              <pic:blipFill>
                                <a:blip r:embed="rId24"/>
                                <a:stretch>
                                  <a:fillRect/>
                                </a:stretch>
                              </pic:blipFill>
                              <pic:spPr>
                                <a:xfrm>
                                  <a:off x="0" y="0"/>
                                  <a:ext cx="1697355" cy="1007745"/>
                                </a:xfrm>
                                <a:prstGeom prst="rect">
                                  <a:avLst/>
                                </a:prstGeom>
                                <a:noFill/>
                                <a:ln>
                                  <a:noFill/>
                                </a:ln>
                              </pic:spPr>
                            </pic:pic>
                          </a:graphicData>
                        </a:graphic>
                      </wp:inline>
                    </w:drawing>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43" w:hRule="atLeast"/>
                <w:jc w:val="center"/>
              </w:trPr>
              <w:tc>
                <w:tcPr>
                  <w:tcW w:w="1083" w:type="dxa"/>
                  <w:noWrap w:val="0"/>
                  <w:vAlign w:val="center"/>
                </w:tcPr>
                <w:p>
                  <w:pPr>
                    <w:adjustRightInd w:val="0"/>
                    <w:snapToGrid w:val="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危险废物产生单位信息公开</w:t>
                  </w:r>
                </w:p>
              </w:tc>
              <w:tc>
                <w:tcPr>
                  <w:tcW w:w="1087" w:type="dxa"/>
                  <w:noWrap w:val="0"/>
                  <w:vAlign w:val="center"/>
                </w:tcPr>
                <w:p>
                  <w:pPr>
                    <w:adjustRightInd w:val="0"/>
                    <w:snapToGrid w:val="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提示标志</w:t>
                  </w:r>
                </w:p>
              </w:tc>
              <w:tc>
                <w:tcPr>
                  <w:tcW w:w="1188" w:type="dxa"/>
                  <w:noWrap w:val="0"/>
                  <w:vAlign w:val="center"/>
                </w:tcPr>
                <w:p>
                  <w:pPr>
                    <w:adjustRightInd w:val="0"/>
                    <w:snapToGrid w:val="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120*80mm</w:t>
                  </w:r>
                </w:p>
              </w:tc>
              <w:tc>
                <w:tcPr>
                  <w:tcW w:w="758" w:type="dxa"/>
                  <w:noWrap w:val="0"/>
                  <w:vAlign w:val="center"/>
                </w:tcPr>
                <w:p>
                  <w:pPr>
                    <w:adjustRightInd w:val="0"/>
                    <w:snapToGrid w:val="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蓝色</w:t>
                  </w:r>
                </w:p>
              </w:tc>
              <w:tc>
                <w:tcPr>
                  <w:tcW w:w="758" w:type="dxa"/>
                  <w:noWrap w:val="0"/>
                  <w:vAlign w:val="center"/>
                </w:tcPr>
                <w:p>
                  <w:pPr>
                    <w:adjustRightInd w:val="0"/>
                    <w:snapToGrid w:val="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白色</w:t>
                  </w:r>
                </w:p>
              </w:tc>
              <w:tc>
                <w:tcPr>
                  <w:tcW w:w="2782" w:type="dxa"/>
                  <w:noWrap w:val="0"/>
                  <w:vAlign w:val="center"/>
                </w:tcPr>
                <w:p>
                  <w:pPr>
                    <w:adjustRightInd w:val="0"/>
                    <w:snapToGrid w:val="0"/>
                    <w:jc w:val="center"/>
                    <w:rPr>
                      <w:rFonts w:ascii="Times New Roman" w:hAnsi="Times New Roman" w:eastAsia="宋体" w:cs="Times New Roman"/>
                      <w:color w:val="auto"/>
                      <w:szCs w:val="21"/>
                    </w:rPr>
                  </w:pPr>
                  <w:r>
                    <w:rPr>
                      <w:color w:val="auto"/>
                    </w:rPr>
                    <w:drawing>
                      <wp:inline distT="0" distB="0" distL="114300" distR="114300">
                        <wp:extent cx="1645920" cy="1102995"/>
                        <wp:effectExtent l="0" t="0" r="11430" b="1905"/>
                        <wp:docPr id="9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5"/>
                                <pic:cNvPicPr>
                                  <a:picLocks noChangeAspect="1"/>
                                </pic:cNvPicPr>
                              </pic:nvPicPr>
                              <pic:blipFill>
                                <a:blip r:embed="rId25"/>
                                <a:stretch>
                                  <a:fillRect/>
                                </a:stretch>
                              </pic:blipFill>
                              <pic:spPr>
                                <a:xfrm>
                                  <a:off x="0" y="0"/>
                                  <a:ext cx="1645920" cy="1102995"/>
                                </a:xfrm>
                                <a:prstGeom prst="rect">
                                  <a:avLst/>
                                </a:prstGeom>
                                <a:noFill/>
                                <a:ln>
                                  <a:noFill/>
                                </a:ln>
                              </pic:spPr>
                            </pic:pic>
                          </a:graphicData>
                        </a:graphic>
                      </wp:inline>
                    </w:drawing>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4" w:hRule="atLeast"/>
                <w:jc w:val="center"/>
              </w:trPr>
              <w:tc>
                <w:tcPr>
                  <w:tcW w:w="1083" w:type="dxa"/>
                  <w:noWrap w:val="0"/>
                  <w:vAlign w:val="center"/>
                </w:tcPr>
                <w:p>
                  <w:pPr>
                    <w:adjustRightInd w:val="0"/>
                    <w:snapToGrid w:val="0"/>
                    <w:jc w:val="center"/>
                    <w:rPr>
                      <w:rFonts w:hint="eastAsia"/>
                      <w:color w:val="auto"/>
                      <w:sz w:val="18"/>
                      <w:szCs w:val="18"/>
                    </w:rPr>
                  </w:pPr>
                  <w:r>
                    <w:rPr>
                      <w:rFonts w:hint="eastAsia"/>
                      <w:color w:val="auto"/>
                      <w:sz w:val="18"/>
                      <w:szCs w:val="18"/>
                    </w:rPr>
                    <w:t>一般固废暂存场所</w:t>
                  </w:r>
                </w:p>
              </w:tc>
              <w:tc>
                <w:tcPr>
                  <w:tcW w:w="1087" w:type="dxa"/>
                  <w:noWrap w:val="0"/>
                  <w:vAlign w:val="center"/>
                </w:tcPr>
                <w:p>
                  <w:pPr>
                    <w:adjustRightInd w:val="0"/>
                    <w:snapToGrid w:val="0"/>
                    <w:jc w:val="center"/>
                    <w:rPr>
                      <w:rFonts w:hint="eastAsia"/>
                      <w:color w:val="auto"/>
                      <w:sz w:val="18"/>
                      <w:szCs w:val="18"/>
                    </w:rPr>
                  </w:pPr>
                  <w:r>
                    <w:rPr>
                      <w:rFonts w:hint="eastAsia"/>
                      <w:color w:val="auto"/>
                      <w:sz w:val="18"/>
                      <w:szCs w:val="18"/>
                    </w:rPr>
                    <w:t>提示标志</w:t>
                  </w:r>
                </w:p>
              </w:tc>
              <w:tc>
                <w:tcPr>
                  <w:tcW w:w="1188" w:type="dxa"/>
                  <w:noWrap w:val="0"/>
                  <w:vAlign w:val="center"/>
                </w:tcPr>
                <w:p>
                  <w:pPr>
                    <w:adjustRightInd w:val="0"/>
                    <w:snapToGrid w:val="0"/>
                    <w:jc w:val="center"/>
                    <w:rPr>
                      <w:rFonts w:hint="eastAsia"/>
                      <w:color w:val="auto"/>
                      <w:sz w:val="18"/>
                      <w:szCs w:val="18"/>
                    </w:rPr>
                  </w:pPr>
                  <w:r>
                    <w:rPr>
                      <w:rFonts w:hint="eastAsia"/>
                      <w:color w:val="auto"/>
                      <w:sz w:val="18"/>
                      <w:szCs w:val="18"/>
                    </w:rPr>
                    <w:t>70</w:t>
                  </w:r>
                  <w:r>
                    <w:rPr>
                      <w:color w:val="auto"/>
                      <w:sz w:val="18"/>
                      <w:szCs w:val="18"/>
                    </w:rPr>
                    <w:t>×</w:t>
                  </w:r>
                  <w:r>
                    <w:rPr>
                      <w:rFonts w:hint="eastAsia"/>
                      <w:color w:val="auto"/>
                      <w:sz w:val="18"/>
                      <w:szCs w:val="18"/>
                    </w:rPr>
                    <w:t>50cm</w:t>
                  </w:r>
                </w:p>
              </w:tc>
              <w:tc>
                <w:tcPr>
                  <w:tcW w:w="758" w:type="dxa"/>
                  <w:noWrap w:val="0"/>
                  <w:vAlign w:val="center"/>
                </w:tcPr>
                <w:p>
                  <w:pPr>
                    <w:adjustRightInd w:val="0"/>
                    <w:snapToGrid w:val="0"/>
                    <w:jc w:val="center"/>
                    <w:rPr>
                      <w:rFonts w:hint="eastAsia"/>
                      <w:color w:val="auto"/>
                      <w:sz w:val="18"/>
                      <w:szCs w:val="18"/>
                    </w:rPr>
                  </w:pPr>
                  <w:r>
                    <w:rPr>
                      <w:rFonts w:hint="eastAsia"/>
                      <w:color w:val="auto"/>
                      <w:sz w:val="18"/>
                      <w:szCs w:val="18"/>
                    </w:rPr>
                    <w:t>绿色</w:t>
                  </w:r>
                </w:p>
              </w:tc>
              <w:tc>
                <w:tcPr>
                  <w:tcW w:w="758" w:type="dxa"/>
                  <w:noWrap w:val="0"/>
                  <w:vAlign w:val="center"/>
                </w:tcPr>
                <w:p>
                  <w:pPr>
                    <w:adjustRightInd w:val="0"/>
                    <w:snapToGrid w:val="0"/>
                    <w:jc w:val="center"/>
                    <w:rPr>
                      <w:rFonts w:hint="eastAsia"/>
                      <w:color w:val="auto"/>
                      <w:sz w:val="18"/>
                      <w:szCs w:val="18"/>
                    </w:rPr>
                  </w:pPr>
                  <w:r>
                    <w:rPr>
                      <w:rFonts w:hint="eastAsia"/>
                      <w:color w:val="auto"/>
                      <w:sz w:val="18"/>
                      <w:szCs w:val="18"/>
                    </w:rPr>
                    <w:t>白色</w:t>
                  </w:r>
                </w:p>
              </w:tc>
              <w:tc>
                <w:tcPr>
                  <w:tcW w:w="2782" w:type="dxa"/>
                  <w:noWrap w:val="0"/>
                  <w:vAlign w:val="center"/>
                </w:tcPr>
                <w:p>
                  <w:pPr>
                    <w:adjustRightInd w:val="0"/>
                    <w:snapToGrid w:val="0"/>
                    <w:jc w:val="center"/>
                    <w:rPr>
                      <w:rFonts w:hint="eastAsia"/>
                      <w:color w:val="auto"/>
                      <w:sz w:val="18"/>
                      <w:szCs w:val="18"/>
                    </w:rPr>
                  </w:pPr>
                  <w:r>
                    <w:rPr>
                      <w:color w:val="auto"/>
                      <w:sz w:val="18"/>
                      <w:szCs w:val="18"/>
                    </w:rPr>
                    <w:drawing>
                      <wp:inline distT="0" distB="0" distL="114300" distR="114300">
                        <wp:extent cx="1690370" cy="1007745"/>
                        <wp:effectExtent l="0" t="0" r="5080" b="1905"/>
                        <wp:docPr id="89" name="图片 6" descr="E:\桌面\QQ截图20200702161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6" descr="E:\桌面\QQ截图20200702161351.png"/>
                                <pic:cNvPicPr>
                                  <a:picLocks noChangeAspect="1"/>
                                </pic:cNvPicPr>
                              </pic:nvPicPr>
                              <pic:blipFill>
                                <a:blip r:embed="rId26"/>
                                <a:stretch>
                                  <a:fillRect/>
                                </a:stretch>
                              </pic:blipFill>
                              <pic:spPr>
                                <a:xfrm>
                                  <a:off x="0" y="0"/>
                                  <a:ext cx="1690370" cy="1007745"/>
                                </a:xfrm>
                                <a:prstGeom prst="rect">
                                  <a:avLst/>
                                </a:prstGeom>
                                <a:noFill/>
                                <a:ln>
                                  <a:noFill/>
                                </a:ln>
                              </pic:spPr>
                            </pic:pic>
                          </a:graphicData>
                        </a:graphic>
                      </wp:inline>
                    </w:drawing>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4" w:hRule="atLeast"/>
                <w:jc w:val="center"/>
              </w:trPr>
              <w:tc>
                <w:tcPr>
                  <w:tcW w:w="1083" w:type="dxa"/>
                  <w:noWrap w:val="0"/>
                  <w:vAlign w:val="center"/>
                </w:tcPr>
                <w:p>
                  <w:pPr>
                    <w:adjustRightInd w:val="0"/>
                    <w:snapToGrid w:val="0"/>
                    <w:jc w:val="center"/>
                    <w:rPr>
                      <w:rFonts w:hint="eastAsia"/>
                      <w:color w:val="auto"/>
                      <w:sz w:val="18"/>
                      <w:szCs w:val="18"/>
                    </w:rPr>
                  </w:pPr>
                  <w:r>
                    <w:rPr>
                      <w:rFonts w:hint="eastAsia"/>
                      <w:color w:val="auto"/>
                      <w:sz w:val="18"/>
                      <w:szCs w:val="18"/>
                    </w:rPr>
                    <w:t>危险废物贮存设施</w:t>
                  </w:r>
                </w:p>
              </w:tc>
              <w:tc>
                <w:tcPr>
                  <w:tcW w:w="1087" w:type="dxa"/>
                  <w:noWrap w:val="0"/>
                  <w:vAlign w:val="center"/>
                </w:tcPr>
                <w:p>
                  <w:pPr>
                    <w:adjustRightInd w:val="0"/>
                    <w:snapToGrid w:val="0"/>
                    <w:jc w:val="center"/>
                    <w:rPr>
                      <w:rFonts w:hint="eastAsia"/>
                      <w:color w:val="auto"/>
                      <w:sz w:val="18"/>
                      <w:szCs w:val="18"/>
                    </w:rPr>
                  </w:pPr>
                  <w:r>
                    <w:rPr>
                      <w:rFonts w:hint="eastAsia"/>
                      <w:color w:val="auto"/>
                      <w:sz w:val="18"/>
                      <w:szCs w:val="18"/>
                    </w:rPr>
                    <w:t>提示标志</w:t>
                  </w:r>
                </w:p>
              </w:tc>
              <w:tc>
                <w:tcPr>
                  <w:tcW w:w="1188" w:type="dxa"/>
                  <w:noWrap w:val="0"/>
                  <w:vAlign w:val="center"/>
                </w:tcPr>
                <w:p>
                  <w:pPr>
                    <w:adjustRightInd w:val="0"/>
                    <w:snapToGrid w:val="0"/>
                    <w:jc w:val="center"/>
                    <w:rPr>
                      <w:rFonts w:hint="eastAsia"/>
                      <w:color w:val="auto"/>
                      <w:sz w:val="18"/>
                      <w:szCs w:val="18"/>
                    </w:rPr>
                  </w:pPr>
                  <w:r>
                    <w:rPr>
                      <w:rFonts w:hint="eastAsia"/>
                      <w:color w:val="auto"/>
                      <w:sz w:val="18"/>
                      <w:szCs w:val="18"/>
                      <w:lang w:val="en-US" w:eastAsia="zh-CN"/>
                    </w:rPr>
                    <w:t>900</w:t>
                  </w:r>
                  <w:r>
                    <w:rPr>
                      <w:color w:val="auto"/>
                      <w:sz w:val="18"/>
                      <w:szCs w:val="18"/>
                    </w:rPr>
                    <w:t>×</w:t>
                  </w:r>
                  <w:r>
                    <w:rPr>
                      <w:rFonts w:hint="eastAsia"/>
                      <w:color w:val="auto"/>
                      <w:sz w:val="18"/>
                      <w:szCs w:val="18"/>
                      <w:lang w:val="en-US" w:eastAsia="zh-CN"/>
                    </w:rPr>
                    <w:t>558m</w:t>
                  </w:r>
                  <w:r>
                    <w:rPr>
                      <w:rFonts w:hint="eastAsia"/>
                      <w:color w:val="auto"/>
                      <w:sz w:val="18"/>
                      <w:szCs w:val="18"/>
                    </w:rPr>
                    <w:t>m</w:t>
                  </w:r>
                </w:p>
              </w:tc>
              <w:tc>
                <w:tcPr>
                  <w:tcW w:w="758" w:type="dxa"/>
                  <w:noWrap w:val="0"/>
                  <w:vAlign w:val="center"/>
                </w:tcPr>
                <w:p>
                  <w:pPr>
                    <w:adjustRightInd w:val="0"/>
                    <w:snapToGrid w:val="0"/>
                    <w:jc w:val="center"/>
                    <w:rPr>
                      <w:rFonts w:hint="eastAsia"/>
                      <w:color w:val="auto"/>
                      <w:sz w:val="18"/>
                      <w:szCs w:val="18"/>
                    </w:rPr>
                  </w:pPr>
                  <w:r>
                    <w:rPr>
                      <w:rFonts w:hint="eastAsia"/>
                      <w:color w:val="auto"/>
                      <w:sz w:val="18"/>
                      <w:szCs w:val="18"/>
                    </w:rPr>
                    <w:t>黄色</w:t>
                  </w:r>
                </w:p>
              </w:tc>
              <w:tc>
                <w:tcPr>
                  <w:tcW w:w="758" w:type="dxa"/>
                  <w:noWrap w:val="0"/>
                  <w:vAlign w:val="center"/>
                </w:tcPr>
                <w:p>
                  <w:pPr>
                    <w:adjustRightInd w:val="0"/>
                    <w:snapToGrid w:val="0"/>
                    <w:jc w:val="center"/>
                    <w:rPr>
                      <w:rFonts w:hint="eastAsia"/>
                      <w:color w:val="auto"/>
                      <w:sz w:val="18"/>
                      <w:szCs w:val="18"/>
                    </w:rPr>
                  </w:pPr>
                  <w:r>
                    <w:rPr>
                      <w:rFonts w:hint="eastAsia"/>
                      <w:color w:val="auto"/>
                      <w:sz w:val="18"/>
                      <w:szCs w:val="18"/>
                    </w:rPr>
                    <w:t>黑色</w:t>
                  </w:r>
                </w:p>
              </w:tc>
              <w:tc>
                <w:tcPr>
                  <w:tcW w:w="2782" w:type="dxa"/>
                  <w:noWrap w:val="0"/>
                  <w:vAlign w:val="center"/>
                </w:tcPr>
                <w:p>
                  <w:pPr>
                    <w:adjustRightInd w:val="0"/>
                    <w:snapToGrid w:val="0"/>
                    <w:jc w:val="center"/>
                    <w:rPr>
                      <w:rFonts w:hint="eastAsia" w:eastAsia="宋体"/>
                      <w:color w:val="auto"/>
                      <w:sz w:val="18"/>
                      <w:szCs w:val="18"/>
                      <w:lang w:eastAsia="zh-CN"/>
                    </w:rPr>
                  </w:pPr>
                  <w:r>
                    <w:rPr>
                      <w:rFonts w:hint="eastAsia" w:eastAsia="宋体"/>
                      <w:color w:val="auto"/>
                      <w:sz w:val="18"/>
                      <w:szCs w:val="18"/>
                      <w:lang w:eastAsia="zh-CN"/>
                    </w:rPr>
                    <w:drawing>
                      <wp:inline distT="0" distB="0" distL="114300" distR="114300">
                        <wp:extent cx="1699260" cy="1043940"/>
                        <wp:effectExtent l="0" t="0" r="15240" b="3810"/>
                        <wp:docPr id="84" name="图片 7" descr="QQ截图2023051109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7" descr="QQ截图20230511094110"/>
                                <pic:cNvPicPr>
                                  <a:picLocks noChangeAspect="1"/>
                                </pic:cNvPicPr>
                              </pic:nvPicPr>
                              <pic:blipFill>
                                <a:blip r:embed="rId27"/>
                                <a:stretch>
                                  <a:fillRect/>
                                </a:stretch>
                              </pic:blipFill>
                              <pic:spPr>
                                <a:xfrm>
                                  <a:off x="0" y="0"/>
                                  <a:ext cx="1699260" cy="1043940"/>
                                </a:xfrm>
                                <a:prstGeom prst="rect">
                                  <a:avLst/>
                                </a:prstGeom>
                                <a:noFill/>
                                <a:ln>
                                  <a:noFill/>
                                </a:ln>
                              </pic:spPr>
                            </pic:pic>
                          </a:graphicData>
                        </a:graphic>
                      </wp:inline>
                    </w:drawing>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30" w:hRule="atLeast"/>
                <w:jc w:val="center"/>
              </w:trPr>
              <w:tc>
                <w:tcPr>
                  <w:tcW w:w="1083" w:type="dxa"/>
                  <w:noWrap w:val="0"/>
                  <w:vAlign w:val="center"/>
                </w:tcPr>
                <w:p>
                  <w:pPr>
                    <w:adjustRightInd w:val="0"/>
                    <w:snapToGrid w:val="0"/>
                    <w:jc w:val="center"/>
                    <w:rPr>
                      <w:rFonts w:hint="eastAsia"/>
                      <w:color w:val="auto"/>
                      <w:sz w:val="18"/>
                      <w:szCs w:val="18"/>
                    </w:rPr>
                  </w:pPr>
                  <w:r>
                    <w:rPr>
                      <w:rFonts w:hint="eastAsia"/>
                      <w:color w:val="auto"/>
                      <w:sz w:val="18"/>
                      <w:szCs w:val="18"/>
                    </w:rPr>
                    <w:t>危险废物贮存分区标志</w:t>
                  </w:r>
                </w:p>
              </w:tc>
              <w:tc>
                <w:tcPr>
                  <w:tcW w:w="1087" w:type="dxa"/>
                  <w:noWrap w:val="0"/>
                  <w:vAlign w:val="center"/>
                </w:tcPr>
                <w:p>
                  <w:pPr>
                    <w:adjustRightInd w:val="0"/>
                    <w:snapToGrid w:val="0"/>
                    <w:jc w:val="center"/>
                    <w:rPr>
                      <w:rFonts w:hint="eastAsia"/>
                      <w:color w:val="auto"/>
                      <w:sz w:val="18"/>
                      <w:szCs w:val="18"/>
                    </w:rPr>
                  </w:pPr>
                  <w:r>
                    <w:rPr>
                      <w:rFonts w:hint="eastAsia"/>
                      <w:color w:val="auto"/>
                      <w:sz w:val="18"/>
                      <w:szCs w:val="18"/>
                    </w:rPr>
                    <w:t>提示标志</w:t>
                  </w:r>
                </w:p>
              </w:tc>
              <w:tc>
                <w:tcPr>
                  <w:tcW w:w="1188" w:type="dxa"/>
                  <w:noWrap w:val="0"/>
                  <w:vAlign w:val="center"/>
                </w:tcPr>
                <w:p>
                  <w:pPr>
                    <w:adjustRightInd w:val="0"/>
                    <w:snapToGrid w:val="0"/>
                    <w:jc w:val="center"/>
                    <w:rPr>
                      <w:rFonts w:hint="eastAsia"/>
                      <w:color w:val="auto"/>
                      <w:sz w:val="18"/>
                      <w:szCs w:val="18"/>
                    </w:rPr>
                  </w:pPr>
                  <w:r>
                    <w:rPr>
                      <w:rFonts w:hint="eastAsia"/>
                      <w:color w:val="auto"/>
                      <w:sz w:val="18"/>
                      <w:szCs w:val="18"/>
                      <w:lang w:val="en-US" w:eastAsia="zh-CN"/>
                    </w:rPr>
                    <w:t>600</w:t>
                  </w:r>
                  <w:r>
                    <w:rPr>
                      <w:color w:val="auto"/>
                      <w:sz w:val="18"/>
                      <w:szCs w:val="18"/>
                    </w:rPr>
                    <w:t>×</w:t>
                  </w:r>
                  <w:r>
                    <w:rPr>
                      <w:rFonts w:hint="eastAsia"/>
                      <w:color w:val="auto"/>
                      <w:sz w:val="18"/>
                      <w:szCs w:val="18"/>
                      <w:lang w:val="en-US" w:eastAsia="zh-CN"/>
                    </w:rPr>
                    <w:t>600m</w:t>
                  </w:r>
                  <w:r>
                    <w:rPr>
                      <w:rFonts w:hint="eastAsia"/>
                      <w:color w:val="auto"/>
                      <w:sz w:val="18"/>
                      <w:szCs w:val="18"/>
                    </w:rPr>
                    <w:t>m</w:t>
                  </w:r>
                </w:p>
              </w:tc>
              <w:tc>
                <w:tcPr>
                  <w:tcW w:w="758" w:type="dxa"/>
                  <w:noWrap w:val="0"/>
                  <w:vAlign w:val="center"/>
                </w:tcPr>
                <w:p>
                  <w:pPr>
                    <w:adjustRightInd w:val="0"/>
                    <w:snapToGrid w:val="0"/>
                    <w:jc w:val="center"/>
                    <w:rPr>
                      <w:rFonts w:hint="eastAsia"/>
                      <w:color w:val="auto"/>
                      <w:sz w:val="18"/>
                      <w:szCs w:val="18"/>
                    </w:rPr>
                  </w:pPr>
                  <w:r>
                    <w:rPr>
                      <w:rFonts w:hint="eastAsia"/>
                      <w:color w:val="auto"/>
                      <w:sz w:val="18"/>
                      <w:szCs w:val="18"/>
                    </w:rPr>
                    <w:t>黄色</w:t>
                  </w:r>
                </w:p>
              </w:tc>
              <w:tc>
                <w:tcPr>
                  <w:tcW w:w="758" w:type="dxa"/>
                  <w:noWrap w:val="0"/>
                  <w:vAlign w:val="center"/>
                </w:tcPr>
                <w:p>
                  <w:pPr>
                    <w:adjustRightInd w:val="0"/>
                    <w:snapToGrid w:val="0"/>
                    <w:jc w:val="center"/>
                    <w:rPr>
                      <w:rFonts w:hint="eastAsia" w:eastAsia="宋体"/>
                      <w:color w:val="auto"/>
                      <w:sz w:val="18"/>
                      <w:szCs w:val="18"/>
                      <w:lang w:eastAsia="zh-CN"/>
                    </w:rPr>
                  </w:pPr>
                  <w:r>
                    <w:rPr>
                      <w:rFonts w:hint="eastAsia"/>
                      <w:color w:val="auto"/>
                      <w:sz w:val="18"/>
                      <w:szCs w:val="18"/>
                      <w:lang w:val="en-US" w:eastAsia="zh-CN"/>
                    </w:rPr>
                    <w:t>橘黄色</w:t>
                  </w:r>
                </w:p>
              </w:tc>
              <w:tc>
                <w:tcPr>
                  <w:tcW w:w="2782" w:type="dxa"/>
                  <w:noWrap w:val="0"/>
                  <w:vAlign w:val="center"/>
                </w:tcPr>
                <w:p>
                  <w:pPr>
                    <w:adjustRightInd w:val="0"/>
                    <w:snapToGrid w:val="0"/>
                    <w:jc w:val="center"/>
                    <w:rPr>
                      <w:rFonts w:hint="eastAsia" w:eastAsia="宋体"/>
                      <w:color w:val="auto"/>
                      <w:sz w:val="18"/>
                      <w:szCs w:val="18"/>
                      <w:lang w:eastAsia="zh-CN"/>
                    </w:rPr>
                  </w:pPr>
                  <w:r>
                    <w:rPr>
                      <w:rFonts w:hint="eastAsia" w:eastAsia="宋体"/>
                      <w:color w:val="auto"/>
                      <w:sz w:val="18"/>
                      <w:szCs w:val="18"/>
                      <w:lang w:eastAsia="zh-CN"/>
                    </w:rPr>
                    <w:drawing>
                      <wp:inline distT="0" distB="0" distL="114300" distR="114300">
                        <wp:extent cx="1715135" cy="1188085"/>
                        <wp:effectExtent l="0" t="0" r="18415" b="12065"/>
                        <wp:docPr id="99" name="图片 8" descr="QQ截图20230511093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8" descr="QQ截图20230511093704"/>
                                <pic:cNvPicPr>
                                  <a:picLocks noChangeAspect="1"/>
                                </pic:cNvPicPr>
                              </pic:nvPicPr>
                              <pic:blipFill>
                                <a:blip r:embed="rId28"/>
                                <a:stretch>
                                  <a:fillRect/>
                                </a:stretch>
                              </pic:blipFill>
                              <pic:spPr>
                                <a:xfrm>
                                  <a:off x="0" y="0"/>
                                  <a:ext cx="1715135" cy="1188085"/>
                                </a:xfrm>
                                <a:prstGeom prst="rect">
                                  <a:avLst/>
                                </a:prstGeom>
                                <a:noFill/>
                                <a:ln>
                                  <a:noFill/>
                                </a:ln>
                              </pic:spPr>
                            </pic:pic>
                          </a:graphicData>
                        </a:graphic>
                      </wp:inline>
                    </w:drawing>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60" w:hRule="atLeast"/>
                <w:jc w:val="center"/>
              </w:trPr>
              <w:tc>
                <w:tcPr>
                  <w:tcW w:w="1083" w:type="dxa"/>
                  <w:noWrap w:val="0"/>
                  <w:vAlign w:val="center"/>
                </w:tcPr>
                <w:p>
                  <w:pPr>
                    <w:adjustRightInd w:val="0"/>
                    <w:snapToGrid w:val="0"/>
                    <w:jc w:val="center"/>
                    <w:rPr>
                      <w:rFonts w:hint="eastAsia"/>
                      <w:color w:val="auto"/>
                      <w:sz w:val="18"/>
                      <w:szCs w:val="18"/>
                    </w:rPr>
                  </w:pPr>
                  <w:r>
                    <w:rPr>
                      <w:rFonts w:hint="eastAsia"/>
                      <w:color w:val="auto"/>
                      <w:sz w:val="18"/>
                      <w:szCs w:val="18"/>
                    </w:rPr>
                    <w:t>危险废物</w:t>
                  </w:r>
                </w:p>
                <w:p>
                  <w:pPr>
                    <w:adjustRightInd w:val="0"/>
                    <w:snapToGrid w:val="0"/>
                    <w:jc w:val="center"/>
                    <w:rPr>
                      <w:rFonts w:hint="eastAsia"/>
                      <w:color w:val="auto"/>
                      <w:sz w:val="18"/>
                      <w:szCs w:val="18"/>
                    </w:rPr>
                  </w:pPr>
                  <w:r>
                    <w:rPr>
                      <w:rFonts w:hint="eastAsia"/>
                      <w:color w:val="auto"/>
                      <w:sz w:val="18"/>
                      <w:szCs w:val="18"/>
                    </w:rPr>
                    <w:t>标签</w:t>
                  </w:r>
                </w:p>
              </w:tc>
              <w:tc>
                <w:tcPr>
                  <w:tcW w:w="1087" w:type="dxa"/>
                  <w:noWrap w:val="0"/>
                  <w:vAlign w:val="center"/>
                </w:tcPr>
                <w:p>
                  <w:pPr>
                    <w:adjustRightInd w:val="0"/>
                    <w:snapToGrid w:val="0"/>
                    <w:jc w:val="center"/>
                    <w:rPr>
                      <w:rFonts w:hint="eastAsia"/>
                      <w:color w:val="auto"/>
                      <w:sz w:val="18"/>
                      <w:szCs w:val="18"/>
                    </w:rPr>
                  </w:pPr>
                  <w:r>
                    <w:rPr>
                      <w:rFonts w:hint="eastAsia"/>
                      <w:color w:val="auto"/>
                      <w:sz w:val="18"/>
                      <w:szCs w:val="18"/>
                    </w:rPr>
                    <w:t>危险废物</w:t>
                  </w:r>
                </w:p>
                <w:p>
                  <w:pPr>
                    <w:adjustRightInd w:val="0"/>
                    <w:snapToGrid w:val="0"/>
                    <w:jc w:val="center"/>
                    <w:rPr>
                      <w:rFonts w:hint="eastAsia"/>
                      <w:color w:val="auto"/>
                      <w:sz w:val="18"/>
                      <w:szCs w:val="18"/>
                    </w:rPr>
                  </w:pPr>
                  <w:r>
                    <w:rPr>
                      <w:rFonts w:hint="eastAsia"/>
                      <w:color w:val="auto"/>
                      <w:sz w:val="18"/>
                      <w:szCs w:val="18"/>
                    </w:rPr>
                    <w:t>标签</w:t>
                  </w:r>
                </w:p>
              </w:tc>
              <w:tc>
                <w:tcPr>
                  <w:tcW w:w="1188" w:type="dxa"/>
                  <w:noWrap w:val="0"/>
                  <w:vAlign w:val="center"/>
                </w:tcPr>
                <w:p>
                  <w:pPr>
                    <w:adjustRightInd w:val="0"/>
                    <w:snapToGrid w:val="0"/>
                    <w:jc w:val="center"/>
                    <w:rPr>
                      <w:rFonts w:hint="eastAsia"/>
                      <w:color w:val="auto"/>
                      <w:sz w:val="18"/>
                      <w:szCs w:val="18"/>
                    </w:rPr>
                  </w:pPr>
                  <w:r>
                    <w:rPr>
                      <w:rFonts w:hint="eastAsia"/>
                      <w:color w:val="auto"/>
                      <w:sz w:val="18"/>
                      <w:szCs w:val="18"/>
                      <w:lang w:val="en-US" w:eastAsia="zh-CN"/>
                    </w:rPr>
                    <w:t>100</w:t>
                  </w:r>
                  <w:r>
                    <w:rPr>
                      <w:color w:val="auto"/>
                      <w:sz w:val="18"/>
                      <w:szCs w:val="18"/>
                    </w:rPr>
                    <w:t>×</w:t>
                  </w:r>
                  <w:r>
                    <w:rPr>
                      <w:rFonts w:hint="eastAsia"/>
                      <w:color w:val="auto"/>
                      <w:sz w:val="18"/>
                      <w:szCs w:val="18"/>
                      <w:lang w:val="en-US" w:eastAsia="zh-CN"/>
                    </w:rPr>
                    <w:t>100m</w:t>
                  </w:r>
                  <w:r>
                    <w:rPr>
                      <w:rFonts w:hint="eastAsia"/>
                      <w:color w:val="auto"/>
                      <w:sz w:val="18"/>
                      <w:szCs w:val="18"/>
                    </w:rPr>
                    <w:t>m</w:t>
                  </w:r>
                </w:p>
              </w:tc>
              <w:tc>
                <w:tcPr>
                  <w:tcW w:w="758" w:type="dxa"/>
                  <w:noWrap w:val="0"/>
                  <w:vAlign w:val="center"/>
                </w:tcPr>
                <w:p>
                  <w:pPr>
                    <w:adjustRightInd w:val="0"/>
                    <w:snapToGrid w:val="0"/>
                    <w:jc w:val="center"/>
                    <w:rPr>
                      <w:rFonts w:hint="eastAsia" w:eastAsia="宋体"/>
                      <w:color w:val="auto"/>
                      <w:sz w:val="18"/>
                      <w:szCs w:val="18"/>
                      <w:lang w:eastAsia="zh-CN"/>
                    </w:rPr>
                  </w:pPr>
                  <w:r>
                    <w:rPr>
                      <w:rFonts w:hint="eastAsia"/>
                      <w:color w:val="auto"/>
                      <w:sz w:val="18"/>
                      <w:szCs w:val="18"/>
                      <w:lang w:eastAsia="zh-CN"/>
                    </w:rPr>
                    <w:t>橘黄色</w:t>
                  </w:r>
                </w:p>
              </w:tc>
              <w:tc>
                <w:tcPr>
                  <w:tcW w:w="758" w:type="dxa"/>
                  <w:noWrap w:val="0"/>
                  <w:vAlign w:val="center"/>
                </w:tcPr>
                <w:p>
                  <w:pPr>
                    <w:adjustRightInd w:val="0"/>
                    <w:snapToGrid w:val="0"/>
                    <w:jc w:val="center"/>
                    <w:rPr>
                      <w:rFonts w:hint="eastAsia"/>
                      <w:color w:val="auto"/>
                      <w:sz w:val="18"/>
                      <w:szCs w:val="18"/>
                    </w:rPr>
                  </w:pPr>
                  <w:r>
                    <w:rPr>
                      <w:rFonts w:hint="eastAsia"/>
                      <w:color w:val="auto"/>
                      <w:sz w:val="18"/>
                      <w:szCs w:val="18"/>
                    </w:rPr>
                    <w:t>黑色</w:t>
                  </w:r>
                </w:p>
              </w:tc>
              <w:tc>
                <w:tcPr>
                  <w:tcW w:w="2782" w:type="dxa"/>
                  <w:noWrap w:val="0"/>
                  <w:vAlign w:val="center"/>
                </w:tcPr>
                <w:p>
                  <w:pPr>
                    <w:adjustRightInd w:val="0"/>
                    <w:snapToGrid w:val="0"/>
                    <w:jc w:val="center"/>
                    <w:rPr>
                      <w:rFonts w:hint="eastAsia" w:eastAsia="宋体"/>
                      <w:color w:val="auto"/>
                      <w:sz w:val="18"/>
                      <w:szCs w:val="18"/>
                      <w:lang w:eastAsia="zh-CN"/>
                    </w:rPr>
                  </w:pPr>
                  <w:r>
                    <w:rPr>
                      <w:rFonts w:hint="eastAsia" w:eastAsia="宋体"/>
                      <w:color w:val="auto"/>
                      <w:sz w:val="18"/>
                      <w:szCs w:val="18"/>
                      <w:lang w:eastAsia="zh-CN"/>
                    </w:rPr>
                    <w:drawing>
                      <wp:inline distT="0" distB="0" distL="114300" distR="114300">
                        <wp:extent cx="1706245" cy="1165225"/>
                        <wp:effectExtent l="0" t="0" r="8255" b="15875"/>
                        <wp:docPr id="97" name="图片 9" descr="QQ截图2023051109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 descr="QQ截图20230511094301"/>
                                <pic:cNvPicPr>
                                  <a:picLocks noChangeAspect="1"/>
                                </pic:cNvPicPr>
                              </pic:nvPicPr>
                              <pic:blipFill>
                                <a:blip r:embed="rId29"/>
                                <a:stretch>
                                  <a:fillRect/>
                                </a:stretch>
                              </pic:blipFill>
                              <pic:spPr>
                                <a:xfrm>
                                  <a:off x="0" y="0"/>
                                  <a:ext cx="1706245" cy="1165225"/>
                                </a:xfrm>
                                <a:prstGeom prst="rect">
                                  <a:avLst/>
                                </a:prstGeom>
                                <a:noFill/>
                                <a:ln>
                                  <a:noFill/>
                                </a:ln>
                              </pic:spPr>
                            </pic:pic>
                          </a:graphicData>
                        </a:graphic>
                      </wp:inline>
                    </w:drawing>
                  </w:r>
                </w:p>
              </w:tc>
            </w:tr>
          </w:tbl>
          <w:p>
            <w:pPr>
              <w:adjustRightInd w:val="0"/>
              <w:snapToGrid w:val="0"/>
              <w:spacing w:line="500" w:lineRule="exact"/>
              <w:ind w:firstLine="422" w:firstLineChars="200"/>
              <w:rPr>
                <w:rFonts w:hint="eastAsia" w:ascii="Times New Roman" w:hAnsi="Times New Roman" w:eastAsia="宋体" w:cs="Times New Roman"/>
                <w:b/>
                <w:color w:val="auto"/>
                <w:szCs w:val="21"/>
                <w:lang w:val="en-US" w:eastAsia="zh-CN"/>
              </w:rPr>
            </w:pPr>
            <w:r>
              <w:rPr>
                <w:rFonts w:hint="eastAsia" w:ascii="Times New Roman" w:hAnsi="Times New Roman" w:eastAsia="宋体" w:cs="Times New Roman"/>
                <w:b/>
                <w:color w:val="auto"/>
                <w:szCs w:val="21"/>
                <w:lang w:val="en-US" w:eastAsia="zh-CN"/>
              </w:rPr>
              <w:t>九、环保竣工验收监测计划</w:t>
            </w:r>
          </w:p>
          <w:p>
            <w:pPr>
              <w:adjustRightInd w:val="0"/>
              <w:snapToGrid w:val="0"/>
              <w:spacing w:line="500" w:lineRule="exact"/>
              <w:ind w:firstLine="422" w:firstLineChars="200"/>
              <w:rPr>
                <w:rFonts w:hint="eastAsia"/>
                <w:b w:val="0"/>
                <w:bCs/>
                <w:color w:val="auto"/>
                <w:szCs w:val="21"/>
                <w:highlight w:val="none"/>
                <w:lang w:val="en-US" w:eastAsia="zh-CN"/>
              </w:rPr>
            </w:pPr>
            <w:r>
              <w:rPr>
                <w:rFonts w:hint="eastAsia" w:ascii="Times New Roman" w:hAnsi="Times New Roman" w:eastAsia="宋体" w:cs="Times New Roman"/>
                <w:b/>
                <w:color w:val="auto"/>
                <w:szCs w:val="21"/>
                <w:highlight w:val="none"/>
                <w:lang w:val="en-US" w:eastAsia="zh-CN"/>
              </w:rPr>
              <w:t>环保竣工验收内容：</w:t>
            </w:r>
          </w:p>
          <w:p>
            <w:pPr>
              <w:adjustRightInd w:val="0"/>
              <w:snapToGrid w:val="0"/>
              <w:spacing w:line="500" w:lineRule="exact"/>
              <w:ind w:firstLine="420" w:firstLineChars="200"/>
              <w:rPr>
                <w:rFonts w:hint="eastAsia"/>
                <w:b w:val="0"/>
                <w:bCs/>
                <w:color w:val="auto"/>
                <w:szCs w:val="21"/>
                <w:highlight w:val="none"/>
                <w:lang w:val="en-US" w:eastAsia="zh-CN"/>
              </w:rPr>
            </w:pPr>
            <w:r>
              <w:rPr>
                <w:rFonts w:hint="eastAsia"/>
                <w:b w:val="0"/>
                <w:bCs/>
                <w:color w:val="auto"/>
                <w:szCs w:val="21"/>
                <w:highlight w:val="none"/>
                <w:lang w:val="en-US" w:eastAsia="zh-CN"/>
              </w:rPr>
              <w:t>项目环保竣工验收内容主要为：工程建设基本情况、工程变动情况、环境保护设施落实情况、环境保护设施调试效果、工程建设对环境的影响、验收结论和后续要求等内容。</w:t>
            </w:r>
          </w:p>
          <w:p>
            <w:pPr>
              <w:adjustRightInd w:val="0"/>
              <w:snapToGrid w:val="0"/>
              <w:spacing w:line="500" w:lineRule="exact"/>
              <w:ind w:firstLine="420" w:firstLineChars="200"/>
              <w:rPr>
                <w:rFonts w:hint="eastAsia"/>
                <w:bCs/>
                <w:color w:val="auto"/>
                <w:szCs w:val="21"/>
              </w:rPr>
            </w:pPr>
            <w:r>
              <w:rPr>
                <w:rFonts w:hint="eastAsia"/>
                <w:bCs/>
                <w:color w:val="auto"/>
                <w:szCs w:val="21"/>
                <w:lang w:val="en-US" w:eastAsia="zh-CN"/>
              </w:rPr>
              <w:t>环保</w:t>
            </w:r>
            <w:r>
              <w:rPr>
                <w:rFonts w:hint="eastAsia"/>
                <w:bCs/>
                <w:color w:val="auto"/>
                <w:szCs w:val="21"/>
              </w:rPr>
              <w:t>竣工验收监测计划主要从以下几方面入手：</w:t>
            </w:r>
          </w:p>
          <w:p>
            <w:pPr>
              <w:adjustRightInd w:val="0"/>
              <w:snapToGrid w:val="0"/>
              <w:spacing w:line="500" w:lineRule="exact"/>
              <w:ind w:firstLine="420" w:firstLineChars="200"/>
              <w:rPr>
                <w:rFonts w:hint="eastAsia"/>
                <w:bCs/>
                <w:color w:val="auto"/>
                <w:szCs w:val="21"/>
              </w:rPr>
            </w:pPr>
            <w:r>
              <w:rPr>
                <w:rFonts w:hint="eastAsia"/>
                <w:bCs/>
                <w:color w:val="auto"/>
                <w:szCs w:val="21"/>
              </w:rPr>
              <w:t>1、各生产装置的实际生产能力是否具备竣工验收条件，如项目分期建设，则“三同时”验收也相应</w:t>
            </w:r>
            <w:r>
              <w:rPr>
                <w:rFonts w:hint="eastAsia"/>
                <w:bCs/>
                <w:color w:val="auto"/>
                <w:szCs w:val="21"/>
                <w:lang w:eastAsia="zh-CN"/>
              </w:rPr>
              <w:t>地</w:t>
            </w:r>
            <w:r>
              <w:rPr>
                <w:rFonts w:hint="eastAsia"/>
                <w:bCs/>
                <w:color w:val="auto"/>
                <w:szCs w:val="21"/>
              </w:rPr>
              <w:t>分期进行。</w:t>
            </w:r>
          </w:p>
          <w:p>
            <w:pPr>
              <w:adjustRightInd w:val="0"/>
              <w:snapToGrid w:val="0"/>
              <w:spacing w:line="500" w:lineRule="exact"/>
              <w:ind w:firstLine="420" w:firstLineChars="200"/>
              <w:rPr>
                <w:rFonts w:hint="eastAsia"/>
                <w:bCs/>
                <w:color w:val="auto"/>
                <w:szCs w:val="21"/>
              </w:rPr>
            </w:pPr>
            <w:r>
              <w:rPr>
                <w:rFonts w:hint="eastAsia"/>
                <w:bCs/>
                <w:color w:val="auto"/>
                <w:szCs w:val="21"/>
              </w:rPr>
              <w:t>2、按照“三同时”要求，各项环保设施是否安装到位，运转是否正常。</w:t>
            </w:r>
          </w:p>
          <w:p>
            <w:pPr>
              <w:adjustRightInd w:val="0"/>
              <w:snapToGrid w:val="0"/>
              <w:spacing w:line="500" w:lineRule="exact"/>
              <w:ind w:firstLine="420" w:firstLineChars="200"/>
              <w:rPr>
                <w:rFonts w:hint="eastAsia"/>
                <w:bCs/>
                <w:color w:val="auto"/>
                <w:szCs w:val="21"/>
              </w:rPr>
            </w:pPr>
            <w:r>
              <w:rPr>
                <w:rFonts w:hint="eastAsia"/>
                <w:bCs/>
                <w:color w:val="auto"/>
                <w:szCs w:val="21"/>
              </w:rPr>
              <w:t>3、在厂界下风向布设厂界无组织监控点。</w:t>
            </w:r>
          </w:p>
          <w:p>
            <w:pPr>
              <w:adjustRightInd w:val="0"/>
              <w:snapToGrid w:val="0"/>
              <w:spacing w:line="500" w:lineRule="exact"/>
              <w:ind w:firstLine="420" w:firstLineChars="200"/>
              <w:rPr>
                <w:rFonts w:hint="eastAsia"/>
                <w:bCs/>
                <w:color w:val="auto"/>
                <w:szCs w:val="21"/>
              </w:rPr>
            </w:pPr>
            <w:r>
              <w:rPr>
                <w:rFonts w:hint="eastAsia"/>
                <w:bCs/>
                <w:color w:val="auto"/>
                <w:szCs w:val="21"/>
              </w:rPr>
              <w:t>4、各废气有组织排放口采样监测。</w:t>
            </w:r>
          </w:p>
          <w:p>
            <w:pPr>
              <w:adjustRightInd w:val="0"/>
              <w:snapToGrid w:val="0"/>
              <w:spacing w:line="500" w:lineRule="exact"/>
              <w:ind w:firstLine="420" w:firstLineChars="200"/>
              <w:rPr>
                <w:rFonts w:hint="eastAsia"/>
                <w:bCs/>
                <w:color w:val="auto"/>
                <w:szCs w:val="21"/>
              </w:rPr>
            </w:pPr>
            <w:r>
              <w:rPr>
                <w:rFonts w:hint="eastAsia"/>
                <w:bCs/>
                <w:color w:val="auto"/>
                <w:szCs w:val="21"/>
              </w:rPr>
              <w:t>5、生活污水、生产废水排放口采样监测。</w:t>
            </w:r>
          </w:p>
          <w:p>
            <w:pPr>
              <w:adjustRightInd w:val="0"/>
              <w:snapToGrid w:val="0"/>
              <w:spacing w:line="500" w:lineRule="exact"/>
              <w:ind w:firstLine="420" w:firstLineChars="200"/>
              <w:rPr>
                <w:rFonts w:hint="eastAsia"/>
                <w:bCs/>
                <w:color w:val="auto"/>
                <w:szCs w:val="21"/>
              </w:rPr>
            </w:pPr>
            <w:r>
              <w:rPr>
                <w:rFonts w:hint="eastAsia"/>
                <w:bCs/>
                <w:color w:val="auto"/>
                <w:szCs w:val="21"/>
              </w:rPr>
              <w:t>6、厂界噪声点布设监测，布点原则与现状监测布点一致。</w:t>
            </w:r>
          </w:p>
          <w:p>
            <w:pPr>
              <w:adjustRightInd w:val="0"/>
              <w:snapToGrid w:val="0"/>
              <w:spacing w:line="500" w:lineRule="exact"/>
              <w:ind w:firstLine="420" w:firstLineChars="200"/>
              <w:rPr>
                <w:rFonts w:hint="eastAsia"/>
                <w:bCs/>
                <w:color w:val="auto"/>
                <w:szCs w:val="21"/>
              </w:rPr>
            </w:pPr>
            <w:r>
              <w:rPr>
                <w:rFonts w:hint="eastAsia"/>
                <w:bCs/>
                <w:color w:val="auto"/>
                <w:szCs w:val="21"/>
              </w:rPr>
              <w:t>7、固体废物处理情况。</w:t>
            </w:r>
          </w:p>
          <w:p>
            <w:pPr>
              <w:adjustRightInd w:val="0"/>
              <w:snapToGrid w:val="0"/>
              <w:spacing w:line="500" w:lineRule="exact"/>
              <w:ind w:firstLine="420" w:firstLineChars="200"/>
              <w:rPr>
                <w:rFonts w:hint="eastAsia"/>
                <w:bCs/>
                <w:color w:val="auto"/>
                <w:szCs w:val="21"/>
              </w:rPr>
            </w:pPr>
            <w:r>
              <w:rPr>
                <w:rFonts w:hint="eastAsia"/>
                <w:bCs/>
                <w:color w:val="auto"/>
                <w:szCs w:val="21"/>
              </w:rPr>
              <w:t>9、是否有风险应急预案和应急计划。</w:t>
            </w:r>
          </w:p>
          <w:p>
            <w:pPr>
              <w:adjustRightInd w:val="0"/>
              <w:snapToGrid w:val="0"/>
              <w:spacing w:line="500" w:lineRule="exact"/>
              <w:ind w:firstLine="420" w:firstLineChars="200"/>
              <w:rPr>
                <w:rFonts w:hint="eastAsia"/>
                <w:bCs/>
                <w:color w:val="auto"/>
                <w:szCs w:val="21"/>
              </w:rPr>
            </w:pPr>
            <w:r>
              <w:rPr>
                <w:rFonts w:hint="eastAsia"/>
                <w:bCs/>
                <w:color w:val="auto"/>
                <w:szCs w:val="21"/>
              </w:rPr>
              <w:t>10、污染物排放总量的核算，各指标是否控制在环评批复范围内。</w:t>
            </w:r>
          </w:p>
          <w:p>
            <w:pPr>
              <w:adjustRightInd w:val="0"/>
              <w:snapToGrid w:val="0"/>
              <w:spacing w:line="500" w:lineRule="exact"/>
              <w:ind w:firstLine="420" w:firstLineChars="200"/>
              <w:rPr>
                <w:rFonts w:hint="eastAsia"/>
                <w:bCs/>
                <w:color w:val="auto"/>
                <w:szCs w:val="21"/>
              </w:rPr>
            </w:pPr>
            <w:r>
              <w:rPr>
                <w:rFonts w:hint="eastAsia"/>
                <w:bCs/>
                <w:color w:val="auto"/>
                <w:szCs w:val="21"/>
              </w:rPr>
              <w:t>11、检查各排污口是否设置规范化。</w:t>
            </w:r>
          </w:p>
          <w:p>
            <w:pPr>
              <w:adjustRightInd w:val="0"/>
              <w:snapToGrid w:val="0"/>
              <w:spacing w:line="500" w:lineRule="exact"/>
              <w:ind w:firstLine="420" w:firstLineChars="200"/>
              <w:rPr>
                <w:rFonts w:hint="eastAsia"/>
                <w:b/>
                <w:color w:val="auto"/>
                <w:szCs w:val="21"/>
              </w:rPr>
            </w:pPr>
            <w:r>
              <w:rPr>
                <w:rFonts w:hint="eastAsia"/>
                <w:bCs/>
                <w:color w:val="auto"/>
                <w:szCs w:val="21"/>
              </w:rPr>
              <w:t>项目验收监测方案见下表。</w:t>
            </w:r>
          </w:p>
          <w:p>
            <w:pPr>
              <w:adjustRightInd w:val="0"/>
              <w:snapToGrid w:val="0"/>
              <w:spacing w:line="500" w:lineRule="exact"/>
              <w:jc w:val="center"/>
              <w:rPr>
                <w:rFonts w:hint="eastAsia"/>
                <w:b/>
                <w:color w:val="auto"/>
                <w:szCs w:val="21"/>
              </w:rPr>
            </w:pPr>
            <w:r>
              <w:rPr>
                <w:rFonts w:hint="eastAsia"/>
                <w:b/>
                <w:color w:val="auto"/>
                <w:szCs w:val="21"/>
              </w:rPr>
              <w:t>表</w:t>
            </w:r>
            <w:r>
              <w:rPr>
                <w:rFonts w:hint="eastAsia"/>
                <w:b/>
                <w:color w:val="auto"/>
                <w:szCs w:val="21"/>
                <w:lang w:val="en-US" w:eastAsia="zh-CN"/>
              </w:rPr>
              <w:t xml:space="preserve">4-31 </w:t>
            </w:r>
            <w:r>
              <w:rPr>
                <w:rFonts w:hint="eastAsia"/>
                <w:b/>
                <w:color w:val="auto"/>
                <w:szCs w:val="21"/>
                <w:lang w:eastAsia="zh-CN"/>
              </w:rPr>
              <w:t xml:space="preserve"> </w:t>
            </w:r>
            <w:r>
              <w:rPr>
                <w:rFonts w:hint="eastAsia"/>
                <w:b/>
                <w:color w:val="auto"/>
                <w:szCs w:val="21"/>
              </w:rPr>
              <w:t>项目验收监测方案一览表</w:t>
            </w:r>
          </w:p>
          <w:tbl>
            <w:tblPr>
              <w:tblStyle w:val="21"/>
              <w:tblW w:w="795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24"/>
              <w:gridCol w:w="1331"/>
              <w:gridCol w:w="1545"/>
              <w:gridCol w:w="2595"/>
              <w:gridCol w:w="14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024" w:type="dxa"/>
                  <w:noWrap w:val="0"/>
                  <w:vAlign w:val="center"/>
                </w:tcPr>
                <w:p>
                  <w:pPr>
                    <w:jc w:val="center"/>
                    <w:rPr>
                      <w:rFonts w:ascii="Times New Roman" w:hAnsi="Times New Roman" w:eastAsia="宋体" w:cs="Times New Roman"/>
                      <w:b/>
                      <w:bCs/>
                      <w:color w:val="auto"/>
                      <w:sz w:val="18"/>
                      <w:szCs w:val="18"/>
                    </w:rPr>
                  </w:pPr>
                  <w:r>
                    <w:rPr>
                      <w:rFonts w:hint="eastAsia" w:ascii="Times New Roman" w:hAnsi="Times New Roman" w:eastAsia="宋体" w:cs="Times New Roman"/>
                      <w:b/>
                      <w:bCs/>
                      <w:color w:val="auto"/>
                      <w:sz w:val="18"/>
                      <w:szCs w:val="18"/>
                    </w:rPr>
                    <w:t>类别</w:t>
                  </w:r>
                </w:p>
              </w:tc>
              <w:tc>
                <w:tcPr>
                  <w:tcW w:w="1331" w:type="dxa"/>
                  <w:noWrap w:val="0"/>
                  <w:vAlign w:val="center"/>
                </w:tcPr>
                <w:p>
                  <w:pPr>
                    <w:jc w:val="center"/>
                    <w:rPr>
                      <w:rFonts w:ascii="Times New Roman" w:hAnsi="Times New Roman" w:eastAsia="宋体" w:cs="Times New Roman"/>
                      <w:b/>
                      <w:bCs/>
                      <w:color w:val="auto"/>
                      <w:sz w:val="18"/>
                      <w:szCs w:val="18"/>
                    </w:rPr>
                  </w:pPr>
                  <w:r>
                    <w:rPr>
                      <w:rFonts w:hint="eastAsia" w:ascii="Times New Roman" w:hAnsi="Times New Roman" w:eastAsia="宋体" w:cs="Times New Roman"/>
                      <w:b/>
                      <w:bCs/>
                      <w:color w:val="auto"/>
                      <w:sz w:val="18"/>
                      <w:szCs w:val="18"/>
                    </w:rPr>
                    <w:t>设施</w:t>
                  </w:r>
                </w:p>
              </w:tc>
              <w:tc>
                <w:tcPr>
                  <w:tcW w:w="1545" w:type="dxa"/>
                  <w:noWrap w:val="0"/>
                  <w:vAlign w:val="center"/>
                </w:tcPr>
                <w:p>
                  <w:pPr>
                    <w:jc w:val="center"/>
                    <w:rPr>
                      <w:rFonts w:ascii="Times New Roman" w:hAnsi="Times New Roman" w:eastAsia="宋体" w:cs="Times New Roman"/>
                      <w:b/>
                      <w:bCs/>
                      <w:color w:val="auto"/>
                      <w:sz w:val="18"/>
                      <w:szCs w:val="18"/>
                    </w:rPr>
                  </w:pPr>
                  <w:r>
                    <w:rPr>
                      <w:rFonts w:hint="eastAsia" w:ascii="Times New Roman" w:hAnsi="Times New Roman" w:eastAsia="宋体" w:cs="Times New Roman"/>
                      <w:b/>
                      <w:bCs/>
                      <w:color w:val="auto"/>
                      <w:sz w:val="18"/>
                      <w:szCs w:val="18"/>
                    </w:rPr>
                    <w:t>采样点</w:t>
                  </w:r>
                </w:p>
              </w:tc>
              <w:tc>
                <w:tcPr>
                  <w:tcW w:w="2595" w:type="dxa"/>
                  <w:noWrap w:val="0"/>
                  <w:vAlign w:val="center"/>
                </w:tcPr>
                <w:p>
                  <w:pPr>
                    <w:jc w:val="center"/>
                    <w:rPr>
                      <w:rFonts w:ascii="Times New Roman" w:hAnsi="Times New Roman" w:eastAsia="宋体" w:cs="Times New Roman"/>
                      <w:b/>
                      <w:bCs/>
                      <w:color w:val="auto"/>
                      <w:sz w:val="18"/>
                      <w:szCs w:val="18"/>
                    </w:rPr>
                  </w:pPr>
                  <w:r>
                    <w:rPr>
                      <w:rFonts w:hint="eastAsia" w:ascii="Times New Roman" w:hAnsi="Times New Roman" w:eastAsia="宋体" w:cs="Times New Roman"/>
                      <w:b/>
                      <w:bCs/>
                      <w:color w:val="auto"/>
                      <w:sz w:val="18"/>
                      <w:szCs w:val="18"/>
                    </w:rPr>
                    <w:t>验收（监测）内容</w:t>
                  </w:r>
                </w:p>
              </w:tc>
              <w:tc>
                <w:tcPr>
                  <w:tcW w:w="1457" w:type="dxa"/>
                  <w:noWrap w:val="0"/>
                  <w:vAlign w:val="center"/>
                </w:tcPr>
                <w:p>
                  <w:pPr>
                    <w:jc w:val="center"/>
                    <w:rPr>
                      <w:rFonts w:ascii="Times New Roman" w:hAnsi="Times New Roman" w:eastAsia="宋体" w:cs="Times New Roman"/>
                      <w:b/>
                      <w:bCs/>
                      <w:color w:val="auto"/>
                      <w:sz w:val="18"/>
                      <w:szCs w:val="18"/>
                    </w:rPr>
                  </w:pPr>
                  <w:r>
                    <w:rPr>
                      <w:rFonts w:hint="eastAsia" w:ascii="Times New Roman" w:hAnsi="Times New Roman" w:eastAsia="宋体" w:cs="Times New Roman"/>
                      <w:b/>
                      <w:bCs/>
                      <w:color w:val="auto"/>
                      <w:sz w:val="18"/>
                      <w:szCs w:val="18"/>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024" w:type="dxa"/>
                  <w:noWrap w:val="0"/>
                  <w:vAlign w:val="center"/>
                </w:tcPr>
                <w:p>
                  <w:pPr>
                    <w:jc w:val="center"/>
                    <w:rPr>
                      <w:rFonts w:hint="eastAsia" w:eastAsia="宋体"/>
                      <w:color w:val="auto"/>
                      <w:sz w:val="18"/>
                      <w:szCs w:val="18"/>
                      <w:lang w:val="en-US" w:eastAsia="zh-CN"/>
                    </w:rPr>
                  </w:pPr>
                  <w:r>
                    <w:rPr>
                      <w:rFonts w:hint="eastAsia"/>
                      <w:color w:val="auto"/>
                      <w:sz w:val="18"/>
                      <w:szCs w:val="18"/>
                      <w:lang w:val="en-US" w:eastAsia="zh-CN"/>
                    </w:rPr>
                    <w:t>废水</w:t>
                  </w:r>
                </w:p>
              </w:tc>
              <w:tc>
                <w:tcPr>
                  <w:tcW w:w="1331" w:type="dxa"/>
                  <w:noWrap w:val="0"/>
                  <w:vAlign w:val="center"/>
                </w:tcPr>
                <w:p>
                  <w:pPr>
                    <w:jc w:val="center"/>
                    <w:rPr>
                      <w:rFonts w:hint="eastAsia" w:eastAsia="宋体"/>
                      <w:color w:val="auto"/>
                      <w:sz w:val="18"/>
                      <w:szCs w:val="18"/>
                      <w:lang w:val="en-US" w:eastAsia="zh-CN"/>
                    </w:rPr>
                  </w:pPr>
                  <w:r>
                    <w:rPr>
                      <w:rFonts w:hint="eastAsia"/>
                      <w:color w:val="auto"/>
                      <w:sz w:val="18"/>
                      <w:szCs w:val="18"/>
                      <w:lang w:val="en-US" w:eastAsia="zh-CN"/>
                    </w:rPr>
                    <w:t>/</w:t>
                  </w:r>
                </w:p>
              </w:tc>
              <w:tc>
                <w:tcPr>
                  <w:tcW w:w="1545" w:type="dxa"/>
                  <w:noWrap w:val="0"/>
                  <w:vAlign w:val="center"/>
                </w:tcPr>
                <w:p>
                  <w:pPr>
                    <w:jc w:val="center"/>
                    <w:rPr>
                      <w:rFonts w:hint="default" w:eastAsia="宋体"/>
                      <w:color w:val="auto"/>
                      <w:sz w:val="18"/>
                      <w:szCs w:val="18"/>
                      <w:lang w:val="en-US" w:eastAsia="zh-CN"/>
                    </w:rPr>
                  </w:pPr>
                  <w:r>
                    <w:rPr>
                      <w:rFonts w:hint="eastAsia"/>
                      <w:color w:val="auto"/>
                      <w:sz w:val="18"/>
                      <w:szCs w:val="18"/>
                      <w:lang w:val="en-US" w:eastAsia="zh-CN"/>
                    </w:rPr>
                    <w:t>厂区废水总排口</w:t>
                  </w:r>
                </w:p>
              </w:tc>
              <w:tc>
                <w:tcPr>
                  <w:tcW w:w="2595" w:type="dxa"/>
                  <w:noWrap w:val="0"/>
                  <w:vAlign w:val="center"/>
                </w:tcPr>
                <w:p>
                  <w:pPr>
                    <w:jc w:val="center"/>
                    <w:rPr>
                      <w:rFonts w:hint="eastAsia" w:eastAsia="宋体"/>
                      <w:color w:val="auto"/>
                      <w:sz w:val="18"/>
                      <w:szCs w:val="18"/>
                      <w:lang w:val="en-US" w:eastAsia="zh-CN"/>
                    </w:rPr>
                  </w:pPr>
                  <w:r>
                    <w:rPr>
                      <w:rFonts w:hint="eastAsia"/>
                      <w:color w:val="auto"/>
                      <w:sz w:val="18"/>
                      <w:szCs w:val="18"/>
                    </w:rPr>
                    <w:t>COD</w:t>
                  </w:r>
                  <w:r>
                    <w:rPr>
                      <w:rFonts w:hint="eastAsia"/>
                      <w:color w:val="auto"/>
                      <w:sz w:val="18"/>
                      <w:szCs w:val="18"/>
                      <w:lang w:eastAsia="zh-CN"/>
                    </w:rPr>
                    <w:t>、</w:t>
                  </w:r>
                  <w:r>
                    <w:rPr>
                      <w:rFonts w:hint="eastAsia"/>
                      <w:color w:val="auto"/>
                      <w:sz w:val="18"/>
                      <w:szCs w:val="18"/>
                    </w:rPr>
                    <w:t>SS</w:t>
                  </w:r>
                  <w:r>
                    <w:rPr>
                      <w:rFonts w:hint="eastAsia"/>
                      <w:color w:val="auto"/>
                      <w:sz w:val="18"/>
                      <w:szCs w:val="18"/>
                      <w:lang w:eastAsia="zh-CN"/>
                    </w:rPr>
                    <w:t>、</w:t>
                  </w:r>
                  <w:r>
                    <w:rPr>
                      <w:rFonts w:hint="eastAsia"/>
                      <w:color w:val="auto"/>
                      <w:sz w:val="18"/>
                      <w:szCs w:val="18"/>
                    </w:rPr>
                    <w:t>NH</w:t>
                  </w:r>
                  <w:r>
                    <w:rPr>
                      <w:rFonts w:hint="eastAsia"/>
                      <w:color w:val="auto"/>
                      <w:sz w:val="18"/>
                      <w:szCs w:val="18"/>
                      <w:vertAlign w:val="subscript"/>
                    </w:rPr>
                    <w:t>3</w:t>
                  </w:r>
                  <w:r>
                    <w:rPr>
                      <w:rFonts w:hint="eastAsia"/>
                      <w:color w:val="auto"/>
                      <w:sz w:val="18"/>
                      <w:szCs w:val="18"/>
                    </w:rPr>
                    <w:t>-N</w:t>
                  </w:r>
                  <w:r>
                    <w:rPr>
                      <w:rFonts w:hint="eastAsia"/>
                      <w:color w:val="auto"/>
                      <w:sz w:val="18"/>
                      <w:szCs w:val="18"/>
                      <w:lang w:eastAsia="zh-CN"/>
                    </w:rPr>
                    <w:t>、</w:t>
                  </w:r>
                  <w:r>
                    <w:rPr>
                      <w:rFonts w:hint="eastAsia"/>
                      <w:color w:val="auto"/>
                      <w:sz w:val="18"/>
                      <w:szCs w:val="18"/>
                    </w:rPr>
                    <w:t>TP</w:t>
                  </w:r>
                  <w:r>
                    <w:rPr>
                      <w:rFonts w:hint="eastAsia"/>
                      <w:color w:val="auto"/>
                      <w:sz w:val="18"/>
                      <w:szCs w:val="18"/>
                      <w:lang w:eastAsia="zh-CN"/>
                    </w:rPr>
                    <w:t>、</w:t>
                  </w:r>
                  <w:r>
                    <w:rPr>
                      <w:rFonts w:hint="eastAsia"/>
                      <w:color w:val="auto"/>
                      <w:sz w:val="18"/>
                      <w:szCs w:val="18"/>
                    </w:rPr>
                    <w:t>TN</w:t>
                  </w:r>
                  <w:r>
                    <w:rPr>
                      <w:rFonts w:hint="eastAsia"/>
                      <w:color w:val="auto"/>
                      <w:sz w:val="18"/>
                      <w:szCs w:val="18"/>
                      <w:lang w:eastAsia="zh-CN"/>
                    </w:rPr>
                    <w:t>、动植物油</w:t>
                  </w:r>
                </w:p>
              </w:tc>
              <w:tc>
                <w:tcPr>
                  <w:tcW w:w="1457" w:type="dxa"/>
                  <w:noWrap w:val="0"/>
                  <w:vAlign w:val="center"/>
                </w:tcPr>
                <w:p>
                  <w:pPr>
                    <w:jc w:val="center"/>
                    <w:rPr>
                      <w:color w:val="auto"/>
                      <w:sz w:val="18"/>
                      <w:szCs w:val="18"/>
                    </w:rPr>
                  </w:pPr>
                  <w:r>
                    <w:rPr>
                      <w:rFonts w:hint="eastAsia"/>
                      <w:color w:val="auto"/>
                      <w:sz w:val="18"/>
                      <w:szCs w:val="18"/>
                      <w:lang w:val="en-US" w:eastAsia="zh-CN"/>
                    </w:rPr>
                    <w:t>4</w:t>
                  </w:r>
                  <w:r>
                    <w:rPr>
                      <w:rFonts w:hint="eastAsia"/>
                      <w:color w:val="auto"/>
                      <w:sz w:val="18"/>
                      <w:szCs w:val="18"/>
                    </w:rPr>
                    <w:t>次/天，2天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024" w:type="dxa"/>
                  <w:vMerge w:val="restart"/>
                  <w:noWrap w:val="0"/>
                  <w:vAlign w:val="center"/>
                </w:tcPr>
                <w:p>
                  <w:pPr>
                    <w:jc w:val="center"/>
                    <w:rPr>
                      <w:rFonts w:hint="default"/>
                      <w:color w:val="auto"/>
                      <w:sz w:val="18"/>
                      <w:szCs w:val="18"/>
                      <w:lang w:val="en-US" w:eastAsia="zh-CN"/>
                    </w:rPr>
                  </w:pPr>
                  <w:r>
                    <w:rPr>
                      <w:rFonts w:hint="eastAsia"/>
                      <w:color w:val="auto"/>
                      <w:sz w:val="18"/>
                      <w:szCs w:val="18"/>
                      <w:lang w:val="en-US" w:eastAsia="zh-CN"/>
                    </w:rPr>
                    <w:t>废气</w:t>
                  </w:r>
                </w:p>
              </w:tc>
              <w:tc>
                <w:tcPr>
                  <w:tcW w:w="1331" w:type="dxa"/>
                  <w:noWrap w:val="0"/>
                  <w:vAlign w:val="center"/>
                </w:tcPr>
                <w:p>
                  <w:pPr>
                    <w:jc w:val="center"/>
                    <w:rPr>
                      <w:rFonts w:hint="default" w:eastAsia="宋体"/>
                      <w:color w:val="auto"/>
                      <w:sz w:val="18"/>
                      <w:szCs w:val="18"/>
                      <w:lang w:val="en-US" w:eastAsia="zh-CN"/>
                    </w:rPr>
                  </w:pPr>
                  <w:r>
                    <w:rPr>
                      <w:rFonts w:hint="eastAsia"/>
                      <w:color w:val="auto"/>
                      <w:sz w:val="18"/>
                      <w:szCs w:val="18"/>
                      <w:lang w:val="en-US" w:eastAsia="zh-CN"/>
                    </w:rPr>
                    <w:t>DA001排气筒</w:t>
                  </w:r>
                </w:p>
              </w:tc>
              <w:tc>
                <w:tcPr>
                  <w:tcW w:w="1545" w:type="dxa"/>
                  <w:noWrap w:val="0"/>
                  <w:vAlign w:val="center"/>
                </w:tcPr>
                <w:p>
                  <w:pPr>
                    <w:jc w:val="center"/>
                    <w:rPr>
                      <w:rFonts w:hint="eastAsia"/>
                      <w:color w:val="auto"/>
                      <w:sz w:val="18"/>
                      <w:szCs w:val="18"/>
                      <w:lang w:val="en-US" w:eastAsia="zh-CN"/>
                    </w:rPr>
                  </w:pPr>
                  <w:r>
                    <w:rPr>
                      <w:rFonts w:hint="eastAsia"/>
                      <w:color w:val="auto"/>
                      <w:sz w:val="18"/>
                      <w:szCs w:val="18"/>
                      <w:lang w:val="en-US" w:eastAsia="zh-CN"/>
                    </w:rPr>
                    <w:t>排气筒取样口</w:t>
                  </w:r>
                </w:p>
              </w:tc>
              <w:tc>
                <w:tcPr>
                  <w:tcW w:w="2595" w:type="dxa"/>
                  <w:noWrap w:val="0"/>
                  <w:vAlign w:val="center"/>
                </w:tcPr>
                <w:p>
                  <w:pPr>
                    <w:jc w:val="center"/>
                    <w:rPr>
                      <w:rFonts w:hint="default" w:eastAsia="宋体"/>
                      <w:color w:val="auto"/>
                      <w:sz w:val="18"/>
                      <w:szCs w:val="18"/>
                      <w:lang w:val="en-US" w:eastAsia="zh-CN"/>
                    </w:rPr>
                  </w:pPr>
                  <w:r>
                    <w:rPr>
                      <w:color w:val="auto"/>
                      <w:sz w:val="18"/>
                      <w:szCs w:val="18"/>
                    </w:rPr>
                    <w:t>SO</w:t>
                  </w:r>
                  <w:r>
                    <w:rPr>
                      <w:color w:val="auto"/>
                      <w:sz w:val="18"/>
                      <w:szCs w:val="18"/>
                      <w:vertAlign w:val="subscript"/>
                    </w:rPr>
                    <w:t>2</w:t>
                  </w:r>
                  <w:r>
                    <w:rPr>
                      <w:color w:val="auto"/>
                      <w:sz w:val="18"/>
                      <w:szCs w:val="18"/>
                    </w:rPr>
                    <w:t>、NO</w:t>
                  </w:r>
                  <w:r>
                    <w:rPr>
                      <w:color w:val="auto"/>
                      <w:sz w:val="18"/>
                      <w:szCs w:val="18"/>
                      <w:vertAlign w:val="subscript"/>
                    </w:rPr>
                    <w:t>x</w:t>
                  </w:r>
                  <w:r>
                    <w:rPr>
                      <w:color w:val="auto"/>
                      <w:sz w:val="18"/>
                      <w:szCs w:val="18"/>
                    </w:rPr>
                    <w:t>、颗粒物</w:t>
                  </w:r>
                  <w:r>
                    <w:rPr>
                      <w:rFonts w:hint="eastAsia"/>
                      <w:color w:val="auto"/>
                      <w:sz w:val="18"/>
                      <w:szCs w:val="18"/>
                      <w:lang w:eastAsia="zh-CN"/>
                    </w:rPr>
                    <w:t>、</w:t>
                  </w:r>
                  <w:r>
                    <w:rPr>
                      <w:rFonts w:hint="eastAsia" w:ascii="宋体" w:hAnsi="宋体" w:eastAsia="宋体" w:cs="宋体"/>
                      <w:b w:val="0"/>
                      <w:bCs w:val="0"/>
                      <w:color w:val="auto"/>
                      <w:sz w:val="18"/>
                      <w:szCs w:val="18"/>
                    </w:rPr>
                    <w:t>烟气黑度</w:t>
                  </w:r>
                </w:p>
              </w:tc>
              <w:tc>
                <w:tcPr>
                  <w:tcW w:w="1457" w:type="dxa"/>
                  <w:noWrap w:val="0"/>
                  <w:vAlign w:val="center"/>
                </w:tcPr>
                <w:p>
                  <w:pPr>
                    <w:jc w:val="center"/>
                    <w:rPr>
                      <w:rFonts w:hint="eastAsia"/>
                      <w:color w:val="auto"/>
                      <w:kern w:val="2"/>
                      <w:sz w:val="18"/>
                      <w:szCs w:val="18"/>
                      <w:lang w:val="en-US" w:eastAsia="zh-CN" w:bidi="ar-SA"/>
                    </w:rPr>
                  </w:pPr>
                  <w:r>
                    <w:rPr>
                      <w:rFonts w:hint="eastAsia"/>
                      <w:color w:val="auto"/>
                      <w:sz w:val="18"/>
                      <w:szCs w:val="18"/>
                    </w:rPr>
                    <w:t>3次/天，2天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024" w:type="dxa"/>
                  <w:vMerge w:val="continue"/>
                  <w:noWrap w:val="0"/>
                  <w:vAlign w:val="center"/>
                </w:tcPr>
                <w:p>
                  <w:pPr>
                    <w:jc w:val="center"/>
                    <w:rPr>
                      <w:rFonts w:hint="eastAsia"/>
                      <w:color w:val="auto"/>
                      <w:sz w:val="18"/>
                      <w:szCs w:val="18"/>
                      <w:lang w:val="en-US" w:eastAsia="zh-CN"/>
                    </w:rPr>
                  </w:pPr>
                </w:p>
              </w:tc>
              <w:tc>
                <w:tcPr>
                  <w:tcW w:w="1331" w:type="dxa"/>
                  <w:noWrap w:val="0"/>
                  <w:vAlign w:val="center"/>
                </w:tcPr>
                <w:p>
                  <w:pPr>
                    <w:jc w:val="center"/>
                    <w:rPr>
                      <w:rFonts w:hint="eastAsia"/>
                      <w:color w:val="auto"/>
                      <w:sz w:val="18"/>
                      <w:szCs w:val="18"/>
                      <w:lang w:val="en-US" w:eastAsia="zh-CN"/>
                    </w:rPr>
                  </w:pPr>
                  <w:r>
                    <w:rPr>
                      <w:rFonts w:hint="eastAsia"/>
                      <w:color w:val="auto"/>
                      <w:sz w:val="18"/>
                      <w:szCs w:val="18"/>
                      <w:lang w:val="en-US" w:eastAsia="zh-CN"/>
                    </w:rPr>
                    <w:t>DA003排气筒</w:t>
                  </w:r>
                </w:p>
              </w:tc>
              <w:tc>
                <w:tcPr>
                  <w:tcW w:w="1545" w:type="dxa"/>
                  <w:noWrap w:val="0"/>
                  <w:vAlign w:val="center"/>
                </w:tcPr>
                <w:p>
                  <w:pPr>
                    <w:jc w:val="center"/>
                    <w:rPr>
                      <w:rFonts w:hint="eastAsia"/>
                      <w:color w:val="auto"/>
                      <w:sz w:val="18"/>
                      <w:szCs w:val="18"/>
                      <w:lang w:val="en-US" w:eastAsia="zh-CN"/>
                    </w:rPr>
                  </w:pPr>
                  <w:r>
                    <w:rPr>
                      <w:rFonts w:hint="eastAsia"/>
                      <w:color w:val="auto"/>
                      <w:sz w:val="18"/>
                      <w:szCs w:val="18"/>
                      <w:lang w:val="en-US" w:eastAsia="zh-CN"/>
                    </w:rPr>
                    <w:t>排气筒取样口</w:t>
                  </w:r>
                </w:p>
              </w:tc>
              <w:tc>
                <w:tcPr>
                  <w:tcW w:w="2595" w:type="dxa"/>
                  <w:noWrap w:val="0"/>
                  <w:vAlign w:val="center"/>
                </w:tcPr>
                <w:p>
                  <w:pPr>
                    <w:jc w:val="center"/>
                    <w:rPr>
                      <w:rFonts w:hint="eastAsia" w:eastAsia="宋体"/>
                      <w:color w:val="auto"/>
                      <w:sz w:val="18"/>
                      <w:szCs w:val="18"/>
                      <w:lang w:val="en-US" w:eastAsia="zh-CN"/>
                    </w:rPr>
                  </w:pPr>
                  <w:r>
                    <w:rPr>
                      <w:color w:val="auto"/>
                      <w:sz w:val="18"/>
                      <w:szCs w:val="18"/>
                    </w:rPr>
                    <w:t>SO</w:t>
                  </w:r>
                  <w:r>
                    <w:rPr>
                      <w:color w:val="auto"/>
                      <w:sz w:val="18"/>
                      <w:szCs w:val="18"/>
                      <w:vertAlign w:val="subscript"/>
                    </w:rPr>
                    <w:t>2</w:t>
                  </w:r>
                  <w:r>
                    <w:rPr>
                      <w:color w:val="auto"/>
                      <w:sz w:val="18"/>
                      <w:szCs w:val="18"/>
                    </w:rPr>
                    <w:t>、NO</w:t>
                  </w:r>
                  <w:r>
                    <w:rPr>
                      <w:color w:val="auto"/>
                      <w:sz w:val="18"/>
                      <w:szCs w:val="18"/>
                      <w:vertAlign w:val="subscript"/>
                    </w:rPr>
                    <w:t>x</w:t>
                  </w:r>
                  <w:r>
                    <w:rPr>
                      <w:color w:val="auto"/>
                      <w:sz w:val="18"/>
                      <w:szCs w:val="18"/>
                    </w:rPr>
                    <w:t>、颗粒物</w:t>
                  </w:r>
                  <w:r>
                    <w:rPr>
                      <w:rFonts w:hint="eastAsia"/>
                      <w:color w:val="auto"/>
                      <w:sz w:val="18"/>
                      <w:szCs w:val="18"/>
                      <w:lang w:eastAsia="zh-CN"/>
                    </w:rPr>
                    <w:t>、</w:t>
                  </w:r>
                  <w:r>
                    <w:rPr>
                      <w:rFonts w:hint="eastAsia" w:ascii="宋体" w:hAnsi="宋体" w:eastAsia="宋体" w:cs="宋体"/>
                      <w:b w:val="0"/>
                      <w:bCs w:val="0"/>
                      <w:color w:val="auto"/>
                      <w:sz w:val="18"/>
                      <w:szCs w:val="18"/>
                    </w:rPr>
                    <w:t>烟气黑度</w:t>
                  </w:r>
                </w:p>
              </w:tc>
              <w:tc>
                <w:tcPr>
                  <w:tcW w:w="1457" w:type="dxa"/>
                  <w:noWrap w:val="0"/>
                  <w:vAlign w:val="center"/>
                </w:tcPr>
                <w:p>
                  <w:pPr>
                    <w:jc w:val="center"/>
                    <w:rPr>
                      <w:rFonts w:hint="eastAsia"/>
                      <w:color w:val="auto"/>
                      <w:sz w:val="18"/>
                      <w:szCs w:val="18"/>
                    </w:rPr>
                  </w:pPr>
                  <w:r>
                    <w:rPr>
                      <w:rFonts w:hint="eastAsia"/>
                      <w:color w:val="auto"/>
                      <w:sz w:val="18"/>
                      <w:szCs w:val="18"/>
                    </w:rPr>
                    <w:t>3次/天，2天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024" w:type="dxa"/>
                  <w:vMerge w:val="continue"/>
                  <w:noWrap w:val="0"/>
                  <w:vAlign w:val="center"/>
                </w:tcPr>
                <w:p>
                  <w:pPr>
                    <w:jc w:val="center"/>
                    <w:rPr>
                      <w:rFonts w:hint="eastAsia"/>
                      <w:color w:val="auto"/>
                      <w:sz w:val="18"/>
                      <w:szCs w:val="18"/>
                      <w:lang w:val="en-US" w:eastAsia="zh-CN"/>
                    </w:rPr>
                  </w:pPr>
                </w:p>
              </w:tc>
              <w:tc>
                <w:tcPr>
                  <w:tcW w:w="1331" w:type="dxa"/>
                  <w:noWrap w:val="0"/>
                  <w:vAlign w:val="center"/>
                </w:tcPr>
                <w:p>
                  <w:pPr>
                    <w:jc w:val="center"/>
                    <w:rPr>
                      <w:rFonts w:hint="eastAsia"/>
                      <w:color w:val="auto"/>
                      <w:sz w:val="18"/>
                      <w:szCs w:val="18"/>
                      <w:lang w:val="en-US" w:eastAsia="zh-CN"/>
                    </w:rPr>
                  </w:pPr>
                  <w:r>
                    <w:rPr>
                      <w:rFonts w:hint="eastAsia"/>
                      <w:color w:val="auto"/>
                      <w:sz w:val="18"/>
                      <w:szCs w:val="18"/>
                      <w:lang w:val="en-US" w:eastAsia="zh-CN"/>
                    </w:rPr>
                    <w:t>DA004排气筒</w:t>
                  </w:r>
                </w:p>
              </w:tc>
              <w:tc>
                <w:tcPr>
                  <w:tcW w:w="1545" w:type="dxa"/>
                  <w:noWrap w:val="0"/>
                  <w:vAlign w:val="center"/>
                </w:tcPr>
                <w:p>
                  <w:pPr>
                    <w:jc w:val="center"/>
                    <w:rPr>
                      <w:rFonts w:hint="eastAsia"/>
                      <w:color w:val="auto"/>
                      <w:sz w:val="18"/>
                      <w:szCs w:val="18"/>
                      <w:lang w:val="en-US" w:eastAsia="zh-CN"/>
                    </w:rPr>
                  </w:pPr>
                  <w:r>
                    <w:rPr>
                      <w:rFonts w:hint="eastAsia"/>
                      <w:color w:val="auto"/>
                      <w:sz w:val="18"/>
                      <w:szCs w:val="18"/>
                      <w:lang w:val="en-US" w:eastAsia="zh-CN"/>
                    </w:rPr>
                    <w:t>排气筒取样口</w:t>
                  </w:r>
                </w:p>
              </w:tc>
              <w:tc>
                <w:tcPr>
                  <w:tcW w:w="2595" w:type="dxa"/>
                  <w:noWrap w:val="0"/>
                  <w:vAlign w:val="center"/>
                </w:tcPr>
                <w:p>
                  <w:pPr>
                    <w:jc w:val="center"/>
                    <w:rPr>
                      <w:color w:val="auto"/>
                      <w:sz w:val="18"/>
                      <w:szCs w:val="18"/>
                    </w:rPr>
                  </w:pPr>
                  <w:r>
                    <w:rPr>
                      <w:color w:val="auto"/>
                      <w:sz w:val="18"/>
                      <w:szCs w:val="18"/>
                    </w:rPr>
                    <w:t>SO</w:t>
                  </w:r>
                  <w:r>
                    <w:rPr>
                      <w:color w:val="auto"/>
                      <w:sz w:val="18"/>
                      <w:szCs w:val="18"/>
                      <w:vertAlign w:val="subscript"/>
                    </w:rPr>
                    <w:t>2</w:t>
                  </w:r>
                  <w:r>
                    <w:rPr>
                      <w:color w:val="auto"/>
                      <w:sz w:val="18"/>
                      <w:szCs w:val="18"/>
                    </w:rPr>
                    <w:t>、NO</w:t>
                  </w:r>
                  <w:r>
                    <w:rPr>
                      <w:color w:val="auto"/>
                      <w:sz w:val="18"/>
                      <w:szCs w:val="18"/>
                      <w:vertAlign w:val="subscript"/>
                    </w:rPr>
                    <w:t>x</w:t>
                  </w:r>
                  <w:r>
                    <w:rPr>
                      <w:color w:val="auto"/>
                      <w:sz w:val="18"/>
                      <w:szCs w:val="18"/>
                    </w:rPr>
                    <w:t>、颗粒物</w:t>
                  </w:r>
                  <w:r>
                    <w:rPr>
                      <w:rFonts w:hint="eastAsia"/>
                      <w:color w:val="auto"/>
                      <w:sz w:val="18"/>
                      <w:szCs w:val="18"/>
                      <w:lang w:eastAsia="zh-CN"/>
                    </w:rPr>
                    <w:t>、</w:t>
                  </w:r>
                  <w:r>
                    <w:rPr>
                      <w:rFonts w:hint="eastAsia" w:ascii="宋体" w:hAnsi="宋体" w:eastAsia="宋体" w:cs="宋体"/>
                      <w:b w:val="0"/>
                      <w:bCs w:val="0"/>
                      <w:color w:val="auto"/>
                      <w:sz w:val="18"/>
                      <w:szCs w:val="18"/>
                    </w:rPr>
                    <w:t>烟气黑度</w:t>
                  </w:r>
                </w:p>
              </w:tc>
              <w:tc>
                <w:tcPr>
                  <w:tcW w:w="1457" w:type="dxa"/>
                  <w:noWrap w:val="0"/>
                  <w:vAlign w:val="center"/>
                </w:tcPr>
                <w:p>
                  <w:pPr>
                    <w:jc w:val="center"/>
                    <w:rPr>
                      <w:rFonts w:hint="eastAsia"/>
                      <w:color w:val="auto"/>
                      <w:sz w:val="18"/>
                      <w:szCs w:val="18"/>
                    </w:rPr>
                  </w:pPr>
                  <w:r>
                    <w:rPr>
                      <w:rFonts w:hint="eastAsia"/>
                      <w:color w:val="auto"/>
                      <w:sz w:val="18"/>
                      <w:szCs w:val="18"/>
                    </w:rPr>
                    <w:t>3次/天，2天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024" w:type="dxa"/>
                  <w:vMerge w:val="continue"/>
                  <w:noWrap w:val="0"/>
                  <w:vAlign w:val="center"/>
                </w:tcPr>
                <w:p>
                  <w:pPr>
                    <w:jc w:val="center"/>
                    <w:rPr>
                      <w:rFonts w:hint="eastAsia"/>
                      <w:color w:val="auto"/>
                      <w:sz w:val="18"/>
                      <w:szCs w:val="18"/>
                      <w:lang w:val="en-US" w:eastAsia="zh-CN"/>
                    </w:rPr>
                  </w:pPr>
                </w:p>
              </w:tc>
              <w:tc>
                <w:tcPr>
                  <w:tcW w:w="1331" w:type="dxa"/>
                  <w:noWrap w:val="0"/>
                  <w:vAlign w:val="center"/>
                </w:tcPr>
                <w:p>
                  <w:pPr>
                    <w:jc w:val="center"/>
                    <w:rPr>
                      <w:rFonts w:hint="eastAsia"/>
                      <w:color w:val="auto"/>
                      <w:sz w:val="18"/>
                      <w:szCs w:val="18"/>
                      <w:lang w:val="en-US" w:eastAsia="zh-CN"/>
                    </w:rPr>
                  </w:pPr>
                  <w:r>
                    <w:rPr>
                      <w:rFonts w:hint="eastAsia"/>
                      <w:color w:val="auto"/>
                      <w:sz w:val="18"/>
                      <w:szCs w:val="18"/>
                      <w:lang w:val="en-US" w:eastAsia="zh-CN"/>
                    </w:rPr>
                    <w:t>DA005排气筒</w:t>
                  </w:r>
                </w:p>
              </w:tc>
              <w:tc>
                <w:tcPr>
                  <w:tcW w:w="1545" w:type="dxa"/>
                  <w:noWrap w:val="0"/>
                  <w:vAlign w:val="center"/>
                </w:tcPr>
                <w:p>
                  <w:pPr>
                    <w:jc w:val="center"/>
                    <w:rPr>
                      <w:rFonts w:hint="eastAsia"/>
                      <w:color w:val="auto"/>
                      <w:sz w:val="18"/>
                      <w:szCs w:val="18"/>
                      <w:lang w:val="en-US" w:eastAsia="zh-CN"/>
                    </w:rPr>
                  </w:pPr>
                  <w:r>
                    <w:rPr>
                      <w:rFonts w:hint="eastAsia"/>
                      <w:color w:val="auto"/>
                      <w:sz w:val="18"/>
                      <w:szCs w:val="18"/>
                      <w:lang w:val="en-US" w:eastAsia="zh-CN"/>
                    </w:rPr>
                    <w:t>排气筒取样口</w:t>
                  </w:r>
                </w:p>
              </w:tc>
              <w:tc>
                <w:tcPr>
                  <w:tcW w:w="2595" w:type="dxa"/>
                  <w:noWrap w:val="0"/>
                  <w:vAlign w:val="center"/>
                </w:tcPr>
                <w:p>
                  <w:pPr>
                    <w:jc w:val="center"/>
                    <w:rPr>
                      <w:color w:val="auto"/>
                      <w:sz w:val="18"/>
                      <w:szCs w:val="18"/>
                    </w:rPr>
                  </w:pPr>
                  <w:r>
                    <w:rPr>
                      <w:color w:val="auto"/>
                      <w:sz w:val="18"/>
                      <w:szCs w:val="18"/>
                    </w:rPr>
                    <w:t>SO</w:t>
                  </w:r>
                  <w:r>
                    <w:rPr>
                      <w:color w:val="auto"/>
                      <w:sz w:val="18"/>
                      <w:szCs w:val="18"/>
                      <w:vertAlign w:val="subscript"/>
                    </w:rPr>
                    <w:t>2</w:t>
                  </w:r>
                  <w:r>
                    <w:rPr>
                      <w:color w:val="auto"/>
                      <w:sz w:val="18"/>
                      <w:szCs w:val="18"/>
                    </w:rPr>
                    <w:t>、NO</w:t>
                  </w:r>
                  <w:r>
                    <w:rPr>
                      <w:color w:val="auto"/>
                      <w:sz w:val="18"/>
                      <w:szCs w:val="18"/>
                      <w:vertAlign w:val="subscript"/>
                    </w:rPr>
                    <w:t>x</w:t>
                  </w:r>
                  <w:r>
                    <w:rPr>
                      <w:color w:val="auto"/>
                      <w:sz w:val="18"/>
                      <w:szCs w:val="18"/>
                    </w:rPr>
                    <w:t>、颗粒物</w:t>
                  </w:r>
                  <w:r>
                    <w:rPr>
                      <w:rFonts w:hint="eastAsia"/>
                      <w:color w:val="auto"/>
                      <w:sz w:val="18"/>
                      <w:szCs w:val="18"/>
                      <w:lang w:eastAsia="zh-CN"/>
                    </w:rPr>
                    <w:t>、</w:t>
                  </w:r>
                  <w:r>
                    <w:rPr>
                      <w:rFonts w:hint="eastAsia" w:ascii="宋体" w:hAnsi="宋体" w:eastAsia="宋体" w:cs="宋体"/>
                      <w:b w:val="0"/>
                      <w:bCs w:val="0"/>
                      <w:color w:val="auto"/>
                      <w:sz w:val="18"/>
                      <w:szCs w:val="18"/>
                    </w:rPr>
                    <w:t>烟气黑度</w:t>
                  </w:r>
                </w:p>
              </w:tc>
              <w:tc>
                <w:tcPr>
                  <w:tcW w:w="1457" w:type="dxa"/>
                  <w:noWrap w:val="0"/>
                  <w:vAlign w:val="center"/>
                </w:tcPr>
                <w:p>
                  <w:pPr>
                    <w:jc w:val="center"/>
                    <w:rPr>
                      <w:rFonts w:hint="eastAsia"/>
                      <w:color w:val="auto"/>
                      <w:sz w:val="18"/>
                      <w:szCs w:val="18"/>
                    </w:rPr>
                  </w:pPr>
                  <w:r>
                    <w:rPr>
                      <w:rFonts w:hint="eastAsia"/>
                      <w:color w:val="auto"/>
                      <w:sz w:val="18"/>
                      <w:szCs w:val="18"/>
                    </w:rPr>
                    <w:t>3次/天，2天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024" w:type="dxa"/>
                  <w:vMerge w:val="continue"/>
                  <w:noWrap w:val="0"/>
                  <w:vAlign w:val="center"/>
                </w:tcPr>
                <w:p>
                  <w:pPr>
                    <w:jc w:val="center"/>
                    <w:rPr>
                      <w:rFonts w:hint="eastAsia"/>
                      <w:color w:val="auto"/>
                      <w:sz w:val="18"/>
                      <w:szCs w:val="18"/>
                      <w:lang w:val="en-US" w:eastAsia="zh-CN"/>
                    </w:rPr>
                  </w:pPr>
                </w:p>
              </w:tc>
              <w:tc>
                <w:tcPr>
                  <w:tcW w:w="1331" w:type="dxa"/>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DA007排气筒</w:t>
                  </w:r>
                </w:p>
              </w:tc>
              <w:tc>
                <w:tcPr>
                  <w:tcW w:w="1545" w:type="dxa"/>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排气筒取样口</w:t>
                  </w:r>
                </w:p>
              </w:tc>
              <w:tc>
                <w:tcPr>
                  <w:tcW w:w="2595" w:type="dxa"/>
                  <w:shd w:val="clear" w:color="auto" w:fill="auto"/>
                  <w:noWrap w:val="0"/>
                  <w:vAlign w:val="center"/>
                </w:tcPr>
                <w:p>
                  <w:pPr>
                    <w:jc w:val="center"/>
                    <w:rPr>
                      <w:rFonts w:hint="default" w:ascii="Times New Roman" w:hAnsi="Times New Roman" w:eastAsia="宋体" w:cs="Times New Roman"/>
                      <w:color w:val="auto"/>
                      <w:kern w:val="2"/>
                      <w:sz w:val="18"/>
                      <w:szCs w:val="18"/>
                      <w:lang w:val="en-US" w:eastAsia="zh-CN" w:bidi="ar-SA"/>
                    </w:rPr>
                  </w:pPr>
                  <w:r>
                    <w:rPr>
                      <w:color w:val="auto"/>
                      <w:sz w:val="18"/>
                      <w:szCs w:val="18"/>
                    </w:rPr>
                    <w:t>SO</w:t>
                  </w:r>
                  <w:r>
                    <w:rPr>
                      <w:color w:val="auto"/>
                      <w:sz w:val="18"/>
                      <w:szCs w:val="18"/>
                      <w:vertAlign w:val="subscript"/>
                    </w:rPr>
                    <w:t>2</w:t>
                  </w:r>
                  <w:r>
                    <w:rPr>
                      <w:color w:val="auto"/>
                      <w:sz w:val="18"/>
                      <w:szCs w:val="18"/>
                    </w:rPr>
                    <w:t>、NO</w:t>
                  </w:r>
                  <w:r>
                    <w:rPr>
                      <w:color w:val="auto"/>
                      <w:sz w:val="18"/>
                      <w:szCs w:val="18"/>
                      <w:vertAlign w:val="subscript"/>
                    </w:rPr>
                    <w:t>x</w:t>
                  </w:r>
                  <w:r>
                    <w:rPr>
                      <w:color w:val="auto"/>
                      <w:sz w:val="18"/>
                      <w:szCs w:val="18"/>
                    </w:rPr>
                    <w:t>、颗粒物</w:t>
                  </w:r>
                  <w:r>
                    <w:rPr>
                      <w:rFonts w:hint="eastAsia"/>
                      <w:color w:val="auto"/>
                      <w:sz w:val="18"/>
                      <w:szCs w:val="18"/>
                      <w:lang w:eastAsia="zh-CN"/>
                    </w:rPr>
                    <w:t>、</w:t>
                  </w:r>
                  <w:r>
                    <w:rPr>
                      <w:rFonts w:hint="eastAsia" w:ascii="宋体" w:hAnsi="宋体" w:eastAsia="宋体" w:cs="宋体"/>
                      <w:b w:val="0"/>
                      <w:bCs w:val="0"/>
                      <w:color w:val="auto"/>
                      <w:sz w:val="18"/>
                      <w:szCs w:val="18"/>
                    </w:rPr>
                    <w:t>烟气黑度</w:t>
                  </w:r>
                </w:p>
              </w:tc>
              <w:tc>
                <w:tcPr>
                  <w:tcW w:w="1457" w:type="dxa"/>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rPr>
                    <w:t>3次/天，2天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024" w:type="dxa"/>
                  <w:vMerge w:val="continue"/>
                  <w:noWrap w:val="0"/>
                  <w:vAlign w:val="center"/>
                </w:tcPr>
                <w:p>
                  <w:pPr>
                    <w:jc w:val="center"/>
                    <w:rPr>
                      <w:rFonts w:hint="eastAsia"/>
                      <w:color w:val="auto"/>
                      <w:sz w:val="18"/>
                      <w:szCs w:val="18"/>
                      <w:lang w:val="en-US" w:eastAsia="zh-CN"/>
                    </w:rPr>
                  </w:pPr>
                </w:p>
              </w:tc>
              <w:tc>
                <w:tcPr>
                  <w:tcW w:w="1331" w:type="dxa"/>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DA008排气筒</w:t>
                  </w:r>
                </w:p>
              </w:tc>
              <w:tc>
                <w:tcPr>
                  <w:tcW w:w="1545" w:type="dxa"/>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排气筒取样口</w:t>
                  </w:r>
                </w:p>
              </w:tc>
              <w:tc>
                <w:tcPr>
                  <w:tcW w:w="2595" w:type="dxa"/>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color w:val="auto"/>
                      <w:sz w:val="18"/>
                      <w:szCs w:val="18"/>
                    </w:rPr>
                    <w:t>SO</w:t>
                  </w:r>
                  <w:r>
                    <w:rPr>
                      <w:color w:val="auto"/>
                      <w:sz w:val="18"/>
                      <w:szCs w:val="18"/>
                      <w:vertAlign w:val="subscript"/>
                    </w:rPr>
                    <w:t>2</w:t>
                  </w:r>
                  <w:r>
                    <w:rPr>
                      <w:color w:val="auto"/>
                      <w:sz w:val="18"/>
                      <w:szCs w:val="18"/>
                    </w:rPr>
                    <w:t>、NO</w:t>
                  </w:r>
                  <w:r>
                    <w:rPr>
                      <w:color w:val="auto"/>
                      <w:sz w:val="18"/>
                      <w:szCs w:val="18"/>
                      <w:vertAlign w:val="subscript"/>
                    </w:rPr>
                    <w:t>x</w:t>
                  </w:r>
                  <w:r>
                    <w:rPr>
                      <w:color w:val="auto"/>
                      <w:sz w:val="18"/>
                      <w:szCs w:val="18"/>
                    </w:rPr>
                    <w:t>、颗粒物</w:t>
                  </w:r>
                  <w:r>
                    <w:rPr>
                      <w:rFonts w:hint="eastAsia"/>
                      <w:color w:val="auto"/>
                      <w:sz w:val="18"/>
                      <w:szCs w:val="18"/>
                      <w:lang w:eastAsia="zh-CN"/>
                    </w:rPr>
                    <w:t>、</w:t>
                  </w:r>
                  <w:r>
                    <w:rPr>
                      <w:rFonts w:hint="eastAsia" w:ascii="宋体" w:hAnsi="宋体" w:eastAsia="宋体" w:cs="宋体"/>
                      <w:b w:val="0"/>
                      <w:bCs w:val="0"/>
                      <w:color w:val="auto"/>
                      <w:sz w:val="18"/>
                      <w:szCs w:val="18"/>
                    </w:rPr>
                    <w:t>烟气黑度</w:t>
                  </w:r>
                </w:p>
              </w:tc>
              <w:tc>
                <w:tcPr>
                  <w:tcW w:w="1457" w:type="dxa"/>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rPr>
                    <w:t>3次/天，2天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024" w:type="dxa"/>
                  <w:vMerge w:val="continue"/>
                  <w:noWrap w:val="0"/>
                  <w:vAlign w:val="center"/>
                </w:tcPr>
                <w:p>
                  <w:pPr>
                    <w:jc w:val="center"/>
                    <w:rPr>
                      <w:rFonts w:hint="eastAsia"/>
                      <w:color w:val="auto"/>
                      <w:sz w:val="18"/>
                      <w:szCs w:val="18"/>
                      <w:lang w:val="en-US" w:eastAsia="zh-CN"/>
                    </w:rPr>
                  </w:pPr>
                </w:p>
              </w:tc>
              <w:tc>
                <w:tcPr>
                  <w:tcW w:w="1331" w:type="dxa"/>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DA009排气筒</w:t>
                  </w:r>
                </w:p>
              </w:tc>
              <w:tc>
                <w:tcPr>
                  <w:tcW w:w="1545" w:type="dxa"/>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排气筒取样口</w:t>
                  </w:r>
                </w:p>
              </w:tc>
              <w:tc>
                <w:tcPr>
                  <w:tcW w:w="2595" w:type="dxa"/>
                  <w:shd w:val="clear" w:color="auto" w:fill="auto"/>
                  <w:noWrap w:val="0"/>
                  <w:vAlign w:val="center"/>
                </w:tcPr>
                <w:p>
                  <w:pPr>
                    <w:jc w:val="center"/>
                    <w:rPr>
                      <w:rFonts w:ascii="Times New Roman" w:hAnsi="Times New Roman" w:eastAsia="宋体" w:cs="Times New Roman"/>
                      <w:color w:val="auto"/>
                      <w:kern w:val="2"/>
                      <w:sz w:val="18"/>
                      <w:szCs w:val="18"/>
                      <w:lang w:val="en-US" w:eastAsia="zh-CN" w:bidi="ar-SA"/>
                    </w:rPr>
                  </w:pPr>
                  <w:r>
                    <w:rPr>
                      <w:color w:val="auto"/>
                      <w:sz w:val="18"/>
                      <w:szCs w:val="18"/>
                    </w:rPr>
                    <w:t>颗粒物</w:t>
                  </w:r>
                </w:p>
              </w:tc>
              <w:tc>
                <w:tcPr>
                  <w:tcW w:w="1457" w:type="dxa"/>
                  <w:shd w:val="clear" w:color="auto" w:fill="auto"/>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rPr>
                    <w:t>3次/天，2天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024" w:type="dxa"/>
                  <w:vMerge w:val="continue"/>
                  <w:noWrap w:val="0"/>
                  <w:vAlign w:val="center"/>
                </w:tcPr>
                <w:p>
                  <w:pPr>
                    <w:jc w:val="center"/>
                    <w:rPr>
                      <w:rFonts w:hint="eastAsia"/>
                      <w:color w:val="auto"/>
                      <w:sz w:val="18"/>
                      <w:szCs w:val="18"/>
                      <w:lang w:val="en-US" w:eastAsia="zh-CN"/>
                    </w:rPr>
                  </w:pPr>
                </w:p>
              </w:tc>
              <w:tc>
                <w:tcPr>
                  <w:tcW w:w="1331" w:type="dxa"/>
                  <w:noWrap w:val="0"/>
                  <w:vAlign w:val="center"/>
                </w:tcPr>
                <w:p>
                  <w:pPr>
                    <w:jc w:val="center"/>
                    <w:rPr>
                      <w:rFonts w:hint="eastAsia"/>
                      <w:color w:val="auto"/>
                      <w:sz w:val="18"/>
                      <w:szCs w:val="18"/>
                      <w:lang w:val="en-US" w:eastAsia="zh-CN"/>
                    </w:rPr>
                  </w:pPr>
                  <w:r>
                    <w:rPr>
                      <w:rFonts w:hint="eastAsia"/>
                      <w:color w:val="auto"/>
                      <w:sz w:val="18"/>
                      <w:szCs w:val="18"/>
                      <w:lang w:val="en-US" w:eastAsia="zh-CN"/>
                    </w:rPr>
                    <w:t>厂界</w:t>
                  </w:r>
                </w:p>
              </w:tc>
              <w:tc>
                <w:tcPr>
                  <w:tcW w:w="1545" w:type="dxa"/>
                  <w:shd w:val="clear" w:color="auto" w:fill="auto"/>
                  <w:noWrap w:val="0"/>
                  <w:vAlign w:val="center"/>
                </w:tcPr>
                <w:p>
                  <w:pPr>
                    <w:jc w:val="center"/>
                    <w:rPr>
                      <w:rFonts w:hint="eastAsia"/>
                      <w:color w:val="auto"/>
                      <w:sz w:val="18"/>
                      <w:szCs w:val="18"/>
                      <w:lang w:val="en-US" w:eastAsia="zh-CN"/>
                    </w:rPr>
                  </w:pPr>
                  <w:r>
                    <w:rPr>
                      <w:rFonts w:hint="eastAsia"/>
                      <w:color w:val="auto"/>
                      <w:sz w:val="18"/>
                      <w:szCs w:val="18"/>
                      <w:lang w:val="en-US" w:eastAsia="zh-CN"/>
                    </w:rPr>
                    <w:t>上风向1个点</w:t>
                  </w:r>
                </w:p>
                <w:p>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下风向3个点</w:t>
                  </w:r>
                </w:p>
              </w:tc>
              <w:tc>
                <w:tcPr>
                  <w:tcW w:w="2595" w:type="dxa"/>
                  <w:noWrap w:val="0"/>
                  <w:vAlign w:val="center"/>
                </w:tcPr>
                <w:p>
                  <w:pPr>
                    <w:jc w:val="center"/>
                    <w:rPr>
                      <w:rFonts w:hint="eastAsia" w:eastAsia="宋体"/>
                      <w:color w:val="auto"/>
                      <w:sz w:val="18"/>
                      <w:szCs w:val="18"/>
                      <w:lang w:val="en-US" w:eastAsia="zh-CN"/>
                    </w:rPr>
                  </w:pPr>
                  <w:r>
                    <w:rPr>
                      <w:color w:val="auto"/>
                      <w:sz w:val="18"/>
                      <w:szCs w:val="18"/>
                    </w:rPr>
                    <w:t>颗粒物</w:t>
                  </w:r>
                  <w:r>
                    <w:rPr>
                      <w:rFonts w:hint="eastAsia"/>
                      <w:color w:val="auto"/>
                      <w:sz w:val="18"/>
                      <w:szCs w:val="18"/>
                      <w:lang w:eastAsia="zh-CN"/>
                    </w:rPr>
                    <w:t>、非甲烷总烃</w:t>
                  </w:r>
                </w:p>
              </w:tc>
              <w:tc>
                <w:tcPr>
                  <w:tcW w:w="1457" w:type="dxa"/>
                  <w:noWrap w:val="0"/>
                  <w:vAlign w:val="center"/>
                </w:tcPr>
                <w:p>
                  <w:pPr>
                    <w:jc w:val="center"/>
                    <w:rPr>
                      <w:rFonts w:hint="eastAsia"/>
                      <w:color w:val="auto"/>
                      <w:sz w:val="18"/>
                      <w:szCs w:val="18"/>
                    </w:rPr>
                  </w:pPr>
                  <w:r>
                    <w:rPr>
                      <w:rFonts w:hint="eastAsia"/>
                      <w:color w:val="auto"/>
                      <w:sz w:val="18"/>
                      <w:szCs w:val="18"/>
                    </w:rPr>
                    <w:t>3次/天，2天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024" w:type="dxa"/>
                  <w:vMerge w:val="continue"/>
                  <w:noWrap w:val="0"/>
                  <w:vAlign w:val="center"/>
                </w:tcPr>
                <w:p>
                  <w:pPr>
                    <w:jc w:val="center"/>
                    <w:rPr>
                      <w:rFonts w:hint="eastAsia"/>
                      <w:color w:val="auto"/>
                      <w:sz w:val="18"/>
                      <w:szCs w:val="18"/>
                      <w:lang w:val="en-US" w:eastAsia="zh-CN"/>
                    </w:rPr>
                  </w:pPr>
                </w:p>
              </w:tc>
              <w:tc>
                <w:tcPr>
                  <w:tcW w:w="1331" w:type="dxa"/>
                  <w:noWrap w:val="0"/>
                  <w:vAlign w:val="center"/>
                </w:tcPr>
                <w:p>
                  <w:pPr>
                    <w:jc w:val="center"/>
                    <w:rPr>
                      <w:rFonts w:hint="eastAsia"/>
                      <w:color w:val="auto"/>
                      <w:sz w:val="18"/>
                      <w:szCs w:val="18"/>
                      <w:lang w:val="en-US" w:eastAsia="zh-CN"/>
                    </w:rPr>
                  </w:pPr>
                  <w:r>
                    <w:rPr>
                      <w:rFonts w:hint="eastAsia"/>
                      <w:color w:val="auto"/>
                      <w:sz w:val="18"/>
                      <w:szCs w:val="18"/>
                    </w:rPr>
                    <w:t>厂房外</w:t>
                  </w:r>
                </w:p>
              </w:tc>
              <w:tc>
                <w:tcPr>
                  <w:tcW w:w="1545" w:type="dxa"/>
                  <w:shd w:val="clear" w:color="auto" w:fill="auto"/>
                  <w:noWrap w:val="0"/>
                  <w:vAlign w:val="center"/>
                </w:tcPr>
                <w:p>
                  <w:pPr>
                    <w:jc w:val="center"/>
                    <w:rPr>
                      <w:rFonts w:hint="eastAsia"/>
                      <w:color w:val="auto"/>
                      <w:sz w:val="18"/>
                      <w:szCs w:val="18"/>
                      <w:lang w:val="en-US" w:eastAsia="zh-CN"/>
                    </w:rPr>
                  </w:pPr>
                  <w:r>
                    <w:rPr>
                      <w:rFonts w:hint="eastAsia"/>
                      <w:color w:val="auto"/>
                      <w:sz w:val="18"/>
                      <w:szCs w:val="18"/>
                      <w:lang w:val="en-US" w:eastAsia="zh-CN"/>
                    </w:rPr>
                    <w:t>上风向1个点</w:t>
                  </w:r>
                </w:p>
                <w:p>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下风向3个点</w:t>
                  </w:r>
                </w:p>
              </w:tc>
              <w:tc>
                <w:tcPr>
                  <w:tcW w:w="2595" w:type="dxa"/>
                  <w:noWrap w:val="0"/>
                  <w:vAlign w:val="center"/>
                </w:tcPr>
                <w:p>
                  <w:pPr>
                    <w:jc w:val="center"/>
                    <w:rPr>
                      <w:rFonts w:hint="eastAsia" w:eastAsia="宋体"/>
                      <w:color w:val="auto"/>
                      <w:sz w:val="18"/>
                      <w:szCs w:val="18"/>
                      <w:lang w:val="en-US" w:eastAsia="zh-CN"/>
                    </w:rPr>
                  </w:pPr>
                  <w:r>
                    <w:rPr>
                      <w:color w:val="auto"/>
                      <w:sz w:val="18"/>
                      <w:szCs w:val="18"/>
                    </w:rPr>
                    <w:t>颗粒物</w:t>
                  </w:r>
                  <w:r>
                    <w:rPr>
                      <w:rFonts w:hint="eastAsia"/>
                      <w:color w:val="auto"/>
                      <w:sz w:val="18"/>
                      <w:szCs w:val="18"/>
                      <w:lang w:eastAsia="zh-CN"/>
                    </w:rPr>
                    <w:t>、非甲烷总烃</w:t>
                  </w:r>
                </w:p>
              </w:tc>
              <w:tc>
                <w:tcPr>
                  <w:tcW w:w="1457" w:type="dxa"/>
                  <w:noWrap w:val="0"/>
                  <w:vAlign w:val="center"/>
                </w:tcPr>
                <w:p>
                  <w:pPr>
                    <w:jc w:val="center"/>
                    <w:rPr>
                      <w:rFonts w:hint="eastAsia"/>
                      <w:color w:val="auto"/>
                      <w:sz w:val="18"/>
                      <w:szCs w:val="18"/>
                    </w:rPr>
                  </w:pPr>
                  <w:r>
                    <w:rPr>
                      <w:rFonts w:hint="eastAsia"/>
                      <w:color w:val="auto"/>
                      <w:sz w:val="18"/>
                      <w:szCs w:val="18"/>
                    </w:rPr>
                    <w:t>3次/天，2天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024" w:type="dxa"/>
                  <w:noWrap w:val="0"/>
                  <w:vAlign w:val="center"/>
                </w:tcPr>
                <w:p>
                  <w:pPr>
                    <w:jc w:val="center"/>
                    <w:rPr>
                      <w:rFonts w:hint="default"/>
                      <w:color w:val="auto"/>
                      <w:sz w:val="18"/>
                      <w:szCs w:val="18"/>
                      <w:lang w:val="en-US" w:eastAsia="zh-CN"/>
                    </w:rPr>
                  </w:pPr>
                  <w:r>
                    <w:rPr>
                      <w:rFonts w:hint="eastAsia"/>
                      <w:color w:val="auto"/>
                      <w:sz w:val="18"/>
                      <w:szCs w:val="18"/>
                      <w:lang w:val="en-US" w:eastAsia="zh-CN"/>
                    </w:rPr>
                    <w:t>噪声</w:t>
                  </w:r>
                </w:p>
              </w:tc>
              <w:tc>
                <w:tcPr>
                  <w:tcW w:w="1331" w:type="dxa"/>
                  <w:noWrap w:val="0"/>
                  <w:vAlign w:val="center"/>
                </w:tcPr>
                <w:p>
                  <w:pPr>
                    <w:jc w:val="center"/>
                    <w:rPr>
                      <w:rFonts w:hint="default"/>
                      <w:color w:val="auto"/>
                      <w:sz w:val="18"/>
                      <w:szCs w:val="18"/>
                      <w:lang w:val="en-US" w:eastAsia="zh-CN"/>
                    </w:rPr>
                  </w:pPr>
                  <w:r>
                    <w:rPr>
                      <w:rFonts w:hint="eastAsia"/>
                      <w:color w:val="auto"/>
                      <w:sz w:val="18"/>
                      <w:szCs w:val="18"/>
                      <w:lang w:val="en-US" w:eastAsia="zh-CN"/>
                    </w:rPr>
                    <w:t>噪声源</w:t>
                  </w:r>
                </w:p>
              </w:tc>
              <w:tc>
                <w:tcPr>
                  <w:tcW w:w="1545" w:type="dxa"/>
                  <w:noWrap w:val="0"/>
                  <w:vAlign w:val="center"/>
                </w:tcPr>
                <w:p>
                  <w:pPr>
                    <w:jc w:val="center"/>
                    <w:rPr>
                      <w:rFonts w:hint="default"/>
                      <w:color w:val="auto"/>
                      <w:sz w:val="18"/>
                      <w:szCs w:val="18"/>
                      <w:lang w:val="en-US" w:eastAsia="zh-CN"/>
                    </w:rPr>
                  </w:pPr>
                  <w:r>
                    <w:rPr>
                      <w:rFonts w:hint="eastAsia"/>
                      <w:color w:val="auto"/>
                      <w:sz w:val="18"/>
                      <w:szCs w:val="18"/>
                      <w:lang w:val="en-US" w:eastAsia="zh-CN"/>
                    </w:rPr>
                    <w:t>厂界</w:t>
                  </w:r>
                </w:p>
              </w:tc>
              <w:tc>
                <w:tcPr>
                  <w:tcW w:w="2595" w:type="dxa"/>
                  <w:noWrap w:val="0"/>
                  <w:vAlign w:val="center"/>
                </w:tcPr>
                <w:p>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rPr>
                    <w:t>等效连续A声级</w:t>
                  </w:r>
                </w:p>
              </w:tc>
              <w:tc>
                <w:tcPr>
                  <w:tcW w:w="1457" w:type="dxa"/>
                  <w:noWrap w:val="0"/>
                  <w:vAlign w:val="center"/>
                </w:tcPr>
                <w:p>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昼</w:t>
                  </w:r>
                  <w:r>
                    <w:rPr>
                      <w:rFonts w:hint="eastAsia" w:cs="Times New Roman"/>
                      <w:color w:val="auto"/>
                      <w:sz w:val="18"/>
                      <w:szCs w:val="18"/>
                      <w:lang w:val="en-US" w:eastAsia="zh-CN"/>
                    </w:rPr>
                    <w:t>、夜</w:t>
                  </w:r>
                  <w:r>
                    <w:rPr>
                      <w:rFonts w:hint="eastAsia" w:ascii="Times New Roman" w:hAnsi="Times New Roman" w:eastAsia="宋体" w:cs="Times New Roman"/>
                      <w:color w:val="auto"/>
                      <w:sz w:val="18"/>
                      <w:szCs w:val="18"/>
                      <w:lang w:val="en-US" w:eastAsia="zh-CN"/>
                    </w:rPr>
                    <w:t>1次/天，2天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024" w:type="dxa"/>
                  <w:noWrap w:val="0"/>
                  <w:vAlign w:val="center"/>
                </w:tcPr>
                <w:p>
                  <w:pPr>
                    <w:jc w:val="center"/>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固废</w:t>
                  </w:r>
                </w:p>
                <w:p>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rPr>
                    <w:t>堆放场</w:t>
                  </w:r>
                </w:p>
              </w:tc>
              <w:tc>
                <w:tcPr>
                  <w:tcW w:w="1331" w:type="dxa"/>
                  <w:noWrap w:val="0"/>
                  <w:vAlign w:val="center"/>
                </w:tcPr>
                <w:p>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rPr>
                    <w:t>危废暂存仓库</w:t>
                  </w:r>
                </w:p>
              </w:tc>
              <w:tc>
                <w:tcPr>
                  <w:tcW w:w="1545" w:type="dxa"/>
                  <w:noWrap w:val="0"/>
                  <w:vAlign w:val="center"/>
                </w:tcPr>
                <w:p>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w:t>
                  </w:r>
                </w:p>
              </w:tc>
              <w:tc>
                <w:tcPr>
                  <w:tcW w:w="2595" w:type="dxa"/>
                  <w:noWrap w:val="0"/>
                  <w:vAlign w:val="center"/>
                </w:tcPr>
                <w:p>
                  <w:pPr>
                    <w:jc w:val="center"/>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是否符合规范要求</w:t>
                  </w:r>
                </w:p>
              </w:tc>
              <w:tc>
                <w:tcPr>
                  <w:tcW w:w="1457" w:type="dxa"/>
                  <w:noWrap w:val="0"/>
                  <w:vAlign w:val="center"/>
                </w:tcPr>
                <w:p>
                  <w:pPr>
                    <w:jc w:val="center"/>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024" w:type="dxa"/>
                  <w:noWrap w:val="0"/>
                  <w:vAlign w:val="center"/>
                </w:tcPr>
                <w:p>
                  <w:pPr>
                    <w:jc w:val="center"/>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排污口</w:t>
                  </w:r>
                </w:p>
                <w:p>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rPr>
                    <w:t>规范化</w:t>
                  </w:r>
                </w:p>
              </w:tc>
              <w:tc>
                <w:tcPr>
                  <w:tcW w:w="1331" w:type="dxa"/>
                  <w:noWrap w:val="0"/>
                  <w:vAlign w:val="center"/>
                </w:tcPr>
                <w:p>
                  <w:pPr>
                    <w:jc w:val="center"/>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废气等排放</w:t>
                  </w:r>
                </w:p>
                <w:p>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rPr>
                    <w:t>规范化及标志</w:t>
                  </w:r>
                </w:p>
              </w:tc>
              <w:tc>
                <w:tcPr>
                  <w:tcW w:w="1545" w:type="dxa"/>
                  <w:noWrap w:val="0"/>
                  <w:vAlign w:val="center"/>
                </w:tcPr>
                <w:p>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w:t>
                  </w:r>
                </w:p>
              </w:tc>
              <w:tc>
                <w:tcPr>
                  <w:tcW w:w="2595" w:type="dxa"/>
                  <w:noWrap w:val="0"/>
                  <w:vAlign w:val="center"/>
                </w:tcPr>
                <w:p>
                  <w:pPr>
                    <w:jc w:val="center"/>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是否满足规范要求</w:t>
                  </w:r>
                </w:p>
              </w:tc>
              <w:tc>
                <w:tcPr>
                  <w:tcW w:w="1457" w:type="dxa"/>
                  <w:noWrap w:val="0"/>
                  <w:vAlign w:val="center"/>
                </w:tcPr>
                <w:p>
                  <w:pPr>
                    <w:jc w:val="center"/>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w:t>
                  </w:r>
                </w:p>
              </w:tc>
            </w:tr>
          </w:tbl>
          <w:p>
            <w:pPr>
              <w:adjustRightInd w:val="0"/>
              <w:snapToGrid w:val="0"/>
              <w:spacing w:line="500" w:lineRule="exact"/>
              <w:ind w:firstLine="422" w:firstLineChars="200"/>
              <w:rPr>
                <w:rFonts w:hint="eastAsia" w:ascii="Times New Roman" w:hAnsi="Times New Roman" w:eastAsia="宋体" w:cs="Times New Roman"/>
                <w:b/>
                <w:color w:val="auto"/>
                <w:szCs w:val="21"/>
                <w:highlight w:val="none"/>
                <w:lang w:val="en-US" w:eastAsia="zh-CN"/>
              </w:rPr>
            </w:pPr>
            <w:r>
              <w:rPr>
                <w:rFonts w:hint="eastAsia" w:ascii="Times New Roman" w:hAnsi="Times New Roman" w:eastAsia="宋体" w:cs="Times New Roman"/>
                <w:b/>
                <w:color w:val="auto"/>
                <w:szCs w:val="21"/>
                <w:highlight w:val="none"/>
                <w:lang w:val="en-US" w:eastAsia="zh-CN"/>
              </w:rPr>
              <w:t>十、环境应急管理制度</w:t>
            </w:r>
          </w:p>
          <w:p>
            <w:pPr>
              <w:adjustRightInd w:val="0"/>
              <w:snapToGrid w:val="0"/>
              <w:spacing w:line="500" w:lineRule="exact"/>
              <w:ind w:firstLine="420" w:firstLineChars="200"/>
              <w:rPr>
                <w:rFonts w:hint="eastAsia" w:ascii="Times New Roman" w:hAnsi="Times New Roman" w:eastAsia="宋体" w:cs="Times New Roman"/>
                <w:b w:val="0"/>
                <w:bCs/>
                <w:color w:val="auto"/>
                <w:szCs w:val="21"/>
                <w:highlight w:val="none"/>
                <w:lang w:val="en-US" w:eastAsia="zh-CN"/>
              </w:rPr>
            </w:pPr>
            <w:r>
              <w:rPr>
                <w:rFonts w:hint="eastAsia" w:ascii="Times New Roman" w:hAnsi="Times New Roman" w:eastAsia="宋体" w:cs="Times New Roman"/>
                <w:b w:val="0"/>
                <w:bCs/>
                <w:color w:val="auto"/>
                <w:szCs w:val="21"/>
                <w:highlight w:val="none"/>
                <w:lang w:val="en-US" w:eastAsia="zh-CN"/>
              </w:rPr>
              <w:t>1、项目建成后完善环境风险防控和应急措施制度，明确环境风险防控重点岗位的责任人或责任机构，落实定期巡检和维护责任制度。</w:t>
            </w:r>
          </w:p>
          <w:p>
            <w:pPr>
              <w:adjustRightInd w:val="0"/>
              <w:snapToGrid w:val="0"/>
              <w:spacing w:line="500" w:lineRule="exact"/>
              <w:ind w:firstLine="420" w:firstLineChars="200"/>
              <w:rPr>
                <w:rFonts w:hint="eastAsia" w:ascii="Times New Roman" w:hAnsi="Times New Roman" w:eastAsia="宋体" w:cs="Times New Roman"/>
                <w:b w:val="0"/>
                <w:bCs/>
                <w:color w:val="auto"/>
                <w:szCs w:val="21"/>
                <w:highlight w:val="none"/>
                <w:lang w:val="en-US" w:eastAsia="zh-CN"/>
              </w:rPr>
            </w:pPr>
            <w:r>
              <w:rPr>
                <w:rFonts w:hint="eastAsia" w:ascii="Times New Roman" w:hAnsi="Times New Roman" w:eastAsia="宋体" w:cs="Times New Roman"/>
                <w:b w:val="0"/>
                <w:bCs/>
                <w:color w:val="auto"/>
                <w:szCs w:val="21"/>
                <w:highlight w:val="none"/>
                <w:lang w:val="en-US" w:eastAsia="zh-CN"/>
              </w:rPr>
              <w:t>2、落实环评及批复文件的各项环境风险防控和应急措施。</w:t>
            </w:r>
          </w:p>
          <w:p>
            <w:pPr>
              <w:adjustRightInd w:val="0"/>
              <w:snapToGrid w:val="0"/>
              <w:spacing w:line="500" w:lineRule="exact"/>
              <w:ind w:firstLine="420" w:firstLineChars="200"/>
              <w:rPr>
                <w:rFonts w:hint="eastAsia" w:ascii="Times New Roman" w:hAnsi="Times New Roman" w:eastAsia="宋体" w:cs="Times New Roman"/>
                <w:b w:val="0"/>
                <w:bCs/>
                <w:color w:val="auto"/>
                <w:szCs w:val="21"/>
                <w:highlight w:val="none"/>
                <w:lang w:val="en-US" w:eastAsia="zh-CN"/>
              </w:rPr>
            </w:pPr>
            <w:r>
              <w:rPr>
                <w:rFonts w:hint="eastAsia" w:ascii="Times New Roman" w:hAnsi="Times New Roman" w:eastAsia="宋体" w:cs="Times New Roman"/>
                <w:b w:val="0"/>
                <w:bCs/>
                <w:color w:val="auto"/>
                <w:szCs w:val="21"/>
                <w:highlight w:val="none"/>
                <w:lang w:val="en-US" w:eastAsia="zh-CN"/>
              </w:rPr>
              <w:t>3、阶段性对职工开展环境风险和环境应急管理宣传和培训，定期开展应急演练。</w:t>
            </w:r>
          </w:p>
          <w:p>
            <w:pPr>
              <w:adjustRightInd w:val="0"/>
              <w:snapToGrid w:val="0"/>
              <w:spacing w:line="500" w:lineRule="exact"/>
              <w:ind w:firstLine="420" w:firstLineChars="200"/>
              <w:rPr>
                <w:rFonts w:hint="default" w:ascii="Times New Roman" w:hAnsi="Times New Roman" w:eastAsia="宋体" w:cs="Times New Roman"/>
                <w:b w:val="0"/>
                <w:bCs/>
                <w:color w:val="auto"/>
                <w:szCs w:val="21"/>
                <w:highlight w:val="none"/>
                <w:lang w:val="en-US" w:eastAsia="zh-CN"/>
              </w:rPr>
            </w:pPr>
            <w:r>
              <w:rPr>
                <w:rFonts w:hint="eastAsia" w:ascii="Times New Roman" w:hAnsi="Times New Roman" w:eastAsia="宋体" w:cs="Times New Roman"/>
                <w:b w:val="0"/>
                <w:bCs/>
                <w:color w:val="auto"/>
                <w:szCs w:val="21"/>
                <w:highlight w:val="none"/>
                <w:lang w:val="en-US" w:eastAsia="zh-CN"/>
              </w:rPr>
              <w:t>4、建立突发环境事件信息报告制度。</w:t>
            </w:r>
          </w:p>
          <w:p>
            <w:pPr>
              <w:adjustRightInd w:val="0"/>
              <w:snapToGrid w:val="0"/>
              <w:spacing w:line="500" w:lineRule="exact"/>
              <w:ind w:firstLine="422" w:firstLineChars="200"/>
              <w:rPr>
                <w:rFonts w:hint="eastAsia" w:ascii="Times New Roman" w:hAnsi="Times New Roman" w:eastAsia="宋体" w:cs="Times New Roman"/>
                <w:b/>
                <w:color w:val="auto"/>
                <w:szCs w:val="21"/>
                <w:highlight w:val="none"/>
                <w:lang w:val="en-US" w:eastAsia="zh-CN"/>
              </w:rPr>
            </w:pPr>
            <w:r>
              <w:rPr>
                <w:rFonts w:hint="eastAsia" w:ascii="Times New Roman" w:hAnsi="Times New Roman" w:eastAsia="宋体" w:cs="Times New Roman"/>
                <w:b/>
                <w:color w:val="auto"/>
                <w:szCs w:val="21"/>
                <w:highlight w:val="none"/>
                <w:lang w:val="en-US" w:eastAsia="zh-CN"/>
              </w:rPr>
              <w:t>十一、与《全省生态环境安全与应急管理“强基提能”三年行动计划》（苏环发〔2023〕5号）相符性分析</w:t>
            </w:r>
          </w:p>
          <w:p>
            <w:pPr>
              <w:spacing w:line="500" w:lineRule="exact"/>
              <w:rPr>
                <w:rFonts w:eastAsia="方正仿宋_GB2312"/>
              </w:rPr>
            </w:pPr>
            <w:r>
              <w:rPr>
                <w:rFonts w:hint="eastAsia" w:ascii="Times New Roman" w:hAnsi="Times New Roman" w:eastAsia="宋体" w:cs="Times New Roman"/>
                <w:b w:val="0"/>
                <w:bCs/>
                <w:color w:val="auto"/>
                <w:szCs w:val="21"/>
                <w:highlight w:val="none"/>
                <w:lang w:val="en-US" w:eastAsia="zh-CN"/>
              </w:rPr>
              <w:t>上文中已根据《全省生态环境安全与应急管理“强基提能”三年行动计划》（苏环发〔2023〕5号）中2.环评和预案质量提升到位，做到报告中做到环境风险识别、典型事故情形、风险防范措施、应急管理制度和竣工验收内容“五个明确”。</w:t>
            </w:r>
          </w:p>
        </w:tc>
      </w:tr>
    </w:tbl>
    <w:p>
      <w:pPr>
        <w:spacing w:before="159" w:beforeLines="50" w:after="159" w:afterLines="50"/>
        <w:jc w:val="center"/>
        <w:outlineLvl w:val="0"/>
        <w:rPr>
          <w:rFonts w:ascii="黑体" w:hAnsi="黑体" w:eastAsia="黑体"/>
          <w:sz w:val="30"/>
          <w:szCs w:val="30"/>
        </w:rPr>
      </w:pPr>
      <w:r>
        <w:rPr>
          <w:rFonts w:hint="eastAsia" w:ascii="黑体" w:hAnsi="黑体" w:eastAsia="黑体"/>
          <w:sz w:val="30"/>
          <w:szCs w:val="30"/>
        </w:rPr>
        <w:t>五、环境保护措施监督检查清单</w:t>
      </w:r>
    </w:p>
    <w:tbl>
      <w:tblPr>
        <w:tblStyle w:val="21"/>
        <w:tblW w:w="890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88"/>
        <w:gridCol w:w="1755"/>
        <w:gridCol w:w="1710"/>
        <w:gridCol w:w="2031"/>
        <w:gridCol w:w="192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1488" w:type="dxa"/>
            <w:tcBorders>
              <w:tl2br w:val="single" w:color="auto" w:sz="4" w:space="0"/>
            </w:tcBorders>
          </w:tcPr>
          <w:p>
            <w:pPr>
              <w:adjustRightInd w:val="0"/>
              <w:snapToGrid w:val="0"/>
              <w:ind w:firstLine="840"/>
              <w:rPr>
                <w:szCs w:val="21"/>
              </w:rPr>
            </w:pPr>
            <w:r>
              <w:rPr>
                <w:szCs w:val="21"/>
              </w:rPr>
              <w:t>内容</w:t>
            </w:r>
          </w:p>
          <w:p>
            <w:pPr>
              <w:adjustRightInd w:val="0"/>
              <w:snapToGrid w:val="0"/>
              <w:rPr>
                <w:szCs w:val="21"/>
              </w:rPr>
            </w:pPr>
          </w:p>
          <w:p>
            <w:pPr>
              <w:adjustRightInd w:val="0"/>
              <w:snapToGrid w:val="0"/>
              <w:rPr>
                <w:szCs w:val="21"/>
              </w:rPr>
            </w:pPr>
            <w:r>
              <w:rPr>
                <w:szCs w:val="21"/>
              </w:rPr>
              <w:t>要素</w:t>
            </w:r>
          </w:p>
        </w:tc>
        <w:tc>
          <w:tcPr>
            <w:tcW w:w="1755" w:type="dxa"/>
            <w:vAlign w:val="center"/>
          </w:tcPr>
          <w:p>
            <w:pPr>
              <w:adjustRightInd w:val="0"/>
              <w:snapToGrid w:val="0"/>
              <w:jc w:val="center"/>
              <w:rPr>
                <w:szCs w:val="21"/>
              </w:rPr>
            </w:pPr>
            <w:r>
              <w:rPr>
                <w:szCs w:val="21"/>
              </w:rPr>
              <w:t>排放口（编号、</w:t>
            </w:r>
          </w:p>
          <w:p>
            <w:pPr>
              <w:adjustRightInd w:val="0"/>
              <w:snapToGrid w:val="0"/>
              <w:jc w:val="center"/>
              <w:rPr>
                <w:szCs w:val="21"/>
              </w:rPr>
            </w:pPr>
            <w:r>
              <w:rPr>
                <w:szCs w:val="21"/>
              </w:rPr>
              <w:t>名称）/污染源</w:t>
            </w:r>
          </w:p>
        </w:tc>
        <w:tc>
          <w:tcPr>
            <w:tcW w:w="1710" w:type="dxa"/>
            <w:vAlign w:val="center"/>
          </w:tcPr>
          <w:p>
            <w:pPr>
              <w:adjustRightInd w:val="0"/>
              <w:snapToGrid w:val="0"/>
              <w:jc w:val="center"/>
              <w:rPr>
                <w:szCs w:val="21"/>
              </w:rPr>
            </w:pPr>
            <w:r>
              <w:rPr>
                <w:szCs w:val="21"/>
              </w:rPr>
              <w:t>污染物项目</w:t>
            </w:r>
          </w:p>
        </w:tc>
        <w:tc>
          <w:tcPr>
            <w:tcW w:w="2031" w:type="dxa"/>
            <w:vAlign w:val="center"/>
          </w:tcPr>
          <w:p>
            <w:pPr>
              <w:adjustRightInd w:val="0"/>
              <w:snapToGrid w:val="0"/>
              <w:jc w:val="center"/>
              <w:rPr>
                <w:szCs w:val="21"/>
              </w:rPr>
            </w:pPr>
            <w:r>
              <w:rPr>
                <w:szCs w:val="21"/>
              </w:rPr>
              <w:t>环境保护措施</w:t>
            </w:r>
          </w:p>
        </w:tc>
        <w:tc>
          <w:tcPr>
            <w:tcW w:w="1925" w:type="dxa"/>
            <w:vAlign w:val="center"/>
          </w:tcPr>
          <w:p>
            <w:pPr>
              <w:adjustRightInd w:val="0"/>
              <w:snapToGrid w:val="0"/>
              <w:jc w:val="center"/>
              <w:rPr>
                <w:szCs w:val="21"/>
              </w:rPr>
            </w:pPr>
            <w:r>
              <w:rPr>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488" w:type="dxa"/>
            <w:vMerge w:val="restart"/>
            <w:vAlign w:val="center"/>
          </w:tcPr>
          <w:p>
            <w:pPr>
              <w:adjustRightInd w:val="0"/>
              <w:snapToGrid w:val="0"/>
              <w:jc w:val="center"/>
              <w:rPr>
                <w:szCs w:val="21"/>
              </w:rPr>
            </w:pPr>
            <w:r>
              <w:rPr>
                <w:szCs w:val="21"/>
              </w:rPr>
              <w:t>大气环境</w:t>
            </w:r>
          </w:p>
        </w:tc>
        <w:tc>
          <w:tcPr>
            <w:tcW w:w="175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DA001</w:t>
            </w:r>
          </w:p>
        </w:tc>
        <w:tc>
          <w:tcPr>
            <w:tcW w:w="1710"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颗粒物、氮氧化物、二氧化硫、烟气黑度</w:t>
            </w:r>
          </w:p>
        </w:tc>
        <w:tc>
          <w:tcPr>
            <w:tcW w:w="203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w:t>
            </w:r>
            <w:r>
              <w:rPr>
                <w:rFonts w:hint="eastAsia" w:cs="Times New Roman"/>
                <w:bCs/>
                <w:color w:val="auto"/>
                <w:szCs w:val="21"/>
                <w:highlight w:val="none"/>
                <w:lang w:val="en-US" w:eastAsia="zh-CN"/>
              </w:rPr>
              <w:t>20</w:t>
            </w:r>
            <w:r>
              <w:rPr>
                <w:rFonts w:hint="eastAsia" w:ascii="Times New Roman" w:hAnsi="Times New Roman" w:eastAsia="宋体" w:cs="Times New Roman"/>
                <w:bCs/>
                <w:color w:val="auto"/>
                <w:szCs w:val="21"/>
                <w:highlight w:val="none"/>
                <w:lang w:val="en-US" w:eastAsia="zh-CN"/>
              </w:rPr>
              <w:t>m排气筒</w:t>
            </w:r>
          </w:p>
        </w:tc>
        <w:tc>
          <w:tcPr>
            <w:tcW w:w="1925" w:type="dxa"/>
            <w:vMerge w:val="restart"/>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《工业炉窑大气污染物排放标准》（DB32/3728—20</w:t>
            </w:r>
            <w:r>
              <w:rPr>
                <w:rFonts w:hint="eastAsia" w:cs="Times New Roman"/>
                <w:bCs/>
                <w:color w:val="auto"/>
                <w:szCs w:val="21"/>
                <w:highlight w:val="none"/>
                <w:lang w:val="en-US" w:eastAsia="zh-CN"/>
              </w:rPr>
              <w:t>20</w:t>
            </w:r>
            <w:r>
              <w:rPr>
                <w:rFonts w:hint="eastAsia" w:ascii="Times New Roman" w:hAnsi="Times New Roman" w:eastAsia="宋体" w:cs="Times New Roman"/>
                <w:bCs/>
                <w:color w:val="auto"/>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488" w:type="dxa"/>
            <w:vMerge w:val="continue"/>
            <w:vAlign w:val="center"/>
          </w:tcPr>
          <w:p>
            <w:pPr>
              <w:adjustRightInd w:val="0"/>
              <w:snapToGrid w:val="0"/>
              <w:jc w:val="center"/>
              <w:rPr>
                <w:szCs w:val="21"/>
              </w:rPr>
            </w:pPr>
          </w:p>
        </w:tc>
        <w:tc>
          <w:tcPr>
            <w:tcW w:w="175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DA007</w:t>
            </w:r>
          </w:p>
        </w:tc>
        <w:tc>
          <w:tcPr>
            <w:tcW w:w="1710"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颗粒物、氮氧化物、二氧化硫、烟气黑度</w:t>
            </w:r>
          </w:p>
        </w:tc>
        <w:tc>
          <w:tcPr>
            <w:tcW w:w="203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w:t>
            </w:r>
            <w:r>
              <w:rPr>
                <w:rFonts w:hint="eastAsia" w:cs="Times New Roman"/>
                <w:bCs/>
                <w:color w:val="auto"/>
                <w:szCs w:val="21"/>
                <w:highlight w:val="none"/>
                <w:lang w:val="en-US" w:eastAsia="zh-CN"/>
              </w:rPr>
              <w:t>16</w:t>
            </w:r>
            <w:r>
              <w:rPr>
                <w:rFonts w:hint="eastAsia" w:ascii="Times New Roman" w:hAnsi="Times New Roman" w:eastAsia="宋体" w:cs="Times New Roman"/>
                <w:bCs/>
                <w:color w:val="auto"/>
                <w:szCs w:val="21"/>
                <w:highlight w:val="none"/>
                <w:lang w:val="en-US" w:eastAsia="zh-CN"/>
              </w:rPr>
              <w:t>m排气筒</w:t>
            </w:r>
          </w:p>
        </w:tc>
        <w:tc>
          <w:tcPr>
            <w:tcW w:w="1925"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Cs/>
                <w:color w:val="auto"/>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488" w:type="dxa"/>
            <w:vMerge w:val="continue"/>
            <w:vAlign w:val="center"/>
          </w:tcPr>
          <w:p>
            <w:pPr>
              <w:adjustRightInd w:val="0"/>
              <w:snapToGrid w:val="0"/>
              <w:jc w:val="center"/>
              <w:rPr>
                <w:szCs w:val="21"/>
              </w:rPr>
            </w:pPr>
          </w:p>
        </w:tc>
        <w:tc>
          <w:tcPr>
            <w:tcW w:w="175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DA003</w:t>
            </w:r>
          </w:p>
        </w:tc>
        <w:tc>
          <w:tcPr>
            <w:tcW w:w="1710"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颗粒物、氮氧化物、二氧化硫、烟气黑度</w:t>
            </w:r>
          </w:p>
        </w:tc>
        <w:tc>
          <w:tcPr>
            <w:tcW w:w="203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w:t>
            </w:r>
            <w:r>
              <w:rPr>
                <w:rFonts w:hint="eastAsia" w:cs="Times New Roman"/>
                <w:bCs/>
                <w:color w:val="auto"/>
                <w:szCs w:val="21"/>
                <w:highlight w:val="none"/>
                <w:lang w:val="en-US" w:eastAsia="zh-CN"/>
              </w:rPr>
              <w:t>16</w:t>
            </w:r>
            <w:r>
              <w:rPr>
                <w:rFonts w:hint="eastAsia" w:ascii="Times New Roman" w:hAnsi="Times New Roman" w:eastAsia="宋体" w:cs="Times New Roman"/>
                <w:bCs/>
                <w:color w:val="auto"/>
                <w:szCs w:val="21"/>
                <w:highlight w:val="none"/>
                <w:lang w:val="en-US" w:eastAsia="zh-CN"/>
              </w:rPr>
              <w:t>m排气筒</w:t>
            </w:r>
          </w:p>
        </w:tc>
        <w:tc>
          <w:tcPr>
            <w:tcW w:w="1925"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Cs/>
                <w:color w:val="auto"/>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488" w:type="dxa"/>
            <w:vMerge w:val="continue"/>
            <w:vAlign w:val="center"/>
          </w:tcPr>
          <w:p>
            <w:pPr>
              <w:adjustRightInd w:val="0"/>
              <w:snapToGrid w:val="0"/>
              <w:jc w:val="center"/>
              <w:rPr>
                <w:szCs w:val="21"/>
              </w:rPr>
            </w:pPr>
          </w:p>
        </w:tc>
        <w:tc>
          <w:tcPr>
            <w:tcW w:w="175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DA008</w:t>
            </w:r>
          </w:p>
        </w:tc>
        <w:tc>
          <w:tcPr>
            <w:tcW w:w="1710"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颗粒物、氮氧化物、二氧化硫、烟气黑度</w:t>
            </w:r>
          </w:p>
        </w:tc>
        <w:tc>
          <w:tcPr>
            <w:tcW w:w="203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w:t>
            </w:r>
            <w:r>
              <w:rPr>
                <w:rFonts w:hint="eastAsia" w:cs="Times New Roman"/>
                <w:bCs/>
                <w:color w:val="auto"/>
                <w:szCs w:val="21"/>
                <w:highlight w:val="none"/>
                <w:lang w:val="en-US" w:eastAsia="zh-CN"/>
              </w:rPr>
              <w:t>16</w:t>
            </w:r>
            <w:r>
              <w:rPr>
                <w:rFonts w:hint="eastAsia" w:ascii="Times New Roman" w:hAnsi="Times New Roman" w:eastAsia="宋体" w:cs="Times New Roman"/>
                <w:bCs/>
                <w:color w:val="auto"/>
                <w:szCs w:val="21"/>
                <w:highlight w:val="none"/>
                <w:lang w:val="en-US" w:eastAsia="zh-CN"/>
              </w:rPr>
              <w:t>m排气筒</w:t>
            </w:r>
          </w:p>
        </w:tc>
        <w:tc>
          <w:tcPr>
            <w:tcW w:w="1925"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Cs/>
                <w:color w:val="auto"/>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488" w:type="dxa"/>
            <w:vMerge w:val="continue"/>
            <w:vAlign w:val="center"/>
          </w:tcPr>
          <w:p>
            <w:pPr>
              <w:adjustRightInd w:val="0"/>
              <w:snapToGrid w:val="0"/>
              <w:jc w:val="center"/>
              <w:rPr>
                <w:szCs w:val="21"/>
              </w:rPr>
            </w:pPr>
          </w:p>
        </w:tc>
        <w:tc>
          <w:tcPr>
            <w:tcW w:w="175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DA004</w:t>
            </w:r>
          </w:p>
        </w:tc>
        <w:tc>
          <w:tcPr>
            <w:tcW w:w="1710"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颗粒物、氮氧化物、二氧化硫、烟气黑度</w:t>
            </w:r>
          </w:p>
        </w:tc>
        <w:tc>
          <w:tcPr>
            <w:tcW w:w="203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w:t>
            </w:r>
            <w:r>
              <w:rPr>
                <w:rFonts w:hint="eastAsia" w:cs="Times New Roman"/>
                <w:bCs/>
                <w:color w:val="auto"/>
                <w:szCs w:val="21"/>
                <w:highlight w:val="none"/>
                <w:lang w:val="en-US" w:eastAsia="zh-CN"/>
              </w:rPr>
              <w:t>16</w:t>
            </w:r>
            <w:r>
              <w:rPr>
                <w:rFonts w:hint="eastAsia" w:ascii="Times New Roman" w:hAnsi="Times New Roman" w:eastAsia="宋体" w:cs="Times New Roman"/>
                <w:bCs/>
                <w:color w:val="auto"/>
                <w:szCs w:val="21"/>
                <w:highlight w:val="none"/>
                <w:lang w:val="en-US" w:eastAsia="zh-CN"/>
              </w:rPr>
              <w:t>m排气筒</w:t>
            </w:r>
          </w:p>
        </w:tc>
        <w:tc>
          <w:tcPr>
            <w:tcW w:w="1925"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Cs/>
                <w:color w:val="auto"/>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488" w:type="dxa"/>
            <w:vMerge w:val="continue"/>
            <w:vAlign w:val="center"/>
          </w:tcPr>
          <w:p>
            <w:pPr>
              <w:adjustRightInd w:val="0"/>
              <w:snapToGrid w:val="0"/>
              <w:jc w:val="center"/>
              <w:rPr>
                <w:szCs w:val="21"/>
              </w:rPr>
            </w:pPr>
          </w:p>
        </w:tc>
        <w:tc>
          <w:tcPr>
            <w:tcW w:w="175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DA005</w:t>
            </w:r>
          </w:p>
        </w:tc>
        <w:tc>
          <w:tcPr>
            <w:tcW w:w="1710"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颗粒物、氮氧化物、二氧化硫、烟气黑度</w:t>
            </w:r>
          </w:p>
        </w:tc>
        <w:tc>
          <w:tcPr>
            <w:tcW w:w="203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w:t>
            </w:r>
            <w:r>
              <w:rPr>
                <w:rFonts w:hint="eastAsia" w:cs="Times New Roman"/>
                <w:bCs/>
                <w:color w:val="auto"/>
                <w:szCs w:val="21"/>
                <w:highlight w:val="none"/>
                <w:lang w:val="en-US" w:eastAsia="zh-CN"/>
              </w:rPr>
              <w:t>16</w:t>
            </w:r>
            <w:r>
              <w:rPr>
                <w:rFonts w:hint="eastAsia" w:ascii="Times New Roman" w:hAnsi="Times New Roman" w:eastAsia="宋体" w:cs="Times New Roman"/>
                <w:bCs/>
                <w:color w:val="auto"/>
                <w:szCs w:val="21"/>
                <w:highlight w:val="none"/>
                <w:lang w:val="en-US" w:eastAsia="zh-CN"/>
              </w:rPr>
              <w:t>m排气筒</w:t>
            </w:r>
          </w:p>
        </w:tc>
        <w:tc>
          <w:tcPr>
            <w:tcW w:w="1925"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Cs/>
                <w:color w:val="auto"/>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488" w:type="dxa"/>
            <w:vMerge w:val="continue"/>
            <w:vAlign w:val="center"/>
          </w:tcPr>
          <w:p>
            <w:pPr>
              <w:adjustRightInd w:val="0"/>
              <w:snapToGrid w:val="0"/>
              <w:jc w:val="center"/>
              <w:rPr>
                <w:szCs w:val="21"/>
              </w:rPr>
            </w:pPr>
          </w:p>
        </w:tc>
        <w:tc>
          <w:tcPr>
            <w:tcW w:w="175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DA009</w:t>
            </w:r>
          </w:p>
        </w:tc>
        <w:tc>
          <w:tcPr>
            <w:tcW w:w="1710"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颗粒物</w:t>
            </w:r>
          </w:p>
        </w:tc>
        <w:tc>
          <w:tcPr>
            <w:tcW w:w="203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布袋除尘器+</w:t>
            </w:r>
            <w:r>
              <w:rPr>
                <w:rFonts w:hint="eastAsia" w:cs="Times New Roman"/>
                <w:bCs/>
                <w:color w:val="auto"/>
                <w:szCs w:val="21"/>
                <w:highlight w:val="none"/>
                <w:lang w:val="en-US" w:eastAsia="zh-CN"/>
              </w:rPr>
              <w:t>16</w:t>
            </w:r>
            <w:r>
              <w:rPr>
                <w:rFonts w:hint="eastAsia" w:ascii="Times New Roman" w:hAnsi="Times New Roman" w:eastAsia="宋体" w:cs="Times New Roman"/>
                <w:bCs/>
                <w:color w:val="auto"/>
                <w:szCs w:val="21"/>
                <w:highlight w:val="none"/>
                <w:lang w:val="en-US" w:eastAsia="zh-CN"/>
              </w:rPr>
              <w:t>m排气筒</w:t>
            </w:r>
          </w:p>
        </w:tc>
        <w:tc>
          <w:tcPr>
            <w:tcW w:w="1925" w:type="dxa"/>
            <w:vMerge w:val="restart"/>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江苏省《大气污染物综合排放标准》（DB32/4041—2021）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488" w:type="dxa"/>
            <w:vMerge w:val="continue"/>
            <w:vAlign w:val="center"/>
          </w:tcPr>
          <w:p>
            <w:pPr>
              <w:adjustRightInd w:val="0"/>
              <w:snapToGrid w:val="0"/>
              <w:jc w:val="center"/>
              <w:rPr>
                <w:szCs w:val="21"/>
              </w:rPr>
            </w:pPr>
          </w:p>
        </w:tc>
        <w:tc>
          <w:tcPr>
            <w:tcW w:w="175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生产车间</w:t>
            </w:r>
          </w:p>
        </w:tc>
        <w:tc>
          <w:tcPr>
            <w:tcW w:w="1710"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颗粒物、非甲烷总烃</w:t>
            </w:r>
          </w:p>
        </w:tc>
        <w:tc>
          <w:tcPr>
            <w:tcW w:w="203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移动式除尘器</w:t>
            </w:r>
          </w:p>
        </w:tc>
        <w:tc>
          <w:tcPr>
            <w:tcW w:w="1925"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Cs/>
                <w:color w:val="FF0000"/>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488" w:type="dxa"/>
            <w:vMerge w:val="restart"/>
            <w:vAlign w:val="center"/>
          </w:tcPr>
          <w:p>
            <w:pPr>
              <w:adjustRightInd w:val="0"/>
              <w:snapToGrid w:val="0"/>
              <w:jc w:val="center"/>
              <w:rPr>
                <w:szCs w:val="21"/>
              </w:rPr>
            </w:pPr>
            <w:r>
              <w:rPr>
                <w:szCs w:val="21"/>
              </w:rPr>
              <w:t>地表水环境</w:t>
            </w:r>
          </w:p>
        </w:tc>
        <w:tc>
          <w:tcPr>
            <w:tcW w:w="1755" w:type="dxa"/>
            <w:vMerge w:val="restart"/>
            <w:vAlign w:val="center"/>
          </w:tcPr>
          <w:p>
            <w:pPr>
              <w:adjustRightInd w:val="0"/>
              <w:snapToGrid w:val="0"/>
              <w:jc w:val="center"/>
              <w:rPr>
                <w:szCs w:val="21"/>
              </w:rPr>
            </w:pPr>
            <w:r>
              <w:rPr>
                <w:szCs w:val="21"/>
              </w:rPr>
              <w:t>废水总排口</w:t>
            </w:r>
          </w:p>
        </w:tc>
        <w:tc>
          <w:tcPr>
            <w:tcW w:w="1710" w:type="dxa"/>
            <w:vAlign w:val="center"/>
          </w:tcPr>
          <w:p>
            <w:pPr>
              <w:adjustRightInd w:val="0"/>
              <w:snapToGrid w:val="0"/>
              <w:jc w:val="center"/>
              <w:rPr>
                <w:szCs w:val="21"/>
              </w:rPr>
            </w:pPr>
            <w:r>
              <w:rPr>
                <w:szCs w:val="21"/>
              </w:rPr>
              <w:t>化学需氧量</w:t>
            </w:r>
          </w:p>
        </w:tc>
        <w:tc>
          <w:tcPr>
            <w:tcW w:w="2031" w:type="dxa"/>
            <w:vMerge w:val="restart"/>
            <w:vAlign w:val="center"/>
          </w:tcPr>
          <w:p>
            <w:pPr>
              <w:adjustRightInd w:val="0"/>
              <w:snapToGrid w:val="0"/>
              <w:jc w:val="center"/>
              <w:rPr>
                <w:szCs w:val="21"/>
              </w:rPr>
            </w:pPr>
            <w:r>
              <w:rPr>
                <w:rFonts w:hint="eastAsia"/>
                <w:szCs w:val="21"/>
              </w:rPr>
              <w:t>化粪池</w:t>
            </w:r>
            <w:r>
              <w:rPr>
                <w:rFonts w:hint="eastAsia"/>
                <w:szCs w:val="21"/>
                <w:lang w:eastAsia="zh-CN"/>
              </w:rPr>
              <w:t>、隔油池、冷却池</w:t>
            </w:r>
          </w:p>
        </w:tc>
        <w:tc>
          <w:tcPr>
            <w:tcW w:w="1925" w:type="dxa"/>
            <w:vMerge w:val="restart"/>
            <w:vAlign w:val="center"/>
          </w:tcPr>
          <w:p>
            <w:pPr>
              <w:wordWrap w:val="0"/>
              <w:adjustRightInd w:val="0"/>
              <w:snapToGrid w:val="0"/>
              <w:rPr>
                <w:szCs w:val="21"/>
              </w:rPr>
            </w:pPr>
            <w:r>
              <w:rPr>
                <w:rFonts w:hint="eastAsia"/>
                <w:szCs w:val="21"/>
              </w:rPr>
              <w:t>《污水综合排放标准》（GB8978-1996）、《污水排入城镇下水道水质标准》（GB/T31962-2015）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488" w:type="dxa"/>
            <w:vMerge w:val="continue"/>
            <w:vAlign w:val="center"/>
          </w:tcPr>
          <w:p>
            <w:pPr>
              <w:adjustRightInd w:val="0"/>
              <w:snapToGrid w:val="0"/>
              <w:jc w:val="center"/>
              <w:rPr>
                <w:szCs w:val="21"/>
              </w:rPr>
            </w:pPr>
          </w:p>
        </w:tc>
        <w:tc>
          <w:tcPr>
            <w:tcW w:w="1755" w:type="dxa"/>
            <w:vMerge w:val="continue"/>
            <w:vAlign w:val="center"/>
          </w:tcPr>
          <w:p>
            <w:pPr>
              <w:adjustRightInd w:val="0"/>
              <w:snapToGrid w:val="0"/>
              <w:jc w:val="center"/>
              <w:rPr>
                <w:szCs w:val="21"/>
              </w:rPr>
            </w:pPr>
          </w:p>
        </w:tc>
        <w:tc>
          <w:tcPr>
            <w:tcW w:w="1710" w:type="dxa"/>
            <w:vAlign w:val="center"/>
          </w:tcPr>
          <w:p>
            <w:pPr>
              <w:adjustRightInd w:val="0"/>
              <w:snapToGrid w:val="0"/>
              <w:jc w:val="center"/>
              <w:rPr>
                <w:szCs w:val="21"/>
              </w:rPr>
            </w:pPr>
            <w:r>
              <w:rPr>
                <w:szCs w:val="21"/>
              </w:rPr>
              <w:t>悬浮物</w:t>
            </w:r>
          </w:p>
        </w:tc>
        <w:tc>
          <w:tcPr>
            <w:tcW w:w="2031" w:type="dxa"/>
            <w:vMerge w:val="continue"/>
            <w:vAlign w:val="center"/>
          </w:tcPr>
          <w:p>
            <w:pPr>
              <w:adjustRightInd w:val="0"/>
              <w:snapToGrid w:val="0"/>
              <w:jc w:val="center"/>
              <w:rPr>
                <w:szCs w:val="21"/>
              </w:rPr>
            </w:pPr>
          </w:p>
        </w:tc>
        <w:tc>
          <w:tcPr>
            <w:tcW w:w="1925" w:type="dxa"/>
            <w:vMerge w:val="continue"/>
            <w:vAlign w:val="center"/>
          </w:tcPr>
          <w:p>
            <w:pPr>
              <w:adjustRightInd w:val="0"/>
              <w:snapToGrid w:val="0"/>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488" w:type="dxa"/>
            <w:vMerge w:val="continue"/>
            <w:vAlign w:val="center"/>
          </w:tcPr>
          <w:p>
            <w:pPr>
              <w:adjustRightInd w:val="0"/>
              <w:snapToGrid w:val="0"/>
              <w:jc w:val="center"/>
              <w:rPr>
                <w:szCs w:val="21"/>
              </w:rPr>
            </w:pPr>
          </w:p>
        </w:tc>
        <w:tc>
          <w:tcPr>
            <w:tcW w:w="1755" w:type="dxa"/>
            <w:vMerge w:val="continue"/>
            <w:vAlign w:val="center"/>
          </w:tcPr>
          <w:p>
            <w:pPr>
              <w:adjustRightInd w:val="0"/>
              <w:snapToGrid w:val="0"/>
              <w:jc w:val="center"/>
              <w:rPr>
                <w:szCs w:val="21"/>
              </w:rPr>
            </w:pPr>
          </w:p>
        </w:tc>
        <w:tc>
          <w:tcPr>
            <w:tcW w:w="1710" w:type="dxa"/>
            <w:vAlign w:val="center"/>
          </w:tcPr>
          <w:p>
            <w:pPr>
              <w:adjustRightInd w:val="0"/>
              <w:snapToGrid w:val="0"/>
              <w:jc w:val="center"/>
              <w:rPr>
                <w:szCs w:val="21"/>
              </w:rPr>
            </w:pPr>
            <w:r>
              <w:rPr>
                <w:szCs w:val="21"/>
              </w:rPr>
              <w:t>氨氮</w:t>
            </w:r>
          </w:p>
        </w:tc>
        <w:tc>
          <w:tcPr>
            <w:tcW w:w="2031" w:type="dxa"/>
            <w:vMerge w:val="continue"/>
            <w:vAlign w:val="center"/>
          </w:tcPr>
          <w:p>
            <w:pPr>
              <w:adjustRightInd w:val="0"/>
              <w:snapToGrid w:val="0"/>
              <w:jc w:val="center"/>
              <w:rPr>
                <w:szCs w:val="21"/>
              </w:rPr>
            </w:pPr>
          </w:p>
        </w:tc>
        <w:tc>
          <w:tcPr>
            <w:tcW w:w="1925" w:type="dxa"/>
            <w:vMerge w:val="continue"/>
            <w:vAlign w:val="center"/>
          </w:tcPr>
          <w:p>
            <w:pPr>
              <w:adjustRightInd w:val="0"/>
              <w:snapToGrid w:val="0"/>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488" w:type="dxa"/>
            <w:vMerge w:val="continue"/>
            <w:vAlign w:val="center"/>
          </w:tcPr>
          <w:p>
            <w:pPr>
              <w:adjustRightInd w:val="0"/>
              <w:snapToGrid w:val="0"/>
              <w:jc w:val="center"/>
              <w:rPr>
                <w:szCs w:val="21"/>
              </w:rPr>
            </w:pPr>
          </w:p>
        </w:tc>
        <w:tc>
          <w:tcPr>
            <w:tcW w:w="1755" w:type="dxa"/>
            <w:vMerge w:val="continue"/>
            <w:vAlign w:val="center"/>
          </w:tcPr>
          <w:p>
            <w:pPr>
              <w:adjustRightInd w:val="0"/>
              <w:snapToGrid w:val="0"/>
              <w:jc w:val="center"/>
              <w:rPr>
                <w:szCs w:val="21"/>
              </w:rPr>
            </w:pPr>
          </w:p>
        </w:tc>
        <w:tc>
          <w:tcPr>
            <w:tcW w:w="1710" w:type="dxa"/>
            <w:vAlign w:val="center"/>
          </w:tcPr>
          <w:p>
            <w:pPr>
              <w:adjustRightInd w:val="0"/>
              <w:snapToGrid w:val="0"/>
              <w:jc w:val="center"/>
              <w:rPr>
                <w:szCs w:val="21"/>
              </w:rPr>
            </w:pPr>
            <w:r>
              <w:rPr>
                <w:szCs w:val="21"/>
              </w:rPr>
              <w:t>总磷</w:t>
            </w:r>
          </w:p>
        </w:tc>
        <w:tc>
          <w:tcPr>
            <w:tcW w:w="2031" w:type="dxa"/>
            <w:vMerge w:val="continue"/>
            <w:vAlign w:val="center"/>
          </w:tcPr>
          <w:p>
            <w:pPr>
              <w:adjustRightInd w:val="0"/>
              <w:snapToGrid w:val="0"/>
              <w:jc w:val="center"/>
              <w:rPr>
                <w:szCs w:val="21"/>
              </w:rPr>
            </w:pPr>
          </w:p>
        </w:tc>
        <w:tc>
          <w:tcPr>
            <w:tcW w:w="1925" w:type="dxa"/>
            <w:vMerge w:val="continue"/>
            <w:vAlign w:val="center"/>
          </w:tcPr>
          <w:p>
            <w:pPr>
              <w:adjustRightInd w:val="0"/>
              <w:snapToGrid w:val="0"/>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488" w:type="dxa"/>
            <w:vMerge w:val="continue"/>
            <w:vAlign w:val="center"/>
          </w:tcPr>
          <w:p>
            <w:pPr>
              <w:adjustRightInd w:val="0"/>
              <w:snapToGrid w:val="0"/>
              <w:jc w:val="center"/>
              <w:rPr>
                <w:szCs w:val="21"/>
              </w:rPr>
            </w:pPr>
          </w:p>
        </w:tc>
        <w:tc>
          <w:tcPr>
            <w:tcW w:w="1755" w:type="dxa"/>
            <w:vMerge w:val="continue"/>
            <w:vAlign w:val="center"/>
          </w:tcPr>
          <w:p>
            <w:pPr>
              <w:adjustRightInd w:val="0"/>
              <w:snapToGrid w:val="0"/>
              <w:jc w:val="center"/>
              <w:rPr>
                <w:szCs w:val="21"/>
              </w:rPr>
            </w:pPr>
          </w:p>
        </w:tc>
        <w:tc>
          <w:tcPr>
            <w:tcW w:w="1710" w:type="dxa"/>
            <w:vAlign w:val="center"/>
          </w:tcPr>
          <w:p>
            <w:pPr>
              <w:adjustRightInd w:val="0"/>
              <w:snapToGrid w:val="0"/>
              <w:jc w:val="center"/>
              <w:rPr>
                <w:szCs w:val="21"/>
              </w:rPr>
            </w:pPr>
            <w:r>
              <w:rPr>
                <w:rFonts w:hint="eastAsia"/>
                <w:szCs w:val="21"/>
              </w:rPr>
              <w:t>总氮</w:t>
            </w:r>
          </w:p>
        </w:tc>
        <w:tc>
          <w:tcPr>
            <w:tcW w:w="2031" w:type="dxa"/>
            <w:vMerge w:val="continue"/>
            <w:vAlign w:val="center"/>
          </w:tcPr>
          <w:p>
            <w:pPr>
              <w:adjustRightInd w:val="0"/>
              <w:snapToGrid w:val="0"/>
              <w:jc w:val="center"/>
              <w:rPr>
                <w:szCs w:val="21"/>
              </w:rPr>
            </w:pPr>
          </w:p>
        </w:tc>
        <w:tc>
          <w:tcPr>
            <w:tcW w:w="1925" w:type="dxa"/>
            <w:vMerge w:val="continue"/>
            <w:vAlign w:val="center"/>
          </w:tcPr>
          <w:p>
            <w:pPr>
              <w:adjustRightInd w:val="0"/>
              <w:snapToGrid w:val="0"/>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488" w:type="dxa"/>
            <w:vMerge w:val="continue"/>
            <w:vAlign w:val="center"/>
          </w:tcPr>
          <w:p>
            <w:pPr>
              <w:adjustRightInd w:val="0"/>
              <w:snapToGrid w:val="0"/>
              <w:jc w:val="center"/>
              <w:rPr>
                <w:szCs w:val="21"/>
              </w:rPr>
            </w:pPr>
          </w:p>
        </w:tc>
        <w:tc>
          <w:tcPr>
            <w:tcW w:w="1755" w:type="dxa"/>
            <w:vMerge w:val="continue"/>
            <w:vAlign w:val="center"/>
          </w:tcPr>
          <w:p>
            <w:pPr>
              <w:adjustRightInd w:val="0"/>
              <w:snapToGrid w:val="0"/>
              <w:jc w:val="center"/>
              <w:rPr>
                <w:szCs w:val="21"/>
              </w:rPr>
            </w:pPr>
          </w:p>
        </w:tc>
        <w:tc>
          <w:tcPr>
            <w:tcW w:w="1710" w:type="dxa"/>
            <w:vAlign w:val="center"/>
          </w:tcPr>
          <w:p>
            <w:pPr>
              <w:adjustRightInd w:val="0"/>
              <w:snapToGrid w:val="0"/>
              <w:jc w:val="center"/>
              <w:rPr>
                <w:rFonts w:hint="eastAsia" w:eastAsia="宋体"/>
                <w:szCs w:val="21"/>
                <w:lang w:eastAsia="zh-CN"/>
              </w:rPr>
            </w:pPr>
            <w:r>
              <w:rPr>
                <w:rFonts w:hint="eastAsia"/>
                <w:szCs w:val="21"/>
                <w:lang w:eastAsia="zh-CN"/>
              </w:rPr>
              <w:t>动植物油</w:t>
            </w:r>
          </w:p>
        </w:tc>
        <w:tc>
          <w:tcPr>
            <w:tcW w:w="2031" w:type="dxa"/>
            <w:vMerge w:val="continue"/>
            <w:vAlign w:val="center"/>
          </w:tcPr>
          <w:p>
            <w:pPr>
              <w:adjustRightInd w:val="0"/>
              <w:snapToGrid w:val="0"/>
              <w:jc w:val="center"/>
              <w:rPr>
                <w:szCs w:val="21"/>
              </w:rPr>
            </w:pPr>
          </w:p>
        </w:tc>
        <w:tc>
          <w:tcPr>
            <w:tcW w:w="1925" w:type="dxa"/>
            <w:vMerge w:val="continue"/>
            <w:vAlign w:val="center"/>
          </w:tcPr>
          <w:p>
            <w:pPr>
              <w:adjustRightInd w:val="0"/>
              <w:snapToGrid w:val="0"/>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488" w:type="dxa"/>
            <w:vAlign w:val="center"/>
          </w:tcPr>
          <w:p>
            <w:pPr>
              <w:adjustRightInd w:val="0"/>
              <w:snapToGrid w:val="0"/>
              <w:jc w:val="center"/>
              <w:rPr>
                <w:szCs w:val="21"/>
              </w:rPr>
            </w:pPr>
            <w:r>
              <w:rPr>
                <w:szCs w:val="21"/>
              </w:rPr>
              <w:t>声环境</w:t>
            </w:r>
          </w:p>
        </w:tc>
        <w:tc>
          <w:tcPr>
            <w:tcW w:w="1755" w:type="dxa"/>
            <w:vAlign w:val="center"/>
          </w:tcPr>
          <w:p>
            <w:pPr>
              <w:adjustRightInd w:val="0"/>
              <w:snapToGrid w:val="0"/>
              <w:jc w:val="center"/>
              <w:rPr>
                <w:szCs w:val="21"/>
              </w:rPr>
            </w:pPr>
            <w:r>
              <w:rPr>
                <w:rFonts w:hint="eastAsia"/>
                <w:szCs w:val="21"/>
              </w:rPr>
              <w:t>生产设备</w:t>
            </w:r>
          </w:p>
        </w:tc>
        <w:tc>
          <w:tcPr>
            <w:tcW w:w="1710" w:type="dxa"/>
            <w:vAlign w:val="center"/>
          </w:tcPr>
          <w:p>
            <w:pPr>
              <w:adjustRightInd w:val="0"/>
              <w:snapToGrid w:val="0"/>
              <w:jc w:val="center"/>
              <w:rPr>
                <w:szCs w:val="21"/>
              </w:rPr>
            </w:pPr>
            <w:r>
              <w:rPr>
                <w:szCs w:val="21"/>
              </w:rPr>
              <w:t>噪声</w:t>
            </w:r>
          </w:p>
        </w:tc>
        <w:tc>
          <w:tcPr>
            <w:tcW w:w="2031" w:type="dxa"/>
            <w:vAlign w:val="center"/>
          </w:tcPr>
          <w:p>
            <w:pPr>
              <w:adjustRightInd w:val="0"/>
              <w:snapToGrid w:val="0"/>
              <w:jc w:val="center"/>
              <w:rPr>
                <w:szCs w:val="21"/>
              </w:rPr>
            </w:pPr>
            <w:r>
              <w:rPr>
                <w:szCs w:val="21"/>
              </w:rPr>
              <w:t>隔声、减振等</w:t>
            </w:r>
          </w:p>
        </w:tc>
        <w:tc>
          <w:tcPr>
            <w:tcW w:w="1925" w:type="dxa"/>
            <w:vAlign w:val="center"/>
          </w:tcPr>
          <w:p>
            <w:pPr>
              <w:wordWrap w:val="0"/>
              <w:adjustRightInd w:val="0"/>
              <w:snapToGrid w:val="0"/>
              <w:rPr>
                <w:szCs w:val="21"/>
              </w:rPr>
            </w:pPr>
            <w:r>
              <w:rPr>
                <w:rFonts w:hint="eastAsia"/>
                <w:szCs w:val="21"/>
              </w:rPr>
              <w:t>《工业企业厂界环境噪声排放标准》（GB12348-2008）</w:t>
            </w:r>
            <w:r>
              <w:rPr>
                <w:rFonts w:hint="eastAsia"/>
                <w:szCs w:val="21"/>
                <w:lang w:val="en-US" w:eastAsia="zh-CN"/>
              </w:rPr>
              <w:t>3</w:t>
            </w:r>
            <w:r>
              <w:rPr>
                <w:rFonts w:hint="eastAsia"/>
                <w:szCs w:val="21"/>
              </w:rPr>
              <w:t>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488" w:type="dxa"/>
            <w:vAlign w:val="center"/>
          </w:tcPr>
          <w:p>
            <w:pPr>
              <w:adjustRightInd w:val="0"/>
              <w:snapToGrid w:val="0"/>
              <w:jc w:val="center"/>
              <w:rPr>
                <w:szCs w:val="21"/>
              </w:rPr>
            </w:pPr>
            <w:r>
              <w:rPr>
                <w:szCs w:val="21"/>
              </w:rPr>
              <w:t>电磁辐射</w:t>
            </w:r>
          </w:p>
        </w:tc>
        <w:tc>
          <w:tcPr>
            <w:tcW w:w="1755" w:type="dxa"/>
            <w:vAlign w:val="center"/>
          </w:tcPr>
          <w:p>
            <w:pPr>
              <w:adjustRightInd w:val="0"/>
              <w:snapToGrid w:val="0"/>
              <w:jc w:val="center"/>
              <w:rPr>
                <w:szCs w:val="21"/>
              </w:rPr>
            </w:pPr>
            <w:r>
              <w:rPr>
                <w:rFonts w:hint="eastAsia"/>
                <w:szCs w:val="21"/>
              </w:rPr>
              <w:t>/</w:t>
            </w:r>
          </w:p>
        </w:tc>
        <w:tc>
          <w:tcPr>
            <w:tcW w:w="1710" w:type="dxa"/>
            <w:vAlign w:val="center"/>
          </w:tcPr>
          <w:p>
            <w:pPr>
              <w:adjustRightInd w:val="0"/>
              <w:snapToGrid w:val="0"/>
              <w:jc w:val="center"/>
              <w:rPr>
                <w:szCs w:val="21"/>
              </w:rPr>
            </w:pPr>
            <w:r>
              <w:rPr>
                <w:rFonts w:hint="eastAsia"/>
                <w:szCs w:val="21"/>
              </w:rPr>
              <w:t>/</w:t>
            </w:r>
          </w:p>
        </w:tc>
        <w:tc>
          <w:tcPr>
            <w:tcW w:w="2031" w:type="dxa"/>
            <w:vAlign w:val="center"/>
          </w:tcPr>
          <w:p>
            <w:pPr>
              <w:adjustRightInd w:val="0"/>
              <w:snapToGrid w:val="0"/>
              <w:jc w:val="center"/>
              <w:rPr>
                <w:szCs w:val="21"/>
              </w:rPr>
            </w:pPr>
            <w:r>
              <w:rPr>
                <w:rFonts w:hint="eastAsia"/>
                <w:szCs w:val="21"/>
              </w:rPr>
              <w:t>/</w:t>
            </w:r>
          </w:p>
        </w:tc>
        <w:tc>
          <w:tcPr>
            <w:tcW w:w="1925" w:type="dxa"/>
            <w:vAlign w:val="center"/>
          </w:tcPr>
          <w:p>
            <w:pPr>
              <w:adjustRightInd w:val="0"/>
              <w:snapToGrid w:val="0"/>
              <w:jc w:val="center"/>
              <w:rPr>
                <w:szCs w:val="21"/>
              </w:rPr>
            </w:pPr>
            <w:r>
              <w:rPr>
                <w:rFonts w:hint="eastAsia"/>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16" w:hRule="atLeast"/>
          <w:jc w:val="center"/>
        </w:trPr>
        <w:tc>
          <w:tcPr>
            <w:tcW w:w="1488" w:type="dxa"/>
            <w:vAlign w:val="center"/>
          </w:tcPr>
          <w:p>
            <w:pPr>
              <w:adjustRightInd w:val="0"/>
              <w:snapToGrid w:val="0"/>
              <w:jc w:val="center"/>
              <w:rPr>
                <w:szCs w:val="21"/>
              </w:rPr>
            </w:pPr>
            <w:r>
              <w:rPr>
                <w:szCs w:val="21"/>
              </w:rPr>
              <w:t>固体废物</w:t>
            </w:r>
          </w:p>
        </w:tc>
        <w:tc>
          <w:tcPr>
            <w:tcW w:w="7421" w:type="dxa"/>
            <w:gridSpan w:val="4"/>
            <w:vAlign w:val="center"/>
          </w:tcPr>
          <w:p>
            <w:pPr>
              <w:adjustRightInd w:val="0"/>
              <w:snapToGrid w:val="0"/>
              <w:ind w:firstLine="420" w:firstLineChars="200"/>
              <w:rPr>
                <w:szCs w:val="21"/>
              </w:rPr>
            </w:pPr>
            <w:r>
              <w:rPr>
                <w:rFonts w:hint="eastAsia" w:ascii="宋体" w:hAnsi="宋体"/>
                <w:szCs w:val="21"/>
              </w:rPr>
              <w:t>废</w:t>
            </w:r>
            <w:r>
              <w:rPr>
                <w:rFonts w:hint="eastAsia" w:ascii="宋体" w:hAnsi="宋体"/>
                <w:szCs w:val="21"/>
                <w:lang w:eastAsia="zh-CN"/>
              </w:rPr>
              <w:t>氧化皮、</w:t>
            </w:r>
            <w:r>
              <w:rPr>
                <w:rFonts w:hint="eastAsia" w:ascii="宋体" w:hAnsi="宋体"/>
                <w:szCs w:val="21"/>
              </w:rPr>
              <w:t>废边角料收集后出售；生活垃圾委托环卫部门清运处置；</w:t>
            </w:r>
            <w:r>
              <w:rPr>
                <w:rFonts w:hint="eastAsia" w:ascii="Times New Roman" w:hAnsi="Times New Roman" w:eastAsia="宋体" w:cs="Times New Roman"/>
                <w:bCs/>
                <w:color w:val="auto"/>
                <w:szCs w:val="21"/>
                <w:highlight w:val="none"/>
                <w:lang w:val="en-US" w:eastAsia="zh-CN"/>
              </w:rPr>
              <w:t>废机油、废油桶、废液压油、废金</w:t>
            </w:r>
            <w:r>
              <w:rPr>
                <w:rFonts w:hint="eastAsia" w:ascii="Times New Roman" w:hAnsi="Times New Roman" w:eastAsia="宋体" w:cs="Times New Roman"/>
                <w:b w:val="0"/>
                <w:bCs w:val="0"/>
                <w:color w:val="auto"/>
                <w:kern w:val="2"/>
                <w:sz w:val="21"/>
                <w:szCs w:val="24"/>
                <w:lang w:val="en-US" w:eastAsia="zh-CN" w:bidi="ar-SA"/>
              </w:rPr>
              <w:t>属屑、废切削液、废润滑油、废乳化液</w:t>
            </w:r>
            <w:r>
              <w:rPr>
                <w:rFonts w:hint="eastAsia" w:cs="Times New Roman"/>
                <w:b w:val="0"/>
                <w:bCs w:val="0"/>
                <w:color w:val="auto"/>
                <w:kern w:val="2"/>
                <w:sz w:val="21"/>
                <w:szCs w:val="24"/>
                <w:lang w:val="en-US" w:eastAsia="zh-CN" w:bidi="ar-SA"/>
              </w:rPr>
              <w:t>、废包装桶</w:t>
            </w:r>
            <w:r>
              <w:rPr>
                <w:rFonts w:hint="eastAsia" w:ascii="宋体" w:hAnsi="宋体"/>
                <w:color w:val="auto"/>
                <w:szCs w:val="21"/>
              </w:rPr>
              <w:t>委托资质单位处置。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79" w:hRule="atLeast"/>
          <w:jc w:val="center"/>
        </w:trPr>
        <w:tc>
          <w:tcPr>
            <w:tcW w:w="1488" w:type="dxa"/>
            <w:vAlign w:val="center"/>
          </w:tcPr>
          <w:p>
            <w:pPr>
              <w:adjustRightInd w:val="0"/>
              <w:snapToGrid w:val="0"/>
              <w:jc w:val="center"/>
              <w:rPr>
                <w:szCs w:val="21"/>
              </w:rPr>
            </w:pPr>
            <w:r>
              <w:rPr>
                <w:szCs w:val="21"/>
              </w:rPr>
              <w:t>土壤及地下水</w:t>
            </w:r>
          </w:p>
          <w:p>
            <w:pPr>
              <w:adjustRightInd w:val="0"/>
              <w:snapToGrid w:val="0"/>
              <w:jc w:val="center"/>
              <w:rPr>
                <w:szCs w:val="21"/>
              </w:rPr>
            </w:pPr>
            <w:r>
              <w:rPr>
                <w:szCs w:val="21"/>
              </w:rPr>
              <w:t>污染防治措施</w:t>
            </w:r>
          </w:p>
        </w:tc>
        <w:tc>
          <w:tcPr>
            <w:tcW w:w="7421" w:type="dxa"/>
            <w:gridSpan w:val="4"/>
            <w:vAlign w:val="center"/>
          </w:tcPr>
          <w:p>
            <w:pPr>
              <w:adjustRightInd w:val="0"/>
              <w:snapToGrid w:val="0"/>
              <w:ind w:firstLine="420" w:firstLineChars="200"/>
              <w:rPr>
                <w:szCs w:val="21"/>
              </w:rPr>
            </w:pPr>
            <w:r>
              <w:rPr>
                <w:rFonts w:hint="eastAsia" w:ascii="宋体" w:hAnsi="宋体"/>
                <w:szCs w:val="21"/>
              </w:rPr>
              <w:t>①</w:t>
            </w:r>
            <w:r>
              <w:rPr>
                <w:rFonts w:hint="eastAsia"/>
                <w:szCs w:val="21"/>
              </w:rPr>
              <w:t>地下水：项目所有物料输送管道、废水收集管道等必须采取防渗措施；根据项目场地天然包气带防污性能、污染控制难易程度和污染物特性对全厂进行分区防控；建立地下水环境监测管理体系。</w:t>
            </w:r>
          </w:p>
          <w:p>
            <w:pPr>
              <w:adjustRightInd w:val="0"/>
              <w:snapToGrid w:val="0"/>
              <w:ind w:firstLine="420" w:firstLineChars="200"/>
              <w:rPr>
                <w:szCs w:val="21"/>
              </w:rPr>
            </w:pPr>
            <w:r>
              <w:rPr>
                <w:rFonts w:hint="eastAsia" w:ascii="宋体" w:hAnsi="宋体"/>
                <w:szCs w:val="21"/>
              </w:rPr>
              <w:t>②</w:t>
            </w:r>
            <w:r>
              <w:rPr>
                <w:rFonts w:hint="eastAsia"/>
                <w:szCs w:val="21"/>
              </w:rPr>
              <w:t>土壤：加强环保管理，确保污染物达标排放；固废储存场所等均应做好防渗措施；建立土壤污染监测系统。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1488" w:type="dxa"/>
            <w:vAlign w:val="center"/>
          </w:tcPr>
          <w:p>
            <w:pPr>
              <w:adjustRightInd w:val="0"/>
              <w:snapToGrid w:val="0"/>
              <w:jc w:val="center"/>
              <w:rPr>
                <w:szCs w:val="21"/>
              </w:rPr>
            </w:pPr>
            <w:r>
              <w:rPr>
                <w:szCs w:val="21"/>
              </w:rPr>
              <w:t>生态保护措施</w:t>
            </w:r>
          </w:p>
        </w:tc>
        <w:tc>
          <w:tcPr>
            <w:tcW w:w="7421" w:type="dxa"/>
            <w:gridSpan w:val="4"/>
            <w:vAlign w:val="center"/>
          </w:tcPr>
          <w:p>
            <w:pPr>
              <w:adjustRightInd w:val="0"/>
              <w:snapToGrid w:val="0"/>
              <w:jc w:val="center"/>
              <w:rPr>
                <w:szCs w:val="21"/>
              </w:rPr>
            </w:pPr>
            <w:r>
              <w:rPr>
                <w:rFonts w:hint="eastAsia"/>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49" w:hRule="atLeast"/>
          <w:jc w:val="center"/>
        </w:trPr>
        <w:tc>
          <w:tcPr>
            <w:tcW w:w="1488" w:type="dxa"/>
            <w:vAlign w:val="center"/>
          </w:tcPr>
          <w:p>
            <w:pPr>
              <w:adjustRightInd w:val="0"/>
              <w:snapToGrid w:val="0"/>
              <w:jc w:val="center"/>
              <w:rPr>
                <w:szCs w:val="21"/>
              </w:rPr>
            </w:pPr>
            <w:r>
              <w:rPr>
                <w:szCs w:val="21"/>
              </w:rPr>
              <w:t>环境风险</w:t>
            </w:r>
          </w:p>
          <w:p>
            <w:pPr>
              <w:adjustRightInd w:val="0"/>
              <w:snapToGrid w:val="0"/>
              <w:jc w:val="center"/>
              <w:rPr>
                <w:spacing w:val="-8"/>
                <w:szCs w:val="21"/>
              </w:rPr>
            </w:pPr>
            <w:r>
              <w:rPr>
                <w:szCs w:val="21"/>
              </w:rPr>
              <w:t>防范措施</w:t>
            </w:r>
          </w:p>
        </w:tc>
        <w:tc>
          <w:tcPr>
            <w:tcW w:w="7421" w:type="dxa"/>
            <w:gridSpan w:val="4"/>
            <w:vAlign w:val="center"/>
          </w:tcPr>
          <w:p>
            <w:pPr>
              <w:adjustRightInd w:val="0"/>
              <w:snapToGrid w:val="0"/>
              <w:ind w:firstLine="420" w:firstLineChars="200"/>
              <w:rPr>
                <w:szCs w:val="21"/>
              </w:rPr>
            </w:pPr>
            <w:r>
              <w:rPr>
                <w:rFonts w:hint="eastAsia" w:ascii="宋体" w:hAnsi="宋体"/>
                <w:szCs w:val="21"/>
              </w:rPr>
              <w:t>①</w:t>
            </w:r>
            <w:r>
              <w:rPr>
                <w:rFonts w:hint="eastAsia"/>
                <w:szCs w:val="21"/>
              </w:rPr>
              <w:t>加强环保宣传教育，提高全体人员的环保意识</w:t>
            </w:r>
            <w:r>
              <w:rPr>
                <w:szCs w:val="21"/>
              </w:rPr>
              <w:t>；</w:t>
            </w:r>
            <w:r>
              <w:rPr>
                <w:rFonts w:hint="eastAsia" w:ascii="宋体" w:hAnsi="宋体"/>
                <w:szCs w:val="21"/>
              </w:rPr>
              <w:t>②</w:t>
            </w:r>
            <w:r>
              <w:rPr>
                <w:rFonts w:hint="eastAsia"/>
                <w:szCs w:val="21"/>
              </w:rPr>
              <w:t>制定一整套严格的安全生产操作规章制度，做好日常检测；</w:t>
            </w:r>
            <w:r>
              <w:rPr>
                <w:rFonts w:hint="eastAsia" w:ascii="宋体" w:hAnsi="宋体"/>
                <w:szCs w:val="21"/>
              </w:rPr>
              <w:t>③</w:t>
            </w:r>
            <w:r>
              <w:rPr>
                <w:rFonts w:hint="eastAsia"/>
                <w:szCs w:val="21"/>
              </w:rPr>
              <w:t>明确部门、个人的职责，按计划落实到个人。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94" w:hRule="atLeast"/>
          <w:jc w:val="center"/>
        </w:trPr>
        <w:tc>
          <w:tcPr>
            <w:tcW w:w="1488" w:type="dxa"/>
            <w:vAlign w:val="center"/>
          </w:tcPr>
          <w:p>
            <w:pPr>
              <w:adjustRightInd w:val="0"/>
              <w:snapToGrid w:val="0"/>
              <w:jc w:val="center"/>
              <w:rPr>
                <w:spacing w:val="-8"/>
                <w:szCs w:val="21"/>
              </w:rPr>
            </w:pPr>
            <w:r>
              <w:rPr>
                <w:spacing w:val="-8"/>
                <w:szCs w:val="21"/>
              </w:rPr>
              <w:t>其他环境</w:t>
            </w:r>
          </w:p>
          <w:p>
            <w:pPr>
              <w:adjustRightInd w:val="0"/>
              <w:snapToGrid w:val="0"/>
              <w:jc w:val="center"/>
              <w:rPr>
                <w:spacing w:val="-8"/>
                <w:szCs w:val="21"/>
              </w:rPr>
            </w:pPr>
            <w:r>
              <w:rPr>
                <w:spacing w:val="-8"/>
                <w:szCs w:val="21"/>
              </w:rPr>
              <w:t>管理要求</w:t>
            </w:r>
          </w:p>
        </w:tc>
        <w:tc>
          <w:tcPr>
            <w:tcW w:w="7421" w:type="dxa"/>
            <w:gridSpan w:val="4"/>
            <w:vAlign w:val="center"/>
          </w:tcPr>
          <w:p>
            <w:pPr>
              <w:adjustRightInd w:val="0"/>
              <w:snapToGrid w:val="0"/>
              <w:spacing w:line="500" w:lineRule="exact"/>
              <w:ind w:firstLine="420" w:firstLineChars="200"/>
            </w:pPr>
            <w:r>
              <w:t>①项目的建设应切实履行配套的环境保护设施与主体工程同时设计、同时施工、同时投产使用的</w:t>
            </w:r>
            <w:r>
              <w:rPr>
                <w:szCs w:val="21"/>
              </w:rPr>
              <w:t>“</w:t>
            </w:r>
            <w:r>
              <w:t>三同时</w:t>
            </w:r>
            <w:r>
              <w:rPr>
                <w:szCs w:val="21"/>
              </w:rPr>
              <w:t>”</w:t>
            </w:r>
            <w:r>
              <w:t>制度。</w:t>
            </w:r>
          </w:p>
          <w:p>
            <w:pPr>
              <w:adjustRightInd w:val="0"/>
              <w:snapToGrid w:val="0"/>
              <w:spacing w:line="500" w:lineRule="exact"/>
              <w:ind w:firstLine="420" w:firstLineChars="200"/>
              <w:rPr>
                <w:color w:val="FF0000"/>
              </w:rPr>
            </w:pPr>
            <w:r>
              <w:t>②应按有关法规</w:t>
            </w:r>
            <w:r>
              <w:rPr>
                <w:rFonts w:ascii="Times New Roman" w:hAnsi="Times New Roman" w:eastAsia="宋体" w:cs="Times New Roman"/>
              </w:rPr>
              <w:t>的要求，严格执行排污许可制度。根据《国民经济行业分类》（GB/T4754-2017），本项目属于“</w:t>
            </w:r>
            <w:r>
              <w:rPr>
                <w:rFonts w:hint="eastAsia" w:ascii="Times New Roman" w:hAnsi="Times New Roman" w:eastAsia="宋体" w:cs="Times New Roman"/>
                <w:lang w:val="en-US" w:eastAsia="zh-CN"/>
              </w:rPr>
              <w:t>C3393 锻件及粉末冶金制品制造</w:t>
            </w:r>
            <w:r>
              <w:rPr>
                <w:rFonts w:ascii="Times New Roman" w:hAnsi="Times New Roman" w:eastAsia="宋体" w:cs="Times New Roman"/>
              </w:rPr>
              <w:t>”，属于《固定源排污许可分类管理名录》（2019 版）中</w:t>
            </w:r>
            <w:r>
              <w:rPr>
                <w:rFonts w:hint="eastAsia" w:ascii="Times New Roman" w:hAnsi="Times New Roman" w:eastAsia="宋体" w:cs="Times New Roman"/>
              </w:rPr>
              <w:t>登记管理</w:t>
            </w:r>
            <w:r>
              <w:rPr>
                <w:rFonts w:ascii="Times New Roman" w:hAnsi="Times New Roman" w:eastAsia="宋体" w:cs="Times New Roman"/>
              </w:rPr>
              <w:t>所列项目，实行</w:t>
            </w:r>
            <w:r>
              <w:rPr>
                <w:rFonts w:hint="eastAsia" w:ascii="Times New Roman" w:hAnsi="Times New Roman" w:eastAsia="宋体" w:cs="Times New Roman"/>
              </w:rPr>
              <w:t>登记</w:t>
            </w:r>
            <w:r>
              <w:rPr>
                <w:rFonts w:ascii="Times New Roman" w:hAnsi="Times New Roman" w:eastAsia="宋体" w:cs="Times New Roman"/>
              </w:rPr>
              <w:t>管理。</w:t>
            </w:r>
          </w:p>
          <w:p>
            <w:pPr>
              <w:adjustRightInd w:val="0"/>
              <w:snapToGrid w:val="0"/>
              <w:spacing w:line="500" w:lineRule="exact"/>
              <w:ind w:firstLine="420" w:firstLineChars="200"/>
            </w:pPr>
            <w:r>
              <w:t>③本项目配套建设的环境保护设施必须与主体工程同时建成和投产使用，并按规定程序实施竣工环境保护验收，验收合格方可投入生产。</w:t>
            </w:r>
          </w:p>
          <w:p>
            <w:pPr>
              <w:adjustRightInd w:val="0"/>
              <w:snapToGrid w:val="0"/>
              <w:spacing w:line="500" w:lineRule="exact"/>
              <w:ind w:firstLine="420" w:firstLineChars="200"/>
            </w:pPr>
            <w:r>
              <w:t>④项目的性质、规模、地点、采用的生产工艺或者防治污染、防止生态破坏的措施发生重大变动的应当重新报批环境影响报告表。自环评批复之日起超过5年，方决定项目开工建设的，其环境影响报告表应重新报批审核。</w:t>
            </w:r>
          </w:p>
          <w:p>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jc w:val="left"/>
              <w:textAlignment w:val="auto"/>
              <w:rPr>
                <w:szCs w:val="21"/>
              </w:rPr>
            </w:pPr>
            <w:r>
              <w:t>⑤建设单位应根据《关于做好生态环境和应急管理部门联动工作的意见》（苏环办〔2020〕101 号），开展环保设施安全风险辨识，健全内部污染防治设施稳定运行和管理责任制度，严格依据标准规范建设环境治理设施，确保环境治理设施安全、稳定、有效运行。</w:t>
            </w:r>
          </w:p>
          <w:p>
            <w:pPr>
              <w:adjustRightInd w:val="0"/>
              <w:snapToGrid w:val="0"/>
              <w:jc w:val="center"/>
              <w:rPr>
                <w:szCs w:val="21"/>
              </w:rPr>
            </w:pPr>
          </w:p>
          <w:p>
            <w:pPr>
              <w:adjustRightInd w:val="0"/>
              <w:snapToGrid w:val="0"/>
              <w:jc w:val="both"/>
              <w:rPr>
                <w:szCs w:val="21"/>
              </w:rPr>
            </w:pPr>
          </w:p>
          <w:p>
            <w:pPr>
              <w:adjustRightInd w:val="0"/>
              <w:snapToGrid w:val="0"/>
              <w:rPr>
                <w:szCs w:val="21"/>
              </w:rPr>
            </w:pPr>
          </w:p>
        </w:tc>
      </w:tr>
    </w:tbl>
    <w:p>
      <w:pPr>
        <w:spacing w:before="159" w:beforeLines="50" w:after="159" w:afterLines="50"/>
        <w:jc w:val="center"/>
        <w:outlineLvl w:val="0"/>
        <w:rPr>
          <w:rFonts w:ascii="黑体" w:hAnsi="黑体" w:eastAsia="黑体"/>
          <w:sz w:val="30"/>
          <w:szCs w:val="30"/>
        </w:rPr>
      </w:pPr>
      <w:r>
        <w:rPr>
          <w:rFonts w:hint="eastAsia" w:ascii="黑体" w:hAnsi="黑体" w:eastAsia="黑体"/>
          <w:sz w:val="30"/>
          <w:szCs w:val="30"/>
        </w:rPr>
        <w:t>六、结论</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4" w:hRule="atLeast"/>
          <w:jc w:val="center"/>
        </w:trPr>
        <w:tc>
          <w:tcPr>
            <w:tcW w:w="8958" w:type="dxa"/>
          </w:tcPr>
          <w:p>
            <w:pPr>
              <w:adjustRightInd w:val="0"/>
              <w:snapToGrid w:val="0"/>
              <w:spacing w:line="500" w:lineRule="exact"/>
              <w:ind w:firstLine="422" w:firstLineChars="200"/>
              <w:rPr>
                <w:b/>
                <w:bCs/>
                <w:szCs w:val="21"/>
              </w:rPr>
            </w:pPr>
            <w:r>
              <w:rPr>
                <w:rFonts w:hint="eastAsia"/>
                <w:b/>
                <w:bCs/>
                <w:szCs w:val="21"/>
              </w:rPr>
              <w:t>结论：</w:t>
            </w:r>
          </w:p>
          <w:p>
            <w:pPr>
              <w:adjustRightInd w:val="0"/>
              <w:snapToGrid w:val="0"/>
              <w:spacing w:line="500" w:lineRule="exact"/>
              <w:ind w:firstLine="420" w:firstLineChars="200"/>
              <w:rPr>
                <w:rFonts w:ascii="Times New Roman" w:hAnsi="Times New Roman" w:eastAsia="宋体" w:cs="Times New Roman"/>
                <w:szCs w:val="21"/>
              </w:rPr>
            </w:pPr>
            <w:r>
              <w:rPr>
                <w:szCs w:val="21"/>
              </w:rPr>
              <w:t>综上所述，项目符合国家相关产业政策，选址合理，符合清洁生产要求，污染防治措施可行，在认真落实各项环境污染治理和环境管理措施的前提下，各污染物均能实现达标排放且环境影响较小；企业必须切实落实事故防</w:t>
            </w:r>
            <w:r>
              <w:rPr>
                <w:rFonts w:ascii="Times New Roman" w:hAnsi="Times New Roman" w:eastAsia="宋体" w:cs="Times New Roman"/>
                <w:szCs w:val="21"/>
              </w:rPr>
              <w:t>范措施杜绝事故的发生，同时建立完善的事故应急预案，将事故对环境的影响降至</w:t>
            </w:r>
            <w:r>
              <w:rPr>
                <w:rFonts w:hint="eastAsia" w:ascii="Times New Roman" w:hAnsi="Times New Roman" w:eastAsia="宋体" w:cs="Times New Roman"/>
                <w:szCs w:val="21"/>
                <w:lang w:eastAsia="zh-CN"/>
              </w:rPr>
              <w:t>最低</w:t>
            </w:r>
            <w:r>
              <w:rPr>
                <w:rFonts w:ascii="Times New Roman" w:hAnsi="Times New Roman" w:eastAsia="宋体" w:cs="Times New Roman"/>
                <w:szCs w:val="21"/>
              </w:rPr>
              <w:t>。从环保角度看，</w:t>
            </w:r>
            <w:r>
              <w:rPr>
                <w:rFonts w:hint="eastAsia" w:ascii="Times New Roman" w:hAnsi="Times New Roman" w:eastAsia="宋体" w:cs="Times New Roman"/>
                <w:szCs w:val="21"/>
                <w:lang w:val="en-US" w:eastAsia="zh-CN"/>
              </w:rPr>
              <w:t>如皋市宏茂重型锻压有限公司</w:t>
            </w:r>
            <w:r>
              <w:rPr>
                <w:rFonts w:ascii="Times New Roman" w:hAnsi="Times New Roman" w:eastAsia="宋体" w:cs="Times New Roman"/>
                <w:szCs w:val="21"/>
              </w:rPr>
              <w:t>在</w:t>
            </w:r>
            <w:r>
              <w:rPr>
                <w:rFonts w:hint="eastAsia" w:ascii="Times New Roman" w:hAnsi="Times New Roman" w:eastAsia="宋体" w:cs="Times New Roman"/>
                <w:szCs w:val="21"/>
                <w:lang w:val="en-US" w:eastAsia="zh-CN"/>
              </w:rPr>
              <w:t>如皋市长江镇创业路8号</w:t>
            </w:r>
            <w:r>
              <w:rPr>
                <w:rFonts w:hint="eastAsia" w:ascii="Times New Roman" w:hAnsi="Times New Roman" w:eastAsia="宋体" w:cs="Times New Roman"/>
                <w:szCs w:val="21"/>
              </w:rPr>
              <w:t>建设</w:t>
            </w:r>
            <w:r>
              <w:rPr>
                <w:rFonts w:ascii="Times New Roman" w:hAnsi="Times New Roman" w:eastAsia="宋体" w:cs="Times New Roman"/>
                <w:szCs w:val="21"/>
              </w:rPr>
              <w:t>“</w:t>
            </w:r>
            <w:r>
              <w:rPr>
                <w:rFonts w:hint="eastAsia"/>
                <w:color w:val="auto"/>
                <w:szCs w:val="21"/>
                <w:lang w:val="en-US" w:eastAsia="zh-CN"/>
              </w:rPr>
              <w:t>高端风电主轴及零部件绿色化智能化升级改造扩产项目</w:t>
            </w:r>
            <w:r>
              <w:rPr>
                <w:rFonts w:ascii="Times New Roman" w:hAnsi="Times New Roman" w:eastAsia="宋体" w:cs="Times New Roman"/>
                <w:szCs w:val="21"/>
              </w:rPr>
              <w:t>”具有环境可行性。</w:t>
            </w:r>
          </w:p>
          <w:p>
            <w:pPr>
              <w:adjustRightInd w:val="0"/>
              <w:snapToGrid w:val="0"/>
              <w:spacing w:line="500" w:lineRule="exact"/>
              <w:ind w:firstLine="420" w:firstLineChars="200"/>
              <w:rPr>
                <w:color w:val="0000FF"/>
                <w:szCs w:val="21"/>
              </w:rPr>
            </w:pPr>
          </w:p>
          <w:p>
            <w:pPr>
              <w:adjustRightInd w:val="0"/>
              <w:snapToGrid w:val="0"/>
              <w:spacing w:line="500" w:lineRule="exact"/>
              <w:ind w:firstLine="420" w:firstLineChars="200"/>
              <w:rPr>
                <w:szCs w:val="21"/>
              </w:rPr>
            </w:pPr>
          </w:p>
          <w:p>
            <w:pPr>
              <w:adjustRightInd w:val="0"/>
              <w:snapToGrid w:val="0"/>
              <w:spacing w:line="500" w:lineRule="exact"/>
              <w:ind w:firstLine="420" w:firstLineChars="200"/>
              <w:rPr>
                <w:szCs w:val="21"/>
              </w:rPr>
            </w:pPr>
          </w:p>
          <w:p>
            <w:pPr>
              <w:adjustRightInd w:val="0"/>
              <w:snapToGrid w:val="0"/>
              <w:spacing w:line="500" w:lineRule="exact"/>
              <w:ind w:firstLine="420" w:firstLineChars="200"/>
              <w:rPr>
                <w:szCs w:val="21"/>
              </w:rPr>
            </w:pPr>
          </w:p>
          <w:p>
            <w:pPr>
              <w:adjustRightInd w:val="0"/>
              <w:snapToGrid w:val="0"/>
              <w:spacing w:line="500" w:lineRule="exact"/>
              <w:ind w:firstLine="420" w:firstLineChars="200"/>
              <w:rPr>
                <w:szCs w:val="21"/>
              </w:rPr>
            </w:pPr>
          </w:p>
          <w:p>
            <w:pPr>
              <w:adjustRightInd w:val="0"/>
              <w:snapToGrid w:val="0"/>
              <w:spacing w:line="500" w:lineRule="exact"/>
              <w:ind w:firstLine="420" w:firstLineChars="200"/>
              <w:rPr>
                <w:szCs w:val="21"/>
              </w:rPr>
            </w:pPr>
          </w:p>
          <w:p>
            <w:pPr>
              <w:adjustRightInd w:val="0"/>
              <w:snapToGrid w:val="0"/>
              <w:spacing w:line="500" w:lineRule="exact"/>
              <w:ind w:firstLine="420" w:firstLineChars="200"/>
              <w:rPr>
                <w:szCs w:val="21"/>
              </w:rPr>
            </w:pPr>
          </w:p>
          <w:p>
            <w:pPr>
              <w:adjustRightInd w:val="0"/>
              <w:snapToGrid w:val="0"/>
              <w:spacing w:line="500" w:lineRule="exact"/>
              <w:rPr>
                <w:szCs w:val="21"/>
              </w:rPr>
            </w:pPr>
          </w:p>
        </w:tc>
      </w:tr>
    </w:tbl>
    <w:p>
      <w:pPr>
        <w:pStyle w:val="18"/>
        <w:adjustRightInd w:val="0"/>
        <w:snapToGrid w:val="0"/>
        <w:spacing w:before="0" w:beforeAutospacing="0" w:after="0" w:afterAutospacing="0"/>
        <w:outlineLvl w:val="0"/>
        <w:rPr>
          <w:rFonts w:ascii="方正小标宋_GBK" w:hAnsi="黑体" w:eastAsia="方正小标宋_GBK"/>
          <w:snapToGrid w:val="0"/>
          <w:sz w:val="38"/>
          <w:szCs w:val="38"/>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pPr>
        <w:pStyle w:val="18"/>
        <w:adjustRightInd w:val="0"/>
        <w:snapToGrid w:val="0"/>
        <w:spacing w:before="0" w:beforeAutospacing="0" w:after="0" w:afterAutospacing="0"/>
        <w:outlineLvl w:val="0"/>
        <w:rPr>
          <w:rFonts w:ascii="方正小标宋_GBK" w:hAnsi="黑体" w:eastAsia="方正小标宋_GBK"/>
          <w:snapToGrid w:val="0"/>
          <w:sz w:val="38"/>
          <w:szCs w:val="38"/>
        </w:rPr>
      </w:pPr>
      <w:r>
        <w:rPr>
          <w:rFonts w:hint="eastAsia" w:ascii="方正小标宋_GBK" w:hAnsi="黑体" w:eastAsia="方正小标宋_GBK"/>
          <w:snapToGrid w:val="0"/>
          <w:sz w:val="38"/>
          <w:szCs w:val="38"/>
        </w:rPr>
        <w:t>附表</w:t>
      </w:r>
    </w:p>
    <w:p>
      <w:pPr>
        <w:pStyle w:val="18"/>
        <w:adjustRightInd w:val="0"/>
        <w:snapToGrid w:val="0"/>
        <w:spacing w:before="0" w:beforeAutospacing="0" w:after="0" w:afterAutospacing="0"/>
        <w:jc w:val="center"/>
        <w:rPr>
          <w:rFonts w:ascii="方正小标宋_GBK" w:hAnsi="黑体" w:eastAsia="方正小标宋_GBK"/>
          <w:snapToGrid w:val="0"/>
          <w:color w:val="auto"/>
          <w:sz w:val="38"/>
          <w:szCs w:val="38"/>
        </w:rPr>
      </w:pPr>
      <w:r>
        <w:rPr>
          <w:rFonts w:hint="eastAsia" w:ascii="方正小标宋_GBK" w:hAnsi="黑体" w:eastAsia="方正小标宋_GBK"/>
          <w:snapToGrid w:val="0"/>
          <w:color w:val="auto"/>
          <w:sz w:val="38"/>
          <w:szCs w:val="38"/>
        </w:rPr>
        <w:t>建设项目污染物排放量汇总表</w:t>
      </w:r>
    </w:p>
    <w:tbl>
      <w:tblPr>
        <w:tblStyle w:val="21"/>
        <w:tblW w:w="1434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505"/>
        <w:gridCol w:w="1559"/>
        <w:gridCol w:w="1559"/>
        <w:gridCol w:w="1985"/>
        <w:gridCol w:w="1842"/>
        <w:gridCol w:w="118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1588" w:type="dxa"/>
            <w:tcBorders>
              <w:tl2br w:val="single" w:color="auto" w:sz="4" w:space="0"/>
            </w:tcBorders>
            <w:tcMar>
              <w:left w:w="28" w:type="dxa"/>
              <w:right w:w="28" w:type="dxa"/>
            </w:tcMar>
            <w:vAlign w:val="center"/>
          </w:tcPr>
          <w:p>
            <w:pPr>
              <w:pStyle w:val="30"/>
              <w:keepNext w:val="0"/>
              <w:keepLines w:val="0"/>
              <w:pageBreakBefore w:val="0"/>
              <w:kinsoku/>
              <w:wordWrap/>
              <w:overflowPunct/>
              <w:topLinePunct w:val="0"/>
              <w:autoSpaceDE/>
              <w:autoSpaceDN/>
              <w:bidi w:val="0"/>
              <w:spacing w:line="240" w:lineRule="auto"/>
              <w:ind w:firstLine="0" w:firstLineChars="0"/>
              <w:jc w:val="right"/>
              <w:rPr>
                <w:rFonts w:ascii="Times New Roman" w:hAnsi="Times New Roman" w:eastAsia="黑体"/>
                <w:snapToGrid w:val="0"/>
                <w:spacing w:val="-6"/>
                <w:kern w:val="21"/>
                <w:sz w:val="21"/>
                <w:szCs w:val="21"/>
              </w:rPr>
            </w:pPr>
            <w:r>
              <w:rPr>
                <w:rFonts w:ascii="Times New Roman" w:hAnsi="Times New Roman" w:eastAsia="黑体"/>
                <w:snapToGrid w:val="0"/>
                <w:spacing w:val="-6"/>
                <w:kern w:val="21"/>
                <w:sz w:val="21"/>
                <w:szCs w:val="21"/>
              </w:rPr>
              <w:t>项目</w:t>
            </w:r>
          </w:p>
          <w:p>
            <w:pPr>
              <w:pStyle w:val="30"/>
              <w:keepNext w:val="0"/>
              <w:keepLines w:val="0"/>
              <w:pageBreakBefore w:val="0"/>
              <w:kinsoku/>
              <w:wordWrap/>
              <w:overflowPunct/>
              <w:topLinePunct w:val="0"/>
              <w:autoSpaceDE/>
              <w:autoSpaceDN/>
              <w:bidi w:val="0"/>
              <w:spacing w:line="240" w:lineRule="auto"/>
              <w:ind w:firstLine="0" w:firstLineChars="0"/>
              <w:jc w:val="left"/>
              <w:rPr>
                <w:rFonts w:ascii="Times New Roman" w:hAnsi="Times New Roman" w:eastAsia="黑体"/>
                <w:snapToGrid w:val="0"/>
                <w:spacing w:val="-6"/>
                <w:kern w:val="21"/>
                <w:sz w:val="21"/>
                <w:szCs w:val="21"/>
              </w:rPr>
            </w:pPr>
            <w:r>
              <w:rPr>
                <w:rFonts w:ascii="Times New Roman" w:hAnsi="Times New Roman" w:eastAsia="黑体"/>
                <w:snapToGrid w:val="0"/>
                <w:spacing w:val="-6"/>
                <w:kern w:val="21"/>
                <w:sz w:val="21"/>
                <w:szCs w:val="21"/>
              </w:rPr>
              <w:t>分类</w:t>
            </w:r>
          </w:p>
        </w:tc>
        <w:tc>
          <w:tcPr>
            <w:tcW w:w="1417" w:type="dxa"/>
            <w:tcMar>
              <w:left w:w="28" w:type="dxa"/>
              <w:right w:w="28" w:type="dxa"/>
            </w:tcMar>
            <w:vAlign w:val="center"/>
          </w:tcPr>
          <w:p>
            <w:pPr>
              <w:pStyle w:val="30"/>
              <w:keepNext w:val="0"/>
              <w:keepLines w:val="0"/>
              <w:pageBreakBefore w:val="0"/>
              <w:kinsoku/>
              <w:wordWrap/>
              <w:overflowPunct/>
              <w:topLinePunct w:val="0"/>
              <w:autoSpaceDE/>
              <w:autoSpaceDN/>
              <w:bidi w:val="0"/>
              <w:spacing w:line="240" w:lineRule="auto"/>
              <w:ind w:firstLine="0" w:firstLineChars="0"/>
              <w:rPr>
                <w:rFonts w:ascii="Times New Roman" w:hAnsi="Times New Roman" w:eastAsia="黑体"/>
                <w:snapToGrid w:val="0"/>
                <w:spacing w:val="-6"/>
                <w:kern w:val="21"/>
                <w:sz w:val="21"/>
                <w:szCs w:val="21"/>
              </w:rPr>
            </w:pPr>
            <w:r>
              <w:rPr>
                <w:rFonts w:ascii="Times New Roman" w:hAnsi="Times New Roman" w:eastAsia="黑体"/>
                <w:snapToGrid w:val="0"/>
                <w:spacing w:val="-6"/>
                <w:kern w:val="21"/>
                <w:sz w:val="21"/>
                <w:szCs w:val="21"/>
              </w:rPr>
              <w:t>污染物名称</w:t>
            </w:r>
          </w:p>
        </w:tc>
        <w:tc>
          <w:tcPr>
            <w:tcW w:w="1701" w:type="dxa"/>
            <w:tcMar>
              <w:left w:w="28" w:type="dxa"/>
              <w:right w:w="28" w:type="dxa"/>
            </w:tcMar>
            <w:vAlign w:val="center"/>
          </w:tcPr>
          <w:p>
            <w:pPr>
              <w:pStyle w:val="30"/>
              <w:keepNext w:val="0"/>
              <w:keepLines w:val="0"/>
              <w:pageBreakBefore w:val="0"/>
              <w:kinsoku/>
              <w:wordWrap/>
              <w:overflowPunct/>
              <w:topLinePunct w:val="0"/>
              <w:autoSpaceDE/>
              <w:autoSpaceDN/>
              <w:bidi w:val="0"/>
              <w:spacing w:line="240" w:lineRule="auto"/>
              <w:ind w:firstLine="0" w:firstLineChars="0"/>
              <w:rPr>
                <w:rFonts w:ascii="Times New Roman" w:hAnsi="Times New Roman" w:eastAsia="黑体"/>
                <w:snapToGrid w:val="0"/>
                <w:spacing w:val="-6"/>
                <w:kern w:val="21"/>
                <w:sz w:val="21"/>
                <w:szCs w:val="21"/>
              </w:rPr>
            </w:pPr>
            <w:r>
              <w:rPr>
                <w:rFonts w:ascii="Times New Roman" w:hAnsi="Times New Roman" w:eastAsia="黑体"/>
                <w:snapToGrid w:val="0"/>
                <w:spacing w:val="-6"/>
                <w:kern w:val="21"/>
                <w:sz w:val="21"/>
                <w:szCs w:val="21"/>
              </w:rPr>
              <w:t>现有工程</w:t>
            </w:r>
          </w:p>
          <w:p>
            <w:pPr>
              <w:pStyle w:val="30"/>
              <w:keepNext w:val="0"/>
              <w:keepLines w:val="0"/>
              <w:pageBreakBefore w:val="0"/>
              <w:kinsoku/>
              <w:wordWrap/>
              <w:overflowPunct/>
              <w:topLinePunct w:val="0"/>
              <w:autoSpaceDE/>
              <w:autoSpaceDN/>
              <w:bidi w:val="0"/>
              <w:spacing w:line="240" w:lineRule="auto"/>
              <w:ind w:firstLine="0" w:firstLineChars="0"/>
              <w:rPr>
                <w:rFonts w:ascii="Times New Roman" w:hAnsi="Times New Roman" w:eastAsia="黑体"/>
                <w:snapToGrid w:val="0"/>
                <w:spacing w:val="-6"/>
                <w:kern w:val="21"/>
                <w:sz w:val="21"/>
                <w:szCs w:val="21"/>
              </w:rPr>
            </w:pPr>
            <w:r>
              <w:rPr>
                <w:rFonts w:ascii="Times New Roman" w:hAnsi="Times New Roman" w:eastAsia="黑体"/>
                <w:snapToGrid w:val="0"/>
                <w:spacing w:val="-6"/>
                <w:kern w:val="21"/>
                <w:sz w:val="21"/>
                <w:szCs w:val="21"/>
              </w:rPr>
              <w:t>排放量（固体废物产生量）</w:t>
            </w:r>
            <w:r>
              <w:rPr>
                <w:rFonts w:ascii="Times New Roman" w:hAnsi="Times New Roman" w:eastAsia="黑体"/>
                <w:snapToGrid w:val="0"/>
                <w:spacing w:val="-6"/>
                <w:kern w:val="21"/>
                <w:sz w:val="21"/>
                <w:szCs w:val="21"/>
              </w:rPr>
              <w:fldChar w:fldCharType="begin"/>
            </w:r>
            <w:r>
              <w:rPr>
                <w:rFonts w:ascii="Times New Roman" w:hAnsi="Times New Roman" w:eastAsia="黑体"/>
                <w:snapToGrid w:val="0"/>
                <w:spacing w:val="-6"/>
                <w:kern w:val="21"/>
                <w:sz w:val="21"/>
                <w:szCs w:val="21"/>
              </w:rPr>
              <w:instrText xml:space="preserve"> = 1 \* GB3 \* MERGEFORMAT </w:instrText>
            </w:r>
            <w:r>
              <w:rPr>
                <w:rFonts w:ascii="Times New Roman" w:hAnsi="Times New Roman" w:eastAsia="黑体"/>
                <w:snapToGrid w:val="0"/>
                <w:spacing w:val="-6"/>
                <w:kern w:val="21"/>
                <w:sz w:val="21"/>
                <w:szCs w:val="21"/>
              </w:rPr>
              <w:fldChar w:fldCharType="separate"/>
            </w:r>
            <w:r>
              <w:rPr>
                <w:rFonts w:hint="eastAsia" w:ascii="宋体" w:hAnsi="宋体" w:cs="宋体"/>
                <w:kern w:val="2"/>
                <w:sz w:val="21"/>
                <w:szCs w:val="21"/>
              </w:rPr>
              <w:t>①</w:t>
            </w:r>
            <w:r>
              <w:rPr>
                <w:rFonts w:ascii="Times New Roman" w:hAnsi="Times New Roman" w:eastAsia="黑体"/>
                <w:snapToGrid w:val="0"/>
                <w:spacing w:val="-6"/>
                <w:kern w:val="21"/>
                <w:sz w:val="21"/>
                <w:szCs w:val="21"/>
              </w:rPr>
              <w:fldChar w:fldCharType="end"/>
            </w:r>
          </w:p>
        </w:tc>
        <w:tc>
          <w:tcPr>
            <w:tcW w:w="1505" w:type="dxa"/>
            <w:tcMar>
              <w:left w:w="28" w:type="dxa"/>
              <w:right w:w="28" w:type="dxa"/>
            </w:tcMar>
            <w:vAlign w:val="center"/>
          </w:tcPr>
          <w:p>
            <w:pPr>
              <w:pStyle w:val="30"/>
              <w:keepNext w:val="0"/>
              <w:keepLines w:val="0"/>
              <w:pageBreakBefore w:val="0"/>
              <w:kinsoku/>
              <w:wordWrap/>
              <w:overflowPunct/>
              <w:topLinePunct w:val="0"/>
              <w:autoSpaceDE/>
              <w:autoSpaceDN/>
              <w:bidi w:val="0"/>
              <w:spacing w:line="240" w:lineRule="auto"/>
              <w:ind w:firstLine="0" w:firstLineChars="0"/>
              <w:rPr>
                <w:rFonts w:ascii="Times New Roman" w:hAnsi="Times New Roman" w:eastAsia="黑体"/>
                <w:snapToGrid w:val="0"/>
                <w:spacing w:val="-6"/>
                <w:kern w:val="21"/>
                <w:sz w:val="21"/>
                <w:szCs w:val="21"/>
              </w:rPr>
            </w:pPr>
            <w:r>
              <w:rPr>
                <w:rFonts w:ascii="Times New Roman" w:hAnsi="Times New Roman" w:eastAsia="黑体"/>
                <w:snapToGrid w:val="0"/>
                <w:spacing w:val="-6"/>
                <w:kern w:val="21"/>
                <w:sz w:val="21"/>
                <w:szCs w:val="21"/>
              </w:rPr>
              <w:t>现有工程</w:t>
            </w:r>
          </w:p>
          <w:p>
            <w:pPr>
              <w:pStyle w:val="30"/>
              <w:keepNext w:val="0"/>
              <w:keepLines w:val="0"/>
              <w:pageBreakBefore w:val="0"/>
              <w:kinsoku/>
              <w:wordWrap/>
              <w:overflowPunct/>
              <w:topLinePunct w:val="0"/>
              <w:autoSpaceDE/>
              <w:autoSpaceDN/>
              <w:bidi w:val="0"/>
              <w:spacing w:line="240" w:lineRule="auto"/>
              <w:ind w:firstLine="0" w:firstLineChars="0"/>
              <w:rPr>
                <w:rFonts w:ascii="Times New Roman" w:hAnsi="Times New Roman" w:eastAsia="黑体"/>
                <w:snapToGrid w:val="0"/>
                <w:spacing w:val="-6"/>
                <w:kern w:val="21"/>
                <w:sz w:val="21"/>
                <w:szCs w:val="21"/>
              </w:rPr>
            </w:pPr>
            <w:r>
              <w:rPr>
                <w:rFonts w:ascii="Times New Roman" w:hAnsi="Times New Roman" w:eastAsia="黑体"/>
                <w:snapToGrid w:val="0"/>
                <w:spacing w:val="-6"/>
                <w:kern w:val="21"/>
                <w:sz w:val="21"/>
                <w:szCs w:val="21"/>
              </w:rPr>
              <w:t>许可排放量</w:t>
            </w:r>
            <w:r>
              <w:rPr>
                <w:rFonts w:ascii="Times New Roman" w:hAnsi="Times New Roman" w:eastAsia="黑体"/>
                <w:snapToGrid w:val="0"/>
                <w:spacing w:val="-6"/>
                <w:kern w:val="21"/>
                <w:sz w:val="21"/>
                <w:szCs w:val="21"/>
              </w:rPr>
              <w:fldChar w:fldCharType="begin"/>
            </w:r>
            <w:r>
              <w:rPr>
                <w:rFonts w:ascii="Times New Roman" w:hAnsi="Times New Roman" w:eastAsia="黑体"/>
                <w:snapToGrid w:val="0"/>
                <w:spacing w:val="-6"/>
                <w:kern w:val="21"/>
                <w:sz w:val="21"/>
                <w:szCs w:val="21"/>
              </w:rPr>
              <w:instrText xml:space="preserve"> = 2 \* GB3 \* MERGEFORMAT </w:instrText>
            </w:r>
            <w:r>
              <w:rPr>
                <w:rFonts w:ascii="Times New Roman" w:hAnsi="Times New Roman" w:eastAsia="黑体"/>
                <w:snapToGrid w:val="0"/>
                <w:spacing w:val="-6"/>
                <w:kern w:val="21"/>
                <w:sz w:val="21"/>
                <w:szCs w:val="21"/>
              </w:rPr>
              <w:fldChar w:fldCharType="separate"/>
            </w:r>
            <w:r>
              <w:rPr>
                <w:rFonts w:hint="eastAsia" w:ascii="宋体" w:hAnsi="宋体" w:cs="宋体"/>
                <w:snapToGrid w:val="0"/>
                <w:spacing w:val="-6"/>
                <w:kern w:val="21"/>
                <w:sz w:val="21"/>
                <w:szCs w:val="21"/>
              </w:rPr>
              <w:t>②</w:t>
            </w:r>
            <w:r>
              <w:rPr>
                <w:rFonts w:ascii="Times New Roman" w:hAnsi="Times New Roman" w:eastAsia="黑体"/>
                <w:snapToGrid w:val="0"/>
                <w:spacing w:val="-6"/>
                <w:kern w:val="21"/>
                <w:sz w:val="21"/>
                <w:szCs w:val="21"/>
              </w:rPr>
              <w:fldChar w:fldCharType="end"/>
            </w:r>
          </w:p>
        </w:tc>
        <w:tc>
          <w:tcPr>
            <w:tcW w:w="1559" w:type="dxa"/>
            <w:tcMar>
              <w:left w:w="28" w:type="dxa"/>
              <w:right w:w="28" w:type="dxa"/>
            </w:tcMar>
            <w:vAlign w:val="center"/>
          </w:tcPr>
          <w:p>
            <w:pPr>
              <w:pStyle w:val="30"/>
              <w:keepNext w:val="0"/>
              <w:keepLines w:val="0"/>
              <w:pageBreakBefore w:val="0"/>
              <w:kinsoku/>
              <w:wordWrap/>
              <w:overflowPunct/>
              <w:topLinePunct w:val="0"/>
              <w:autoSpaceDE/>
              <w:autoSpaceDN/>
              <w:bidi w:val="0"/>
              <w:spacing w:line="240" w:lineRule="auto"/>
              <w:ind w:firstLine="0" w:firstLineChars="0"/>
              <w:rPr>
                <w:rFonts w:ascii="Times New Roman" w:hAnsi="Times New Roman" w:eastAsia="黑体"/>
                <w:snapToGrid w:val="0"/>
                <w:spacing w:val="-6"/>
                <w:kern w:val="21"/>
                <w:sz w:val="21"/>
                <w:szCs w:val="21"/>
              </w:rPr>
            </w:pPr>
            <w:r>
              <w:rPr>
                <w:rFonts w:ascii="Times New Roman" w:hAnsi="Times New Roman" w:eastAsia="黑体"/>
                <w:snapToGrid w:val="0"/>
                <w:spacing w:val="-6"/>
                <w:kern w:val="21"/>
                <w:sz w:val="21"/>
                <w:szCs w:val="21"/>
              </w:rPr>
              <w:t>在建工程</w:t>
            </w:r>
          </w:p>
          <w:p>
            <w:pPr>
              <w:pStyle w:val="30"/>
              <w:keepNext w:val="0"/>
              <w:keepLines w:val="0"/>
              <w:pageBreakBefore w:val="0"/>
              <w:kinsoku/>
              <w:wordWrap/>
              <w:overflowPunct/>
              <w:topLinePunct w:val="0"/>
              <w:autoSpaceDE/>
              <w:autoSpaceDN/>
              <w:bidi w:val="0"/>
              <w:spacing w:line="240" w:lineRule="auto"/>
              <w:ind w:firstLine="0" w:firstLineChars="0"/>
              <w:rPr>
                <w:rFonts w:ascii="Times New Roman" w:hAnsi="Times New Roman" w:eastAsia="黑体"/>
                <w:snapToGrid w:val="0"/>
                <w:spacing w:val="-6"/>
                <w:kern w:val="21"/>
                <w:sz w:val="21"/>
                <w:szCs w:val="21"/>
              </w:rPr>
            </w:pPr>
            <w:r>
              <w:rPr>
                <w:rFonts w:ascii="Times New Roman" w:hAnsi="Times New Roman" w:eastAsia="黑体"/>
                <w:snapToGrid w:val="0"/>
                <w:spacing w:val="-6"/>
                <w:kern w:val="21"/>
                <w:sz w:val="21"/>
                <w:szCs w:val="21"/>
              </w:rPr>
              <w:t>排放量（固体废物产生量）</w:t>
            </w:r>
            <w:r>
              <w:rPr>
                <w:rFonts w:ascii="Times New Roman" w:hAnsi="Times New Roman" w:eastAsia="黑体"/>
                <w:snapToGrid w:val="0"/>
                <w:spacing w:val="-6"/>
                <w:kern w:val="21"/>
                <w:sz w:val="21"/>
                <w:szCs w:val="21"/>
              </w:rPr>
              <w:fldChar w:fldCharType="begin"/>
            </w:r>
            <w:r>
              <w:rPr>
                <w:rFonts w:ascii="Times New Roman" w:hAnsi="Times New Roman" w:eastAsia="黑体"/>
                <w:snapToGrid w:val="0"/>
                <w:spacing w:val="-6"/>
                <w:kern w:val="21"/>
                <w:sz w:val="21"/>
                <w:szCs w:val="21"/>
              </w:rPr>
              <w:instrText xml:space="preserve"> = 3 \* GB3 \* MERGEFORMAT </w:instrText>
            </w:r>
            <w:r>
              <w:rPr>
                <w:rFonts w:ascii="Times New Roman" w:hAnsi="Times New Roman" w:eastAsia="黑体"/>
                <w:snapToGrid w:val="0"/>
                <w:spacing w:val="-6"/>
                <w:kern w:val="21"/>
                <w:sz w:val="21"/>
                <w:szCs w:val="21"/>
              </w:rPr>
              <w:fldChar w:fldCharType="separate"/>
            </w:r>
            <w:r>
              <w:rPr>
                <w:rFonts w:hint="eastAsia" w:ascii="宋体" w:hAnsi="宋体" w:cs="宋体"/>
                <w:kern w:val="2"/>
                <w:sz w:val="21"/>
                <w:szCs w:val="21"/>
              </w:rPr>
              <w:t>③</w:t>
            </w:r>
            <w:r>
              <w:rPr>
                <w:rFonts w:ascii="Times New Roman" w:hAnsi="Times New Roman" w:eastAsia="黑体"/>
                <w:snapToGrid w:val="0"/>
                <w:spacing w:val="-6"/>
                <w:kern w:val="21"/>
                <w:sz w:val="21"/>
                <w:szCs w:val="21"/>
              </w:rPr>
              <w:fldChar w:fldCharType="end"/>
            </w:r>
          </w:p>
        </w:tc>
        <w:tc>
          <w:tcPr>
            <w:tcW w:w="1559" w:type="dxa"/>
            <w:tcMar>
              <w:left w:w="28" w:type="dxa"/>
              <w:right w:w="28" w:type="dxa"/>
            </w:tcMar>
            <w:vAlign w:val="center"/>
          </w:tcPr>
          <w:p>
            <w:pPr>
              <w:pStyle w:val="30"/>
              <w:keepNext w:val="0"/>
              <w:keepLines w:val="0"/>
              <w:pageBreakBefore w:val="0"/>
              <w:kinsoku/>
              <w:wordWrap/>
              <w:overflowPunct/>
              <w:topLinePunct w:val="0"/>
              <w:autoSpaceDE/>
              <w:autoSpaceDN/>
              <w:bidi w:val="0"/>
              <w:spacing w:line="240" w:lineRule="auto"/>
              <w:ind w:firstLine="0" w:firstLineChars="0"/>
              <w:rPr>
                <w:rFonts w:ascii="Times New Roman" w:hAnsi="Times New Roman" w:eastAsia="黑体"/>
                <w:snapToGrid w:val="0"/>
                <w:spacing w:val="-6"/>
                <w:kern w:val="21"/>
                <w:sz w:val="21"/>
                <w:szCs w:val="21"/>
              </w:rPr>
            </w:pPr>
            <w:r>
              <w:rPr>
                <w:rFonts w:ascii="Times New Roman" w:hAnsi="Times New Roman" w:eastAsia="黑体"/>
                <w:snapToGrid w:val="0"/>
                <w:spacing w:val="-6"/>
                <w:kern w:val="21"/>
                <w:sz w:val="21"/>
                <w:szCs w:val="21"/>
              </w:rPr>
              <w:t>本项目</w:t>
            </w:r>
          </w:p>
          <w:p>
            <w:pPr>
              <w:pStyle w:val="30"/>
              <w:keepNext w:val="0"/>
              <w:keepLines w:val="0"/>
              <w:pageBreakBefore w:val="0"/>
              <w:kinsoku/>
              <w:wordWrap/>
              <w:overflowPunct/>
              <w:topLinePunct w:val="0"/>
              <w:autoSpaceDE/>
              <w:autoSpaceDN/>
              <w:bidi w:val="0"/>
              <w:spacing w:line="240" w:lineRule="auto"/>
              <w:ind w:firstLine="0" w:firstLineChars="0"/>
              <w:rPr>
                <w:rFonts w:ascii="Times New Roman" w:hAnsi="Times New Roman" w:eastAsia="黑体"/>
                <w:snapToGrid w:val="0"/>
                <w:spacing w:val="-6"/>
                <w:kern w:val="21"/>
                <w:sz w:val="21"/>
                <w:szCs w:val="21"/>
              </w:rPr>
            </w:pPr>
            <w:r>
              <w:rPr>
                <w:rFonts w:ascii="Times New Roman" w:hAnsi="Times New Roman" w:eastAsia="黑体"/>
                <w:snapToGrid w:val="0"/>
                <w:spacing w:val="-6"/>
                <w:kern w:val="21"/>
                <w:sz w:val="21"/>
                <w:szCs w:val="21"/>
              </w:rPr>
              <w:t>排放量（固体废物产生量）</w:t>
            </w:r>
            <w:r>
              <w:rPr>
                <w:rFonts w:ascii="Times New Roman" w:hAnsi="Times New Roman" w:eastAsia="黑体"/>
                <w:snapToGrid w:val="0"/>
                <w:spacing w:val="-6"/>
                <w:kern w:val="21"/>
                <w:sz w:val="21"/>
                <w:szCs w:val="21"/>
              </w:rPr>
              <w:fldChar w:fldCharType="begin"/>
            </w:r>
            <w:r>
              <w:rPr>
                <w:rFonts w:ascii="Times New Roman" w:hAnsi="Times New Roman" w:eastAsia="黑体"/>
                <w:snapToGrid w:val="0"/>
                <w:spacing w:val="-6"/>
                <w:kern w:val="21"/>
                <w:sz w:val="21"/>
                <w:szCs w:val="21"/>
              </w:rPr>
              <w:instrText xml:space="preserve"> = 4 \* GB3 \* MERGEFORMAT </w:instrText>
            </w:r>
            <w:r>
              <w:rPr>
                <w:rFonts w:ascii="Times New Roman" w:hAnsi="Times New Roman" w:eastAsia="黑体"/>
                <w:snapToGrid w:val="0"/>
                <w:spacing w:val="-6"/>
                <w:kern w:val="21"/>
                <w:sz w:val="21"/>
                <w:szCs w:val="21"/>
              </w:rPr>
              <w:fldChar w:fldCharType="separate"/>
            </w:r>
            <w:r>
              <w:rPr>
                <w:rFonts w:hint="eastAsia" w:ascii="宋体" w:hAnsi="宋体" w:cs="宋体"/>
                <w:kern w:val="2"/>
                <w:sz w:val="21"/>
                <w:szCs w:val="21"/>
              </w:rPr>
              <w:t>④</w:t>
            </w:r>
            <w:r>
              <w:rPr>
                <w:rFonts w:ascii="Times New Roman" w:hAnsi="Times New Roman" w:eastAsia="黑体"/>
                <w:snapToGrid w:val="0"/>
                <w:spacing w:val="-6"/>
                <w:kern w:val="21"/>
                <w:sz w:val="21"/>
                <w:szCs w:val="21"/>
              </w:rPr>
              <w:fldChar w:fldCharType="end"/>
            </w:r>
          </w:p>
        </w:tc>
        <w:tc>
          <w:tcPr>
            <w:tcW w:w="1985" w:type="dxa"/>
            <w:tcMar>
              <w:left w:w="28" w:type="dxa"/>
              <w:right w:w="28" w:type="dxa"/>
            </w:tcMar>
            <w:vAlign w:val="center"/>
          </w:tcPr>
          <w:p>
            <w:pPr>
              <w:pStyle w:val="30"/>
              <w:keepNext w:val="0"/>
              <w:keepLines w:val="0"/>
              <w:pageBreakBefore w:val="0"/>
              <w:kinsoku/>
              <w:wordWrap/>
              <w:overflowPunct/>
              <w:topLinePunct w:val="0"/>
              <w:autoSpaceDE/>
              <w:autoSpaceDN/>
              <w:bidi w:val="0"/>
              <w:spacing w:line="240" w:lineRule="auto"/>
              <w:ind w:firstLine="0" w:firstLineChars="0"/>
              <w:rPr>
                <w:rFonts w:ascii="Times New Roman" w:hAnsi="Times New Roman" w:eastAsia="黑体"/>
                <w:snapToGrid w:val="0"/>
                <w:spacing w:val="-16"/>
                <w:kern w:val="21"/>
                <w:sz w:val="21"/>
                <w:szCs w:val="21"/>
              </w:rPr>
            </w:pPr>
            <w:r>
              <w:rPr>
                <w:rFonts w:ascii="Times New Roman" w:hAnsi="Times New Roman" w:eastAsia="黑体"/>
                <w:snapToGrid w:val="0"/>
                <w:spacing w:val="-16"/>
                <w:kern w:val="21"/>
                <w:sz w:val="21"/>
                <w:szCs w:val="21"/>
              </w:rPr>
              <w:t>以新带老削减量</w:t>
            </w:r>
          </w:p>
          <w:p>
            <w:pPr>
              <w:pStyle w:val="30"/>
              <w:keepNext w:val="0"/>
              <w:keepLines w:val="0"/>
              <w:pageBreakBefore w:val="0"/>
              <w:kinsoku/>
              <w:wordWrap/>
              <w:overflowPunct/>
              <w:topLinePunct w:val="0"/>
              <w:autoSpaceDE/>
              <w:autoSpaceDN/>
              <w:bidi w:val="0"/>
              <w:spacing w:line="240" w:lineRule="auto"/>
              <w:ind w:firstLine="0" w:firstLineChars="0"/>
              <w:rPr>
                <w:rFonts w:ascii="Times New Roman" w:hAnsi="Times New Roman" w:eastAsia="黑体"/>
                <w:snapToGrid w:val="0"/>
                <w:spacing w:val="-16"/>
                <w:kern w:val="21"/>
                <w:sz w:val="21"/>
                <w:szCs w:val="21"/>
              </w:rPr>
            </w:pPr>
            <w:r>
              <w:rPr>
                <w:rFonts w:ascii="Times New Roman" w:hAnsi="Times New Roman" w:eastAsia="黑体"/>
                <w:snapToGrid w:val="0"/>
                <w:spacing w:val="-16"/>
                <w:kern w:val="21"/>
                <w:sz w:val="21"/>
                <w:szCs w:val="21"/>
              </w:rPr>
              <w:t>（新建项目不填）</w:t>
            </w:r>
            <w:r>
              <w:rPr>
                <w:rFonts w:ascii="Times New Roman" w:hAnsi="Times New Roman" w:eastAsia="黑体"/>
                <w:snapToGrid w:val="0"/>
                <w:spacing w:val="-16"/>
                <w:kern w:val="21"/>
                <w:sz w:val="21"/>
                <w:szCs w:val="21"/>
              </w:rPr>
              <w:fldChar w:fldCharType="begin"/>
            </w:r>
            <w:r>
              <w:rPr>
                <w:rFonts w:ascii="Times New Roman" w:hAnsi="Times New Roman" w:eastAsia="黑体"/>
                <w:snapToGrid w:val="0"/>
                <w:spacing w:val="-16"/>
                <w:kern w:val="21"/>
                <w:sz w:val="21"/>
                <w:szCs w:val="21"/>
              </w:rPr>
              <w:instrText xml:space="preserve"> = 5 \* GB3 \* MERGEFORMAT </w:instrText>
            </w:r>
            <w:r>
              <w:rPr>
                <w:rFonts w:ascii="Times New Roman" w:hAnsi="Times New Roman" w:eastAsia="黑体"/>
                <w:snapToGrid w:val="0"/>
                <w:spacing w:val="-16"/>
                <w:kern w:val="21"/>
                <w:sz w:val="21"/>
                <w:szCs w:val="21"/>
              </w:rPr>
              <w:fldChar w:fldCharType="separate"/>
            </w:r>
            <w:r>
              <w:rPr>
                <w:rFonts w:hint="eastAsia" w:ascii="宋体" w:hAnsi="宋体" w:cs="宋体"/>
                <w:kern w:val="2"/>
                <w:sz w:val="21"/>
                <w:szCs w:val="21"/>
              </w:rPr>
              <w:t>⑤</w:t>
            </w:r>
            <w:r>
              <w:rPr>
                <w:rFonts w:ascii="Times New Roman" w:hAnsi="Times New Roman" w:eastAsia="黑体"/>
                <w:snapToGrid w:val="0"/>
                <w:spacing w:val="-16"/>
                <w:kern w:val="21"/>
                <w:sz w:val="21"/>
                <w:szCs w:val="21"/>
              </w:rPr>
              <w:fldChar w:fldCharType="end"/>
            </w:r>
          </w:p>
        </w:tc>
        <w:tc>
          <w:tcPr>
            <w:tcW w:w="1842" w:type="dxa"/>
            <w:tcMar>
              <w:left w:w="28" w:type="dxa"/>
              <w:right w:w="28" w:type="dxa"/>
            </w:tcMar>
            <w:vAlign w:val="center"/>
          </w:tcPr>
          <w:p>
            <w:pPr>
              <w:pStyle w:val="30"/>
              <w:keepNext w:val="0"/>
              <w:keepLines w:val="0"/>
              <w:pageBreakBefore w:val="0"/>
              <w:kinsoku/>
              <w:wordWrap/>
              <w:overflowPunct/>
              <w:topLinePunct w:val="0"/>
              <w:autoSpaceDE/>
              <w:autoSpaceDN/>
              <w:bidi w:val="0"/>
              <w:spacing w:line="240" w:lineRule="auto"/>
              <w:ind w:firstLine="0" w:firstLineChars="0"/>
              <w:rPr>
                <w:rFonts w:ascii="Times New Roman" w:hAnsi="Times New Roman" w:eastAsia="黑体"/>
                <w:snapToGrid w:val="0"/>
                <w:spacing w:val="-16"/>
                <w:kern w:val="21"/>
                <w:sz w:val="21"/>
                <w:szCs w:val="21"/>
              </w:rPr>
            </w:pPr>
            <w:r>
              <w:rPr>
                <w:rFonts w:ascii="Times New Roman" w:hAnsi="Times New Roman" w:eastAsia="黑体"/>
                <w:snapToGrid w:val="0"/>
                <w:spacing w:val="-16"/>
                <w:kern w:val="21"/>
                <w:sz w:val="21"/>
                <w:szCs w:val="21"/>
              </w:rPr>
              <w:t>本项目建成后</w:t>
            </w:r>
          </w:p>
          <w:p>
            <w:pPr>
              <w:pStyle w:val="30"/>
              <w:keepNext w:val="0"/>
              <w:keepLines w:val="0"/>
              <w:pageBreakBefore w:val="0"/>
              <w:kinsoku/>
              <w:wordWrap/>
              <w:overflowPunct/>
              <w:topLinePunct w:val="0"/>
              <w:autoSpaceDE/>
              <w:autoSpaceDN/>
              <w:bidi w:val="0"/>
              <w:spacing w:line="240" w:lineRule="auto"/>
              <w:ind w:firstLine="0" w:firstLineChars="0"/>
              <w:rPr>
                <w:rFonts w:ascii="Times New Roman" w:hAnsi="Times New Roman" w:eastAsia="黑体"/>
                <w:snapToGrid w:val="0"/>
                <w:spacing w:val="-16"/>
                <w:kern w:val="21"/>
                <w:sz w:val="21"/>
                <w:szCs w:val="21"/>
              </w:rPr>
            </w:pPr>
            <w:r>
              <w:rPr>
                <w:rFonts w:ascii="Times New Roman" w:hAnsi="Times New Roman" w:eastAsia="黑体"/>
                <w:snapToGrid w:val="0"/>
                <w:spacing w:val="-16"/>
                <w:kern w:val="21"/>
                <w:sz w:val="21"/>
                <w:szCs w:val="21"/>
              </w:rPr>
              <w:t>全厂排放量（固体废物产生量）</w:t>
            </w:r>
            <w:r>
              <w:rPr>
                <w:rFonts w:ascii="Times New Roman" w:hAnsi="Times New Roman" w:eastAsia="黑体"/>
                <w:snapToGrid w:val="0"/>
                <w:spacing w:val="-16"/>
                <w:kern w:val="21"/>
                <w:sz w:val="21"/>
                <w:szCs w:val="21"/>
              </w:rPr>
              <w:fldChar w:fldCharType="begin"/>
            </w:r>
            <w:r>
              <w:rPr>
                <w:rFonts w:ascii="Times New Roman" w:hAnsi="Times New Roman" w:eastAsia="黑体"/>
                <w:snapToGrid w:val="0"/>
                <w:spacing w:val="-16"/>
                <w:kern w:val="21"/>
                <w:sz w:val="21"/>
                <w:szCs w:val="21"/>
              </w:rPr>
              <w:instrText xml:space="preserve"> = 6 \* GB3 \* MERGEFORMAT </w:instrText>
            </w:r>
            <w:r>
              <w:rPr>
                <w:rFonts w:ascii="Times New Roman" w:hAnsi="Times New Roman" w:eastAsia="黑体"/>
                <w:snapToGrid w:val="0"/>
                <w:spacing w:val="-16"/>
                <w:kern w:val="21"/>
                <w:sz w:val="21"/>
                <w:szCs w:val="21"/>
              </w:rPr>
              <w:fldChar w:fldCharType="separate"/>
            </w:r>
            <w:r>
              <w:rPr>
                <w:rFonts w:hint="eastAsia" w:ascii="宋体" w:hAnsi="宋体" w:cs="宋体"/>
                <w:kern w:val="2"/>
                <w:sz w:val="21"/>
                <w:szCs w:val="21"/>
              </w:rPr>
              <w:t>⑥</w:t>
            </w:r>
            <w:r>
              <w:rPr>
                <w:rFonts w:ascii="Times New Roman" w:hAnsi="Times New Roman" w:eastAsia="黑体"/>
                <w:snapToGrid w:val="0"/>
                <w:spacing w:val="-16"/>
                <w:kern w:val="21"/>
                <w:sz w:val="21"/>
                <w:szCs w:val="21"/>
              </w:rPr>
              <w:fldChar w:fldCharType="end"/>
            </w:r>
          </w:p>
        </w:tc>
        <w:tc>
          <w:tcPr>
            <w:tcW w:w="1189" w:type="dxa"/>
            <w:tcMar>
              <w:left w:w="28" w:type="dxa"/>
              <w:right w:w="28" w:type="dxa"/>
            </w:tcMar>
            <w:vAlign w:val="center"/>
          </w:tcPr>
          <w:p>
            <w:pPr>
              <w:pStyle w:val="30"/>
              <w:keepNext w:val="0"/>
              <w:keepLines w:val="0"/>
              <w:pageBreakBefore w:val="0"/>
              <w:kinsoku/>
              <w:wordWrap/>
              <w:overflowPunct/>
              <w:topLinePunct w:val="0"/>
              <w:autoSpaceDE/>
              <w:autoSpaceDN/>
              <w:bidi w:val="0"/>
              <w:spacing w:line="240" w:lineRule="auto"/>
              <w:ind w:firstLine="0" w:firstLineChars="0"/>
              <w:rPr>
                <w:rFonts w:ascii="Times New Roman" w:hAnsi="Times New Roman" w:eastAsia="黑体"/>
                <w:snapToGrid w:val="0"/>
                <w:spacing w:val="-6"/>
                <w:kern w:val="21"/>
                <w:sz w:val="21"/>
                <w:szCs w:val="21"/>
              </w:rPr>
            </w:pPr>
            <w:r>
              <w:rPr>
                <w:rFonts w:ascii="Times New Roman" w:hAnsi="Times New Roman" w:eastAsia="黑体"/>
                <w:snapToGrid w:val="0"/>
                <w:spacing w:val="-6"/>
                <w:kern w:val="21"/>
                <w:sz w:val="21"/>
                <w:szCs w:val="21"/>
              </w:rPr>
              <w:t>变化量</w:t>
            </w:r>
          </w:p>
          <w:p>
            <w:pPr>
              <w:pStyle w:val="30"/>
              <w:keepNext w:val="0"/>
              <w:keepLines w:val="0"/>
              <w:pageBreakBefore w:val="0"/>
              <w:kinsoku/>
              <w:wordWrap/>
              <w:overflowPunct/>
              <w:topLinePunct w:val="0"/>
              <w:autoSpaceDE/>
              <w:autoSpaceDN/>
              <w:bidi w:val="0"/>
              <w:spacing w:line="240" w:lineRule="auto"/>
              <w:ind w:firstLine="0" w:firstLineChars="0"/>
              <w:rPr>
                <w:rFonts w:ascii="Times New Roman" w:hAnsi="Times New Roman" w:eastAsia="黑体"/>
                <w:snapToGrid w:val="0"/>
                <w:spacing w:val="-6"/>
                <w:kern w:val="21"/>
                <w:sz w:val="21"/>
                <w:szCs w:val="21"/>
              </w:rPr>
            </w:pPr>
            <w:r>
              <w:rPr>
                <w:rFonts w:ascii="Times New Roman" w:hAnsi="Times New Roman" w:eastAsia="黑体"/>
                <w:snapToGrid w:val="0"/>
                <w:spacing w:val="-6"/>
                <w:kern w:val="21"/>
                <w:sz w:val="21"/>
                <w:szCs w:val="21"/>
              </w:rPr>
              <w:fldChar w:fldCharType="begin"/>
            </w:r>
            <w:r>
              <w:rPr>
                <w:rFonts w:ascii="Times New Roman" w:hAnsi="Times New Roman" w:eastAsia="黑体"/>
                <w:snapToGrid w:val="0"/>
                <w:spacing w:val="-6"/>
                <w:kern w:val="21"/>
                <w:sz w:val="21"/>
                <w:szCs w:val="21"/>
              </w:rPr>
              <w:instrText xml:space="preserve"> = 7 \* GB3 \* MERGEFORMAT </w:instrText>
            </w:r>
            <w:r>
              <w:rPr>
                <w:rFonts w:ascii="Times New Roman" w:hAnsi="Times New Roman" w:eastAsia="黑体"/>
                <w:snapToGrid w:val="0"/>
                <w:spacing w:val="-6"/>
                <w:kern w:val="21"/>
                <w:sz w:val="21"/>
                <w:szCs w:val="21"/>
              </w:rPr>
              <w:fldChar w:fldCharType="separate"/>
            </w:r>
            <w:r>
              <w:rPr>
                <w:rFonts w:hint="eastAsia" w:ascii="宋体" w:hAnsi="宋体" w:cs="宋体"/>
                <w:kern w:val="2"/>
                <w:sz w:val="21"/>
                <w:szCs w:val="21"/>
              </w:rPr>
              <w:t>⑦</w:t>
            </w:r>
            <w:r>
              <w:rPr>
                <w:rFonts w:ascii="Times New Roman" w:hAnsi="Times New Roman" w:eastAsia="黑体"/>
                <w:snapToGrid w:val="0"/>
                <w:spacing w:val="-6"/>
                <w:kern w:val="21"/>
                <w:sz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588" w:type="dxa"/>
            <w:vMerge w:val="restart"/>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kern w:val="21"/>
                <w:sz w:val="21"/>
                <w:szCs w:val="21"/>
              </w:rPr>
            </w:pPr>
            <w:bookmarkStart w:id="9" w:name="OLE_LINK222" w:colFirst="7" w:colLast="7"/>
            <w:bookmarkStart w:id="10" w:name="_Hlk109825648"/>
            <w:bookmarkStart w:id="11" w:name="OLE_LINK221" w:colFirst="7" w:colLast="7"/>
            <w:bookmarkStart w:id="12" w:name="OLE_LINK220" w:colFirst="7" w:colLast="7"/>
            <w:r>
              <w:rPr>
                <w:rFonts w:hint="default" w:ascii="Times New Roman" w:hAnsi="Times New Roman" w:eastAsia="宋体" w:cs="Times New Roman"/>
                <w:snapToGrid w:val="0"/>
                <w:kern w:val="21"/>
                <w:sz w:val="21"/>
                <w:szCs w:val="21"/>
              </w:rPr>
              <w:t>废气</w:t>
            </w:r>
          </w:p>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kern w:val="21"/>
                <w:sz w:val="21"/>
                <w:szCs w:val="21"/>
              </w:rPr>
            </w:pPr>
            <w:r>
              <w:rPr>
                <w:rFonts w:hint="default" w:ascii="Times New Roman" w:hAnsi="Times New Roman" w:eastAsia="宋体" w:cs="Times New Roman"/>
                <w:snapToGrid w:val="0"/>
                <w:kern w:val="21"/>
                <w:sz w:val="21"/>
                <w:szCs w:val="21"/>
              </w:rPr>
              <w:t>（t/a）</w:t>
            </w:r>
          </w:p>
        </w:tc>
        <w:tc>
          <w:tcPr>
            <w:tcW w:w="1417" w:type="dxa"/>
            <w:vAlign w:val="center"/>
          </w:tcPr>
          <w:p>
            <w:pPr>
              <w:tabs>
                <w:tab w:val="left" w:pos="277"/>
                <w:tab w:val="left" w:pos="600"/>
                <w:tab w:val="left" w:pos="780"/>
                <w:tab w:val="left" w:pos="2517"/>
              </w:tabs>
              <w:adjustRightInd w:val="0"/>
              <w:snapToGrid w:val="0"/>
              <w:jc w:val="center"/>
              <w:rPr>
                <w:rFonts w:hint="default" w:ascii="Times New Roman" w:hAnsi="Times New Roman" w:eastAsia="宋体" w:cs="Times New Roman"/>
                <w:snapToGrid w:val="0"/>
                <w:color w:val="auto"/>
                <w:kern w:val="21"/>
                <w:sz w:val="21"/>
                <w:szCs w:val="21"/>
              </w:rPr>
            </w:pPr>
            <w:r>
              <w:rPr>
                <w:rFonts w:hint="default" w:ascii="Times New Roman" w:hAnsi="宋体" w:eastAsia="宋体" w:cs="Times New Roman"/>
                <w:color w:val="auto"/>
                <w:kern w:val="0"/>
                <w:sz w:val="21"/>
                <w:szCs w:val="21"/>
                <w:lang w:eastAsia="zh-CN"/>
              </w:rPr>
              <w:t>颗粒物</w:t>
            </w:r>
          </w:p>
        </w:tc>
        <w:tc>
          <w:tcPr>
            <w:tcW w:w="1701"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8.135</w:t>
            </w:r>
          </w:p>
        </w:tc>
        <w:tc>
          <w:tcPr>
            <w:tcW w:w="1505" w:type="dxa"/>
            <w:vAlign w:val="center"/>
          </w:tcPr>
          <w:p>
            <w:pPr>
              <w:adjustRightInd w:val="0"/>
              <w:snapToGrid w:val="0"/>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color w:val="auto"/>
                <w:sz w:val="21"/>
                <w:szCs w:val="21"/>
                <w:lang w:val="en-US" w:eastAsia="zh-CN"/>
              </w:rPr>
              <w:t>9.5</w:t>
            </w:r>
          </w:p>
        </w:tc>
        <w:tc>
          <w:tcPr>
            <w:tcW w:w="1559" w:type="dxa"/>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0</w:t>
            </w:r>
          </w:p>
        </w:tc>
        <w:tc>
          <w:tcPr>
            <w:tcW w:w="1559" w:type="dxa"/>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color w:val="auto"/>
                <w:spacing w:val="-10"/>
                <w:kern w:val="21"/>
                <w:sz w:val="21"/>
                <w:szCs w:val="21"/>
                <w:lang w:val="en-US" w:eastAsia="zh-CN" w:bidi="ar-SA"/>
              </w:rPr>
            </w:pPr>
            <w:r>
              <w:rPr>
                <w:rFonts w:hint="eastAsia" w:ascii="Times New Roman" w:hAnsi="Times New Roman" w:eastAsia="宋体" w:cs="Times New Roman"/>
                <w:snapToGrid w:val="0"/>
                <w:color w:val="auto"/>
                <w:spacing w:val="-10"/>
                <w:kern w:val="21"/>
                <w:sz w:val="21"/>
                <w:szCs w:val="21"/>
                <w:lang w:val="en-US" w:eastAsia="zh-CN" w:bidi="ar-SA"/>
              </w:rPr>
              <w:t>16.1322</w:t>
            </w:r>
          </w:p>
        </w:tc>
        <w:tc>
          <w:tcPr>
            <w:tcW w:w="1985" w:type="dxa"/>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color w:val="auto"/>
                <w:spacing w:val="-10"/>
                <w:kern w:val="21"/>
                <w:sz w:val="21"/>
                <w:szCs w:val="21"/>
                <w:lang w:val="en-US" w:eastAsia="zh-CN" w:bidi="ar-SA"/>
              </w:rPr>
            </w:pPr>
            <w:r>
              <w:rPr>
                <w:rFonts w:hint="default" w:ascii="Times New Roman" w:hAnsi="Times New Roman" w:eastAsia="宋体" w:cs="Times New Roman"/>
                <w:snapToGrid w:val="0"/>
                <w:color w:val="auto"/>
                <w:spacing w:val="-10"/>
                <w:kern w:val="21"/>
                <w:sz w:val="21"/>
                <w:szCs w:val="21"/>
                <w:lang w:val="en-US" w:eastAsia="zh-CN" w:bidi="ar-SA"/>
              </w:rPr>
              <w:t>9.5</w:t>
            </w:r>
          </w:p>
        </w:tc>
        <w:tc>
          <w:tcPr>
            <w:tcW w:w="1842" w:type="dxa"/>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color w:val="auto"/>
                <w:spacing w:val="-10"/>
                <w:kern w:val="21"/>
                <w:sz w:val="21"/>
                <w:szCs w:val="21"/>
                <w:lang w:val="en-US" w:eastAsia="zh-CN" w:bidi="ar-SA"/>
              </w:rPr>
            </w:pPr>
            <w:r>
              <w:rPr>
                <w:rFonts w:hint="eastAsia" w:ascii="Times New Roman" w:hAnsi="Times New Roman" w:eastAsia="宋体" w:cs="Times New Roman"/>
                <w:snapToGrid w:val="0"/>
                <w:color w:val="auto"/>
                <w:spacing w:val="-10"/>
                <w:kern w:val="21"/>
                <w:sz w:val="21"/>
                <w:szCs w:val="21"/>
                <w:lang w:val="en-US" w:eastAsia="zh-CN" w:bidi="ar-SA"/>
              </w:rPr>
              <w:t>16.1322</w:t>
            </w:r>
          </w:p>
        </w:tc>
        <w:tc>
          <w:tcPr>
            <w:tcW w:w="1189" w:type="dxa"/>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color w:val="auto"/>
                <w:spacing w:val="-10"/>
                <w:kern w:val="21"/>
                <w:sz w:val="21"/>
                <w:szCs w:val="21"/>
                <w:lang w:val="en-US" w:eastAsia="zh-CN" w:bidi="ar-SA"/>
              </w:rPr>
            </w:pPr>
            <w:r>
              <w:rPr>
                <w:rFonts w:hint="eastAsia" w:ascii="Times New Roman" w:hAnsi="Times New Roman" w:eastAsia="宋体" w:cs="Times New Roman"/>
                <w:snapToGrid w:val="0"/>
                <w:color w:val="auto"/>
                <w:spacing w:val="-10"/>
                <w:kern w:val="21"/>
                <w:sz w:val="21"/>
                <w:szCs w:val="21"/>
                <w:lang w:val="en-US" w:eastAsia="zh-CN" w:bidi="ar-SA"/>
              </w:rPr>
              <w:t>+6.6322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588" w:type="dxa"/>
            <w:vMerge w:val="continue"/>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kern w:val="21"/>
                <w:sz w:val="21"/>
                <w:szCs w:val="21"/>
              </w:rPr>
            </w:pPr>
            <w:bookmarkStart w:id="13" w:name="OLE_LINK214" w:colFirst="5" w:colLast="5"/>
            <w:bookmarkStart w:id="14" w:name="OLE_LINK213" w:colFirst="5" w:colLast="5"/>
            <w:bookmarkStart w:id="15" w:name="_Hlk109825494"/>
          </w:p>
        </w:tc>
        <w:tc>
          <w:tcPr>
            <w:tcW w:w="1417" w:type="dxa"/>
            <w:vAlign w:val="center"/>
          </w:tcPr>
          <w:p>
            <w:pPr>
              <w:pStyle w:val="49"/>
              <w:ind w:firstLine="0" w:firstLineChars="0"/>
              <w:rPr>
                <w:rFonts w:hint="default" w:ascii="Times New Roman" w:hAnsi="Times New Roman" w:eastAsia="宋体" w:cs="Times New Roman"/>
                <w:snapToGrid w:val="0"/>
                <w:color w:val="auto"/>
                <w:kern w:val="21"/>
                <w:sz w:val="21"/>
                <w:szCs w:val="21"/>
                <w:lang w:eastAsia="zh-CN"/>
              </w:rPr>
            </w:pPr>
            <w:r>
              <w:rPr>
                <w:rFonts w:hint="eastAsia" w:ascii="Times New Roman" w:hAnsi="Times New Roman" w:cs="Times New Roman"/>
                <w:color w:val="auto"/>
                <w:sz w:val="21"/>
                <w:szCs w:val="21"/>
              </w:rPr>
              <w:t>SO</w:t>
            </w:r>
            <w:r>
              <w:rPr>
                <w:rFonts w:hint="eastAsia" w:ascii="Times New Roman" w:hAnsi="Times New Roman" w:cs="Times New Roman"/>
                <w:color w:val="auto"/>
                <w:sz w:val="21"/>
                <w:szCs w:val="21"/>
                <w:vertAlign w:val="subscript"/>
              </w:rPr>
              <w:t>2</w:t>
            </w:r>
          </w:p>
        </w:tc>
        <w:tc>
          <w:tcPr>
            <w:tcW w:w="1701"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0.7056</w:t>
            </w:r>
          </w:p>
        </w:tc>
        <w:tc>
          <w:tcPr>
            <w:tcW w:w="1505" w:type="dxa"/>
            <w:vAlign w:val="center"/>
          </w:tcPr>
          <w:p>
            <w:pPr>
              <w:adjustRightInd w:val="0"/>
              <w:snapToGrid w:val="0"/>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color w:val="auto"/>
                <w:sz w:val="21"/>
                <w:szCs w:val="21"/>
                <w:lang w:val="en-US" w:eastAsia="zh-CN"/>
              </w:rPr>
              <w:t>1.51</w:t>
            </w:r>
          </w:p>
        </w:tc>
        <w:tc>
          <w:tcPr>
            <w:tcW w:w="1559" w:type="dxa"/>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0</w:t>
            </w:r>
          </w:p>
        </w:tc>
        <w:tc>
          <w:tcPr>
            <w:tcW w:w="1559" w:type="dxa"/>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color w:val="auto"/>
                <w:spacing w:val="-10"/>
                <w:kern w:val="21"/>
                <w:sz w:val="21"/>
                <w:szCs w:val="21"/>
                <w:lang w:val="en-US" w:eastAsia="zh-CN" w:bidi="ar-SA"/>
              </w:rPr>
            </w:pPr>
            <w:r>
              <w:rPr>
                <w:rFonts w:hint="eastAsia" w:ascii="Times New Roman" w:hAnsi="Times New Roman" w:eastAsia="宋体" w:cs="Times New Roman"/>
                <w:snapToGrid w:val="0"/>
                <w:color w:val="auto"/>
                <w:spacing w:val="-10"/>
                <w:kern w:val="21"/>
                <w:sz w:val="21"/>
                <w:szCs w:val="21"/>
                <w:lang w:val="en-US" w:eastAsia="zh-CN" w:bidi="ar-SA"/>
              </w:rPr>
              <w:t>8.22</w:t>
            </w:r>
          </w:p>
        </w:tc>
        <w:tc>
          <w:tcPr>
            <w:tcW w:w="1985" w:type="dxa"/>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color w:val="auto"/>
                <w:spacing w:val="-10"/>
                <w:kern w:val="21"/>
                <w:sz w:val="21"/>
                <w:szCs w:val="21"/>
                <w:lang w:val="en-US" w:eastAsia="zh-CN" w:bidi="ar-SA"/>
              </w:rPr>
            </w:pPr>
            <w:r>
              <w:rPr>
                <w:rFonts w:hint="default" w:ascii="Times New Roman" w:hAnsi="Times New Roman" w:eastAsia="宋体" w:cs="Times New Roman"/>
                <w:snapToGrid w:val="0"/>
                <w:color w:val="auto"/>
                <w:spacing w:val="-10"/>
                <w:kern w:val="21"/>
                <w:sz w:val="21"/>
                <w:szCs w:val="21"/>
                <w:lang w:val="en-US" w:eastAsia="zh-CN" w:bidi="ar-SA"/>
              </w:rPr>
              <w:t>1.51</w:t>
            </w:r>
          </w:p>
        </w:tc>
        <w:tc>
          <w:tcPr>
            <w:tcW w:w="1842" w:type="dxa"/>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color w:val="auto"/>
                <w:spacing w:val="-10"/>
                <w:kern w:val="21"/>
                <w:sz w:val="21"/>
                <w:szCs w:val="21"/>
                <w:lang w:val="en-US" w:eastAsia="zh-CN" w:bidi="ar-SA"/>
              </w:rPr>
            </w:pPr>
            <w:r>
              <w:rPr>
                <w:rFonts w:hint="eastAsia" w:ascii="Times New Roman" w:hAnsi="Times New Roman" w:eastAsia="宋体" w:cs="Times New Roman"/>
                <w:snapToGrid w:val="0"/>
                <w:color w:val="auto"/>
                <w:spacing w:val="-10"/>
                <w:kern w:val="21"/>
                <w:sz w:val="21"/>
                <w:szCs w:val="21"/>
                <w:lang w:val="en-US" w:eastAsia="zh-CN" w:bidi="ar-SA"/>
              </w:rPr>
              <w:t>8.22</w:t>
            </w:r>
          </w:p>
        </w:tc>
        <w:tc>
          <w:tcPr>
            <w:tcW w:w="1189" w:type="dxa"/>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color w:val="auto"/>
                <w:spacing w:val="-10"/>
                <w:kern w:val="21"/>
                <w:sz w:val="21"/>
                <w:szCs w:val="21"/>
                <w:lang w:val="en-US" w:eastAsia="zh-CN" w:bidi="ar-SA"/>
              </w:rPr>
            </w:pPr>
            <w:r>
              <w:rPr>
                <w:rFonts w:hint="eastAsia" w:ascii="Times New Roman" w:hAnsi="Times New Roman" w:eastAsia="宋体" w:cs="Times New Roman"/>
                <w:snapToGrid w:val="0"/>
                <w:color w:val="auto"/>
                <w:spacing w:val="-10"/>
                <w:kern w:val="21"/>
                <w:sz w:val="21"/>
                <w:szCs w:val="21"/>
                <w:lang w:val="en-US" w:eastAsia="zh-CN" w:bidi="ar-SA"/>
              </w:rPr>
              <w:t>+6.71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588" w:type="dxa"/>
            <w:vMerge w:val="continue"/>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kern w:val="21"/>
                <w:sz w:val="21"/>
                <w:szCs w:val="21"/>
              </w:rPr>
            </w:pPr>
          </w:p>
        </w:tc>
        <w:tc>
          <w:tcPr>
            <w:tcW w:w="1417" w:type="dxa"/>
            <w:vAlign w:val="center"/>
          </w:tcPr>
          <w:p>
            <w:pPr>
              <w:pStyle w:val="49"/>
              <w:ind w:firstLine="0" w:firstLineChars="0"/>
              <w:rPr>
                <w:rFonts w:hint="default" w:ascii="Times New Roman" w:hAnsi="Times New Roman" w:eastAsia="宋体" w:cs="Times New Roman"/>
                <w:snapToGrid w:val="0"/>
                <w:color w:val="auto"/>
                <w:kern w:val="21"/>
                <w:sz w:val="21"/>
                <w:szCs w:val="21"/>
                <w:lang w:eastAsia="zh-CN"/>
              </w:rPr>
            </w:pPr>
            <w:r>
              <w:rPr>
                <w:rFonts w:hint="eastAsia" w:ascii="Times New Roman" w:hAnsi="Times New Roman" w:cs="Times New Roman"/>
                <w:color w:val="auto"/>
                <w:sz w:val="21"/>
                <w:szCs w:val="21"/>
              </w:rPr>
              <w:t>NOx</w:t>
            </w:r>
          </w:p>
        </w:tc>
        <w:tc>
          <w:tcPr>
            <w:tcW w:w="1701"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72.7872</w:t>
            </w:r>
          </w:p>
        </w:tc>
        <w:tc>
          <w:tcPr>
            <w:tcW w:w="1505" w:type="dxa"/>
            <w:vAlign w:val="center"/>
          </w:tcPr>
          <w:p>
            <w:pPr>
              <w:adjustRightInd w:val="0"/>
              <w:snapToGrid w:val="0"/>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color w:val="auto"/>
                <w:sz w:val="21"/>
                <w:szCs w:val="21"/>
                <w:lang w:val="en-US" w:eastAsia="zh-CN"/>
              </w:rPr>
              <w:t>74.1</w:t>
            </w:r>
          </w:p>
        </w:tc>
        <w:tc>
          <w:tcPr>
            <w:tcW w:w="1559" w:type="dxa"/>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0</w:t>
            </w:r>
          </w:p>
        </w:tc>
        <w:tc>
          <w:tcPr>
            <w:tcW w:w="1559" w:type="dxa"/>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color w:val="auto"/>
                <w:spacing w:val="-10"/>
                <w:kern w:val="21"/>
                <w:sz w:val="21"/>
                <w:szCs w:val="21"/>
                <w:lang w:val="en-US" w:eastAsia="zh-CN" w:bidi="ar-SA"/>
              </w:rPr>
            </w:pPr>
            <w:r>
              <w:rPr>
                <w:rFonts w:hint="eastAsia" w:ascii="Times New Roman" w:hAnsi="Times New Roman" w:eastAsia="宋体" w:cs="Times New Roman"/>
                <w:snapToGrid w:val="0"/>
                <w:color w:val="auto"/>
                <w:spacing w:val="-10"/>
                <w:kern w:val="21"/>
                <w:sz w:val="21"/>
                <w:szCs w:val="21"/>
                <w:lang w:val="en-US" w:eastAsia="zh-CN" w:bidi="ar-SA"/>
              </w:rPr>
              <w:t>38.4286</w:t>
            </w:r>
          </w:p>
        </w:tc>
        <w:tc>
          <w:tcPr>
            <w:tcW w:w="1985" w:type="dxa"/>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color w:val="auto"/>
                <w:spacing w:val="-10"/>
                <w:kern w:val="21"/>
                <w:sz w:val="21"/>
                <w:szCs w:val="21"/>
                <w:lang w:val="en-US" w:eastAsia="zh-CN" w:bidi="ar-SA"/>
              </w:rPr>
            </w:pPr>
            <w:r>
              <w:rPr>
                <w:rFonts w:hint="default" w:ascii="Times New Roman" w:hAnsi="Times New Roman" w:eastAsia="宋体" w:cs="Times New Roman"/>
                <w:snapToGrid w:val="0"/>
                <w:color w:val="auto"/>
                <w:spacing w:val="-10"/>
                <w:kern w:val="21"/>
                <w:sz w:val="21"/>
                <w:szCs w:val="21"/>
                <w:lang w:val="en-US" w:eastAsia="zh-CN" w:bidi="ar-SA"/>
              </w:rPr>
              <w:t>74.1</w:t>
            </w:r>
          </w:p>
        </w:tc>
        <w:tc>
          <w:tcPr>
            <w:tcW w:w="1842" w:type="dxa"/>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color w:val="auto"/>
                <w:spacing w:val="-10"/>
                <w:kern w:val="21"/>
                <w:sz w:val="21"/>
                <w:szCs w:val="21"/>
                <w:lang w:val="en-US" w:eastAsia="zh-CN" w:bidi="ar-SA"/>
              </w:rPr>
            </w:pPr>
            <w:r>
              <w:rPr>
                <w:rFonts w:hint="eastAsia" w:ascii="Times New Roman" w:hAnsi="Times New Roman" w:eastAsia="宋体" w:cs="Times New Roman"/>
                <w:snapToGrid w:val="0"/>
                <w:color w:val="auto"/>
                <w:spacing w:val="-10"/>
                <w:kern w:val="21"/>
                <w:sz w:val="21"/>
                <w:szCs w:val="21"/>
                <w:lang w:val="en-US" w:eastAsia="zh-CN" w:bidi="ar-SA"/>
              </w:rPr>
              <w:t>38.4286</w:t>
            </w:r>
          </w:p>
        </w:tc>
        <w:tc>
          <w:tcPr>
            <w:tcW w:w="1189" w:type="dxa"/>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color w:val="auto"/>
                <w:spacing w:val="-10"/>
                <w:kern w:val="21"/>
                <w:sz w:val="21"/>
                <w:szCs w:val="21"/>
                <w:lang w:val="en-US" w:eastAsia="zh-CN" w:bidi="ar-SA"/>
              </w:rPr>
            </w:pPr>
            <w:r>
              <w:rPr>
                <w:rFonts w:hint="eastAsia" w:ascii="Times New Roman" w:hAnsi="Times New Roman" w:eastAsia="宋体" w:cs="Times New Roman"/>
                <w:snapToGrid w:val="0"/>
                <w:color w:val="auto"/>
                <w:spacing w:val="-10"/>
                <w:kern w:val="21"/>
                <w:sz w:val="21"/>
                <w:szCs w:val="21"/>
                <w:lang w:val="en-US" w:eastAsia="zh-CN" w:bidi="ar-SA"/>
              </w:rPr>
              <w:t>-35.6714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588" w:type="dxa"/>
            <w:vMerge w:val="continue"/>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kern w:val="21"/>
                <w:sz w:val="21"/>
                <w:szCs w:val="21"/>
              </w:rPr>
            </w:pPr>
          </w:p>
        </w:tc>
        <w:tc>
          <w:tcPr>
            <w:tcW w:w="1417" w:type="dxa"/>
            <w:vAlign w:val="center"/>
          </w:tcPr>
          <w:p>
            <w:pPr>
              <w:pStyle w:val="49"/>
              <w:ind w:firstLine="0" w:firstLineChars="0"/>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非甲烷总烃</w:t>
            </w:r>
          </w:p>
        </w:tc>
        <w:tc>
          <w:tcPr>
            <w:tcW w:w="1701"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1505"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1559" w:type="dxa"/>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snapToGrid w:val="0"/>
                <w:color w:val="auto"/>
                <w:kern w:val="21"/>
                <w:sz w:val="21"/>
                <w:szCs w:val="21"/>
                <w:lang w:val="en-US" w:eastAsia="zh-CN"/>
              </w:rPr>
            </w:pPr>
            <w:r>
              <w:rPr>
                <w:rFonts w:hint="eastAsia" w:cs="Times New Roman"/>
                <w:snapToGrid w:val="0"/>
                <w:color w:val="auto"/>
                <w:kern w:val="21"/>
                <w:sz w:val="21"/>
                <w:szCs w:val="21"/>
                <w:lang w:val="en-US" w:eastAsia="zh-CN"/>
              </w:rPr>
              <w:t>0</w:t>
            </w:r>
          </w:p>
        </w:tc>
        <w:tc>
          <w:tcPr>
            <w:tcW w:w="1559" w:type="dxa"/>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color w:val="auto"/>
                <w:spacing w:val="-10"/>
                <w:kern w:val="21"/>
                <w:sz w:val="21"/>
                <w:szCs w:val="21"/>
                <w:lang w:val="en-US" w:eastAsia="zh-CN" w:bidi="ar-SA"/>
              </w:rPr>
            </w:pPr>
            <w:r>
              <w:rPr>
                <w:rFonts w:hint="eastAsia" w:ascii="Times New Roman" w:hAnsi="Times New Roman" w:eastAsia="宋体" w:cs="Times New Roman"/>
                <w:snapToGrid w:val="0"/>
                <w:color w:val="auto"/>
                <w:spacing w:val="-10"/>
                <w:kern w:val="21"/>
                <w:sz w:val="21"/>
                <w:szCs w:val="21"/>
                <w:lang w:val="en-US" w:eastAsia="zh-CN" w:bidi="ar-SA"/>
              </w:rPr>
              <w:t>0.0011</w:t>
            </w:r>
          </w:p>
        </w:tc>
        <w:tc>
          <w:tcPr>
            <w:tcW w:w="1985" w:type="dxa"/>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color w:val="auto"/>
                <w:spacing w:val="-10"/>
                <w:kern w:val="21"/>
                <w:sz w:val="21"/>
                <w:szCs w:val="21"/>
                <w:lang w:val="en-US" w:eastAsia="zh-CN" w:bidi="ar-SA"/>
              </w:rPr>
            </w:pPr>
            <w:r>
              <w:rPr>
                <w:rFonts w:hint="eastAsia" w:ascii="Times New Roman" w:hAnsi="Times New Roman" w:eastAsia="宋体" w:cs="Times New Roman"/>
                <w:snapToGrid w:val="0"/>
                <w:color w:val="auto"/>
                <w:spacing w:val="-10"/>
                <w:kern w:val="21"/>
                <w:sz w:val="21"/>
                <w:szCs w:val="21"/>
                <w:lang w:val="en-US" w:eastAsia="zh-CN" w:bidi="ar-SA"/>
              </w:rPr>
              <w:t>0</w:t>
            </w:r>
          </w:p>
        </w:tc>
        <w:tc>
          <w:tcPr>
            <w:tcW w:w="1842" w:type="dxa"/>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eastAsia="宋体" w:cs="Times New Roman"/>
                <w:snapToGrid w:val="0"/>
                <w:color w:val="auto"/>
                <w:spacing w:val="-10"/>
                <w:kern w:val="21"/>
                <w:sz w:val="21"/>
                <w:szCs w:val="21"/>
                <w:lang w:val="en-US" w:eastAsia="zh-CN" w:bidi="ar-SA"/>
              </w:rPr>
            </w:pPr>
            <w:r>
              <w:rPr>
                <w:rFonts w:hint="eastAsia" w:ascii="Times New Roman" w:hAnsi="Times New Roman" w:eastAsia="宋体" w:cs="Times New Roman"/>
                <w:snapToGrid w:val="0"/>
                <w:color w:val="auto"/>
                <w:spacing w:val="-10"/>
                <w:kern w:val="21"/>
                <w:sz w:val="21"/>
                <w:szCs w:val="21"/>
                <w:lang w:val="en-US" w:eastAsia="zh-CN" w:bidi="ar-SA"/>
              </w:rPr>
              <w:t>0.0011</w:t>
            </w:r>
          </w:p>
        </w:tc>
        <w:tc>
          <w:tcPr>
            <w:tcW w:w="1189" w:type="dxa"/>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color w:val="auto"/>
                <w:spacing w:val="-10"/>
                <w:kern w:val="21"/>
                <w:sz w:val="21"/>
                <w:szCs w:val="21"/>
                <w:lang w:val="en-US" w:eastAsia="zh-CN" w:bidi="ar-SA"/>
              </w:rPr>
            </w:pPr>
            <w:r>
              <w:rPr>
                <w:rFonts w:hint="eastAsia" w:ascii="Times New Roman" w:hAnsi="Times New Roman" w:eastAsia="宋体" w:cs="Times New Roman"/>
                <w:snapToGrid w:val="0"/>
                <w:color w:val="auto"/>
                <w:spacing w:val="-10"/>
                <w:kern w:val="21"/>
                <w:sz w:val="21"/>
                <w:szCs w:val="21"/>
                <w:lang w:val="en-US" w:eastAsia="zh-CN" w:bidi="ar-SA"/>
              </w:rPr>
              <w:t>+0.0011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588" w:type="dxa"/>
            <w:vMerge w:val="continue"/>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kern w:val="21"/>
                <w:sz w:val="21"/>
                <w:szCs w:val="21"/>
              </w:rPr>
            </w:pPr>
          </w:p>
        </w:tc>
        <w:tc>
          <w:tcPr>
            <w:tcW w:w="1417" w:type="dxa"/>
            <w:vAlign w:val="center"/>
          </w:tcPr>
          <w:p>
            <w:pPr>
              <w:pStyle w:val="49"/>
              <w:ind w:firstLine="0" w:firstLineChars="0"/>
              <w:rPr>
                <w:rFonts w:hint="eastAsia" w:cs="Times New Roman"/>
                <w:color w:val="auto"/>
                <w:sz w:val="21"/>
                <w:szCs w:val="21"/>
                <w:lang w:eastAsia="zh-CN"/>
              </w:rPr>
            </w:pPr>
            <w:r>
              <w:rPr>
                <w:rFonts w:hint="eastAsia" w:ascii="Times New Roman" w:hAnsi="Times New Roman" w:eastAsia="宋体" w:cs="Times New Roman"/>
                <w:color w:val="auto"/>
                <w:sz w:val="21"/>
                <w:szCs w:val="21"/>
                <w:lang w:val="en-US" w:eastAsia="zh-CN"/>
              </w:rPr>
              <w:t>油烟</w:t>
            </w:r>
          </w:p>
        </w:tc>
        <w:tc>
          <w:tcPr>
            <w:tcW w:w="1701" w:type="dxa"/>
            <w:vAlign w:val="center"/>
          </w:tcPr>
          <w:p>
            <w:pPr>
              <w:adjustRightInd w:val="0"/>
              <w:snapToGrid w:val="0"/>
              <w:jc w:val="center"/>
              <w:rPr>
                <w:rFonts w:hint="default" w:cs="Times New Roman"/>
                <w:color w:val="auto"/>
                <w:sz w:val="21"/>
                <w:szCs w:val="21"/>
                <w:lang w:val="en-US" w:eastAsia="zh-CN"/>
              </w:rPr>
            </w:pPr>
            <w:r>
              <w:rPr>
                <w:rFonts w:hint="eastAsia" w:cs="Times New Roman"/>
                <w:color w:val="auto"/>
                <w:sz w:val="21"/>
                <w:szCs w:val="21"/>
                <w:lang w:val="en-US" w:eastAsia="zh-CN"/>
              </w:rPr>
              <w:t>0</w:t>
            </w:r>
          </w:p>
        </w:tc>
        <w:tc>
          <w:tcPr>
            <w:tcW w:w="1505" w:type="dxa"/>
            <w:vAlign w:val="center"/>
          </w:tcPr>
          <w:p>
            <w:pPr>
              <w:adjustRightInd w:val="0"/>
              <w:snapToGrid w:val="0"/>
              <w:jc w:val="center"/>
              <w:rPr>
                <w:rFonts w:hint="default" w:cs="Times New Roman"/>
                <w:color w:val="auto"/>
                <w:sz w:val="21"/>
                <w:szCs w:val="21"/>
                <w:lang w:val="en-US" w:eastAsia="zh-CN"/>
              </w:rPr>
            </w:pPr>
            <w:r>
              <w:rPr>
                <w:rFonts w:hint="eastAsia" w:cs="Times New Roman"/>
                <w:color w:val="auto"/>
                <w:sz w:val="21"/>
                <w:szCs w:val="21"/>
                <w:lang w:val="en-US" w:eastAsia="zh-CN"/>
              </w:rPr>
              <w:t>0</w:t>
            </w:r>
          </w:p>
        </w:tc>
        <w:tc>
          <w:tcPr>
            <w:tcW w:w="1559" w:type="dxa"/>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cs="Times New Roman"/>
                <w:snapToGrid w:val="0"/>
                <w:color w:val="auto"/>
                <w:kern w:val="21"/>
                <w:sz w:val="21"/>
                <w:szCs w:val="21"/>
                <w:lang w:val="en-US" w:eastAsia="zh-CN"/>
              </w:rPr>
            </w:pPr>
            <w:r>
              <w:rPr>
                <w:rFonts w:hint="eastAsia" w:cs="Times New Roman"/>
                <w:snapToGrid w:val="0"/>
                <w:color w:val="auto"/>
                <w:kern w:val="21"/>
                <w:sz w:val="21"/>
                <w:szCs w:val="21"/>
                <w:lang w:val="en-US" w:eastAsia="zh-CN"/>
              </w:rPr>
              <w:t>0</w:t>
            </w:r>
          </w:p>
        </w:tc>
        <w:tc>
          <w:tcPr>
            <w:tcW w:w="1559" w:type="dxa"/>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color w:val="auto"/>
                <w:spacing w:val="-10"/>
                <w:kern w:val="21"/>
                <w:sz w:val="21"/>
                <w:szCs w:val="21"/>
                <w:lang w:val="en-US" w:eastAsia="zh-CN" w:bidi="ar-SA"/>
              </w:rPr>
            </w:pPr>
            <w:r>
              <w:rPr>
                <w:rFonts w:hint="eastAsia" w:ascii="Times New Roman" w:hAnsi="Times New Roman" w:eastAsia="宋体" w:cs="Times New Roman"/>
                <w:snapToGrid w:val="0"/>
                <w:color w:val="auto"/>
                <w:spacing w:val="-10"/>
                <w:kern w:val="21"/>
                <w:sz w:val="21"/>
                <w:szCs w:val="21"/>
                <w:lang w:val="en-US" w:eastAsia="zh-CN" w:bidi="ar-SA"/>
              </w:rPr>
              <w:t>0.0045</w:t>
            </w:r>
          </w:p>
        </w:tc>
        <w:tc>
          <w:tcPr>
            <w:tcW w:w="1985" w:type="dxa"/>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color w:val="auto"/>
                <w:spacing w:val="-10"/>
                <w:kern w:val="21"/>
                <w:sz w:val="21"/>
                <w:szCs w:val="21"/>
                <w:lang w:val="en-US" w:eastAsia="zh-CN" w:bidi="ar-SA"/>
              </w:rPr>
            </w:pPr>
            <w:r>
              <w:rPr>
                <w:rFonts w:hint="eastAsia" w:ascii="Times New Roman" w:hAnsi="Times New Roman" w:eastAsia="宋体" w:cs="Times New Roman"/>
                <w:snapToGrid w:val="0"/>
                <w:color w:val="auto"/>
                <w:spacing w:val="-10"/>
                <w:kern w:val="21"/>
                <w:sz w:val="21"/>
                <w:szCs w:val="21"/>
                <w:lang w:val="en-US" w:eastAsia="zh-CN" w:bidi="ar-SA"/>
              </w:rPr>
              <w:t>0</w:t>
            </w:r>
          </w:p>
        </w:tc>
        <w:tc>
          <w:tcPr>
            <w:tcW w:w="1842" w:type="dxa"/>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eastAsia="宋体" w:cs="Times New Roman"/>
                <w:snapToGrid w:val="0"/>
                <w:color w:val="auto"/>
                <w:spacing w:val="-10"/>
                <w:kern w:val="21"/>
                <w:sz w:val="21"/>
                <w:szCs w:val="21"/>
                <w:lang w:val="en-US" w:eastAsia="zh-CN" w:bidi="ar-SA"/>
              </w:rPr>
            </w:pPr>
            <w:r>
              <w:rPr>
                <w:rFonts w:hint="eastAsia" w:ascii="Times New Roman" w:hAnsi="Times New Roman" w:eastAsia="宋体" w:cs="Times New Roman"/>
                <w:snapToGrid w:val="0"/>
                <w:color w:val="auto"/>
                <w:spacing w:val="-10"/>
                <w:kern w:val="21"/>
                <w:sz w:val="21"/>
                <w:szCs w:val="21"/>
                <w:lang w:val="en-US" w:eastAsia="zh-CN" w:bidi="ar-SA"/>
              </w:rPr>
              <w:t>0.0045</w:t>
            </w:r>
          </w:p>
        </w:tc>
        <w:tc>
          <w:tcPr>
            <w:tcW w:w="1189" w:type="dxa"/>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color w:val="auto"/>
                <w:spacing w:val="-10"/>
                <w:kern w:val="21"/>
                <w:sz w:val="21"/>
                <w:szCs w:val="21"/>
                <w:lang w:val="en-US" w:eastAsia="zh-CN" w:bidi="ar-SA"/>
              </w:rPr>
            </w:pPr>
            <w:r>
              <w:rPr>
                <w:rFonts w:hint="eastAsia" w:ascii="Times New Roman" w:hAnsi="Times New Roman" w:eastAsia="宋体" w:cs="Times New Roman"/>
                <w:snapToGrid w:val="0"/>
                <w:color w:val="auto"/>
                <w:spacing w:val="-10"/>
                <w:kern w:val="21"/>
                <w:sz w:val="21"/>
                <w:szCs w:val="21"/>
                <w:lang w:val="en-US" w:eastAsia="zh-CN" w:bidi="ar-SA"/>
              </w:rPr>
              <w:t>+0.0045</w:t>
            </w:r>
          </w:p>
        </w:tc>
      </w:tr>
      <w:bookmarkEnd w:id="9"/>
      <w:bookmarkEnd w:id="10"/>
      <w:bookmarkEnd w:id="11"/>
      <w:bookmarkEnd w:id="12"/>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588" w:type="dxa"/>
            <w:vMerge w:val="restart"/>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kern w:val="21"/>
                <w:sz w:val="21"/>
                <w:szCs w:val="21"/>
              </w:rPr>
            </w:pPr>
            <w:r>
              <w:rPr>
                <w:rFonts w:hint="default" w:ascii="Times New Roman" w:hAnsi="Times New Roman" w:eastAsia="宋体" w:cs="Times New Roman"/>
                <w:snapToGrid w:val="0"/>
                <w:kern w:val="21"/>
                <w:sz w:val="21"/>
                <w:szCs w:val="21"/>
              </w:rPr>
              <w:t>废水</w:t>
            </w:r>
          </w:p>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kern w:val="21"/>
                <w:sz w:val="21"/>
                <w:szCs w:val="21"/>
              </w:rPr>
            </w:pPr>
            <w:r>
              <w:rPr>
                <w:rFonts w:hint="default" w:ascii="Times New Roman" w:hAnsi="Times New Roman" w:eastAsia="宋体" w:cs="Times New Roman"/>
                <w:snapToGrid w:val="0"/>
                <w:kern w:val="21"/>
                <w:sz w:val="21"/>
                <w:szCs w:val="21"/>
              </w:rPr>
              <w:t>（t/a）</w:t>
            </w:r>
          </w:p>
        </w:tc>
        <w:tc>
          <w:tcPr>
            <w:tcW w:w="1417"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化学需氧量</w:t>
            </w:r>
          </w:p>
        </w:tc>
        <w:tc>
          <w:tcPr>
            <w:tcW w:w="1701" w:type="dxa"/>
            <w:shd w:val="clear" w:color="auto" w:fill="auto"/>
            <w:vAlign w:val="center"/>
          </w:tcPr>
          <w:p>
            <w:pPr>
              <w:adjustRightInd w:val="0"/>
              <w:snapToGrid w:val="0"/>
              <w:jc w:val="center"/>
              <w:rPr>
                <w:rFonts w:hint="default" w:ascii="Times New Roman" w:hAnsi="宋体"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0.07</w:t>
            </w:r>
            <w:r>
              <w:rPr>
                <w:rFonts w:hint="eastAsia" w:cs="Times New Roman"/>
                <w:color w:val="auto"/>
                <w:kern w:val="2"/>
                <w:sz w:val="21"/>
                <w:szCs w:val="21"/>
                <w:lang w:val="en-US" w:eastAsia="zh-CN" w:bidi="ar-SA"/>
              </w:rPr>
              <w:t>2</w:t>
            </w:r>
          </w:p>
        </w:tc>
        <w:tc>
          <w:tcPr>
            <w:tcW w:w="1505" w:type="dxa"/>
            <w:shd w:val="clear" w:color="auto" w:fill="auto"/>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0.368</w:t>
            </w:r>
          </w:p>
        </w:tc>
        <w:tc>
          <w:tcPr>
            <w:tcW w:w="1559" w:type="dxa"/>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21"/>
                <w:sz w:val="21"/>
                <w:szCs w:val="21"/>
              </w:rPr>
              <w:t>0</w:t>
            </w:r>
          </w:p>
        </w:tc>
        <w:tc>
          <w:tcPr>
            <w:tcW w:w="1559" w:type="dxa"/>
            <w:shd w:val="clear" w:color="auto" w:fill="auto"/>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0.9024</w:t>
            </w:r>
          </w:p>
        </w:tc>
        <w:tc>
          <w:tcPr>
            <w:tcW w:w="1985" w:type="dxa"/>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0</w:t>
            </w:r>
          </w:p>
        </w:tc>
        <w:tc>
          <w:tcPr>
            <w:tcW w:w="1842" w:type="dxa"/>
            <w:shd w:val="clear" w:color="auto" w:fill="auto"/>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1.2704</w:t>
            </w:r>
          </w:p>
        </w:tc>
        <w:tc>
          <w:tcPr>
            <w:tcW w:w="1189" w:type="dxa"/>
            <w:shd w:val="clear" w:color="auto" w:fill="auto"/>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0.9024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588" w:type="dxa"/>
            <w:vMerge w:val="continue"/>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kern w:val="21"/>
                <w:sz w:val="21"/>
                <w:szCs w:val="21"/>
              </w:rPr>
            </w:pPr>
          </w:p>
        </w:tc>
        <w:tc>
          <w:tcPr>
            <w:tcW w:w="1417"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悬浮物</w:t>
            </w:r>
          </w:p>
        </w:tc>
        <w:tc>
          <w:tcPr>
            <w:tcW w:w="1701" w:type="dxa"/>
            <w:shd w:val="clear" w:color="auto" w:fill="auto"/>
            <w:vAlign w:val="center"/>
          </w:tcPr>
          <w:p>
            <w:pPr>
              <w:adjustRightInd w:val="0"/>
              <w:snapToGrid w:val="0"/>
              <w:jc w:val="center"/>
              <w:rPr>
                <w:rFonts w:hint="default" w:ascii="Times New Roman" w:hAnsi="宋体"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w:t>
            </w:r>
          </w:p>
        </w:tc>
        <w:tc>
          <w:tcPr>
            <w:tcW w:w="1505" w:type="dxa"/>
            <w:shd w:val="clear" w:color="auto" w:fill="auto"/>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w:t>
            </w:r>
          </w:p>
        </w:tc>
        <w:tc>
          <w:tcPr>
            <w:tcW w:w="1559" w:type="dxa"/>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21"/>
                <w:sz w:val="21"/>
                <w:szCs w:val="21"/>
              </w:rPr>
              <w:t>0</w:t>
            </w:r>
          </w:p>
        </w:tc>
        <w:tc>
          <w:tcPr>
            <w:tcW w:w="1559" w:type="dxa"/>
            <w:shd w:val="clear" w:color="auto" w:fill="auto"/>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0.5976</w:t>
            </w:r>
          </w:p>
        </w:tc>
        <w:tc>
          <w:tcPr>
            <w:tcW w:w="1985" w:type="dxa"/>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0</w:t>
            </w:r>
          </w:p>
        </w:tc>
        <w:tc>
          <w:tcPr>
            <w:tcW w:w="1842" w:type="dxa"/>
            <w:shd w:val="clear" w:color="auto" w:fill="auto"/>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0.5976 </w:t>
            </w:r>
          </w:p>
        </w:tc>
        <w:tc>
          <w:tcPr>
            <w:tcW w:w="1189" w:type="dxa"/>
            <w:shd w:val="clear" w:color="auto" w:fill="auto"/>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0.5976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588" w:type="dxa"/>
            <w:vMerge w:val="continue"/>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kern w:val="21"/>
                <w:sz w:val="21"/>
                <w:szCs w:val="21"/>
              </w:rPr>
            </w:pPr>
          </w:p>
        </w:tc>
        <w:tc>
          <w:tcPr>
            <w:tcW w:w="1417"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w:t>
            </w:r>
          </w:p>
        </w:tc>
        <w:tc>
          <w:tcPr>
            <w:tcW w:w="1701" w:type="dxa"/>
            <w:shd w:val="clear" w:color="auto" w:fill="auto"/>
            <w:vAlign w:val="center"/>
          </w:tcPr>
          <w:p>
            <w:pPr>
              <w:snapToGrid w:val="0"/>
              <w:jc w:val="center"/>
              <w:rPr>
                <w:rFonts w:hint="default" w:ascii="Times New Roman" w:hAnsi="宋体"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0.0049</w:t>
            </w:r>
          </w:p>
        </w:tc>
        <w:tc>
          <w:tcPr>
            <w:tcW w:w="1505" w:type="dxa"/>
            <w:shd w:val="clear" w:color="auto" w:fill="auto"/>
            <w:vAlign w:val="center"/>
          </w:tcPr>
          <w:p>
            <w:pPr>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0.055</w:t>
            </w:r>
          </w:p>
        </w:tc>
        <w:tc>
          <w:tcPr>
            <w:tcW w:w="1559" w:type="dxa"/>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21"/>
                <w:sz w:val="21"/>
                <w:szCs w:val="21"/>
              </w:rPr>
              <w:t>0</w:t>
            </w:r>
          </w:p>
        </w:tc>
        <w:tc>
          <w:tcPr>
            <w:tcW w:w="1559" w:type="dxa"/>
            <w:shd w:val="clear" w:color="auto" w:fill="auto"/>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0.0893</w:t>
            </w:r>
          </w:p>
        </w:tc>
        <w:tc>
          <w:tcPr>
            <w:tcW w:w="1985" w:type="dxa"/>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0</w:t>
            </w:r>
          </w:p>
        </w:tc>
        <w:tc>
          <w:tcPr>
            <w:tcW w:w="1842" w:type="dxa"/>
            <w:shd w:val="clear" w:color="auto" w:fill="auto"/>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r>
              <w:rPr>
                <w:rFonts w:hint="eastAsia" w:ascii="Times New Roman" w:hAnsi="Times New Roman" w:eastAsia="宋体" w:cs="Times New Roman"/>
                <w:color w:val="auto"/>
                <w:sz w:val="21"/>
                <w:szCs w:val="21"/>
                <w:lang w:val="en-US" w:eastAsia="zh-CN"/>
              </w:rPr>
              <w:t>1443</w:t>
            </w:r>
            <w:r>
              <w:rPr>
                <w:rFonts w:hint="default" w:ascii="Times New Roman" w:hAnsi="Times New Roman" w:eastAsia="宋体" w:cs="Times New Roman"/>
                <w:color w:val="auto"/>
                <w:sz w:val="21"/>
                <w:szCs w:val="21"/>
                <w:lang w:val="en-US" w:eastAsia="zh-CN"/>
              </w:rPr>
              <w:t xml:space="preserve"> </w:t>
            </w:r>
          </w:p>
        </w:tc>
        <w:tc>
          <w:tcPr>
            <w:tcW w:w="1189" w:type="dxa"/>
            <w:shd w:val="clear" w:color="auto" w:fill="auto"/>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0.0893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88" w:type="dxa"/>
            <w:vMerge w:val="continue"/>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kern w:val="21"/>
                <w:sz w:val="21"/>
                <w:szCs w:val="21"/>
              </w:rPr>
            </w:pPr>
          </w:p>
        </w:tc>
        <w:tc>
          <w:tcPr>
            <w:tcW w:w="1417"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总磷</w:t>
            </w:r>
          </w:p>
        </w:tc>
        <w:tc>
          <w:tcPr>
            <w:tcW w:w="1701" w:type="dxa"/>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0</w:t>
            </w:r>
          </w:p>
        </w:tc>
        <w:tc>
          <w:tcPr>
            <w:tcW w:w="1505" w:type="dxa"/>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0</w:t>
            </w:r>
          </w:p>
        </w:tc>
        <w:tc>
          <w:tcPr>
            <w:tcW w:w="1559" w:type="dxa"/>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21"/>
                <w:sz w:val="21"/>
                <w:szCs w:val="21"/>
              </w:rPr>
              <w:t>0</w:t>
            </w:r>
          </w:p>
        </w:tc>
        <w:tc>
          <w:tcPr>
            <w:tcW w:w="1559" w:type="dxa"/>
            <w:shd w:val="clear" w:color="auto" w:fill="auto"/>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0.0119</w:t>
            </w:r>
          </w:p>
        </w:tc>
        <w:tc>
          <w:tcPr>
            <w:tcW w:w="1985" w:type="dxa"/>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0</w:t>
            </w:r>
          </w:p>
        </w:tc>
        <w:tc>
          <w:tcPr>
            <w:tcW w:w="1842" w:type="dxa"/>
            <w:shd w:val="clear" w:color="auto" w:fill="auto"/>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w:t>
            </w:r>
            <w:r>
              <w:rPr>
                <w:rFonts w:hint="eastAsia" w:ascii="Times New Roman" w:hAnsi="Times New Roman" w:eastAsia="宋体" w:cs="Times New Roman"/>
                <w:color w:val="auto"/>
                <w:sz w:val="21"/>
                <w:szCs w:val="21"/>
                <w:lang w:val="en-US" w:eastAsia="zh-CN"/>
              </w:rPr>
              <w:t>119</w:t>
            </w:r>
            <w:r>
              <w:rPr>
                <w:rFonts w:hint="default" w:ascii="Times New Roman" w:hAnsi="Times New Roman" w:eastAsia="宋体" w:cs="Times New Roman"/>
                <w:color w:val="auto"/>
                <w:sz w:val="21"/>
                <w:szCs w:val="21"/>
                <w:lang w:val="en-US" w:eastAsia="zh-CN"/>
              </w:rPr>
              <w:t xml:space="preserve"> </w:t>
            </w:r>
          </w:p>
        </w:tc>
        <w:tc>
          <w:tcPr>
            <w:tcW w:w="1189" w:type="dxa"/>
            <w:shd w:val="clear" w:color="auto" w:fill="auto"/>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0.0119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88" w:type="dxa"/>
            <w:vMerge w:val="continue"/>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kern w:val="21"/>
                <w:sz w:val="21"/>
                <w:szCs w:val="21"/>
              </w:rPr>
            </w:pPr>
          </w:p>
        </w:tc>
        <w:tc>
          <w:tcPr>
            <w:tcW w:w="1417"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总氮</w:t>
            </w:r>
          </w:p>
        </w:tc>
        <w:tc>
          <w:tcPr>
            <w:tcW w:w="1701" w:type="dxa"/>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0</w:t>
            </w:r>
          </w:p>
        </w:tc>
        <w:tc>
          <w:tcPr>
            <w:tcW w:w="1505" w:type="dxa"/>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0</w:t>
            </w:r>
          </w:p>
        </w:tc>
        <w:tc>
          <w:tcPr>
            <w:tcW w:w="1559" w:type="dxa"/>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21"/>
                <w:sz w:val="21"/>
                <w:szCs w:val="21"/>
              </w:rPr>
              <w:t>0</w:t>
            </w:r>
          </w:p>
        </w:tc>
        <w:tc>
          <w:tcPr>
            <w:tcW w:w="1559" w:type="dxa"/>
            <w:shd w:val="clear" w:color="auto" w:fill="auto"/>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0.1339</w:t>
            </w:r>
          </w:p>
        </w:tc>
        <w:tc>
          <w:tcPr>
            <w:tcW w:w="1985" w:type="dxa"/>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0</w:t>
            </w:r>
          </w:p>
        </w:tc>
        <w:tc>
          <w:tcPr>
            <w:tcW w:w="1842" w:type="dxa"/>
            <w:shd w:val="clear" w:color="auto" w:fill="auto"/>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0.1339 </w:t>
            </w:r>
          </w:p>
        </w:tc>
        <w:tc>
          <w:tcPr>
            <w:tcW w:w="1189" w:type="dxa"/>
            <w:shd w:val="clear" w:color="auto" w:fill="auto"/>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0.1339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588" w:type="dxa"/>
            <w:vMerge w:val="continue"/>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kern w:val="21"/>
                <w:sz w:val="21"/>
                <w:szCs w:val="21"/>
              </w:rPr>
            </w:pPr>
            <w:bookmarkStart w:id="16" w:name="OLE_LINK225" w:colFirst="7" w:colLast="7"/>
            <w:bookmarkStart w:id="17" w:name="OLE_LINK224" w:colFirst="5" w:colLast="5"/>
            <w:bookmarkStart w:id="18" w:name="_Hlk109825741"/>
            <w:bookmarkStart w:id="19" w:name="OLE_LINK226" w:colFirst="7" w:colLast="7"/>
            <w:bookmarkStart w:id="20" w:name="OLE_LINK223" w:colFirst="5" w:colLast="5"/>
          </w:p>
        </w:tc>
        <w:tc>
          <w:tcPr>
            <w:tcW w:w="1417"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动植物油</w:t>
            </w:r>
          </w:p>
        </w:tc>
        <w:tc>
          <w:tcPr>
            <w:tcW w:w="1701" w:type="dxa"/>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0</w:t>
            </w:r>
          </w:p>
        </w:tc>
        <w:tc>
          <w:tcPr>
            <w:tcW w:w="1505" w:type="dxa"/>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0</w:t>
            </w:r>
          </w:p>
        </w:tc>
        <w:tc>
          <w:tcPr>
            <w:tcW w:w="1559" w:type="dxa"/>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0</w:t>
            </w:r>
          </w:p>
        </w:tc>
        <w:tc>
          <w:tcPr>
            <w:tcW w:w="1559" w:type="dxa"/>
            <w:shd w:val="clear" w:color="auto" w:fill="auto"/>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0.0077</w:t>
            </w:r>
          </w:p>
        </w:tc>
        <w:tc>
          <w:tcPr>
            <w:tcW w:w="1985" w:type="dxa"/>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0</w:t>
            </w:r>
          </w:p>
        </w:tc>
        <w:tc>
          <w:tcPr>
            <w:tcW w:w="1842" w:type="dxa"/>
            <w:shd w:val="clear" w:color="auto" w:fill="auto"/>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0.0077 </w:t>
            </w:r>
          </w:p>
        </w:tc>
        <w:tc>
          <w:tcPr>
            <w:tcW w:w="1189" w:type="dxa"/>
            <w:shd w:val="clear" w:color="auto" w:fill="auto"/>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0.0077</w:t>
            </w:r>
          </w:p>
        </w:tc>
      </w:tr>
      <w:bookmarkEnd w:id="13"/>
      <w:bookmarkEnd w:id="14"/>
      <w:bookmarkEnd w:id="15"/>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588" w:type="dxa"/>
            <w:vMerge w:val="restart"/>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kern w:val="21"/>
                <w:sz w:val="21"/>
                <w:szCs w:val="21"/>
              </w:rPr>
            </w:pPr>
            <w:r>
              <w:rPr>
                <w:rFonts w:hint="default" w:ascii="Times New Roman" w:hAnsi="Times New Roman" w:eastAsia="宋体" w:cs="Times New Roman"/>
                <w:snapToGrid w:val="0"/>
                <w:kern w:val="21"/>
                <w:sz w:val="21"/>
                <w:szCs w:val="21"/>
              </w:rPr>
              <w:t>一般工业</w:t>
            </w:r>
          </w:p>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kern w:val="21"/>
                <w:sz w:val="21"/>
                <w:szCs w:val="21"/>
              </w:rPr>
            </w:pPr>
            <w:r>
              <w:rPr>
                <w:rFonts w:hint="default" w:ascii="Times New Roman" w:hAnsi="Times New Roman" w:eastAsia="宋体" w:cs="Times New Roman"/>
                <w:snapToGrid w:val="0"/>
                <w:kern w:val="21"/>
                <w:sz w:val="21"/>
                <w:szCs w:val="21"/>
              </w:rPr>
              <w:t>固体废物</w:t>
            </w:r>
          </w:p>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kern w:val="21"/>
                <w:sz w:val="21"/>
                <w:szCs w:val="21"/>
              </w:rPr>
            </w:pPr>
            <w:r>
              <w:rPr>
                <w:rFonts w:hint="default" w:ascii="Times New Roman" w:hAnsi="Times New Roman" w:eastAsia="宋体" w:cs="Times New Roman"/>
                <w:snapToGrid w:val="0"/>
                <w:kern w:val="21"/>
                <w:sz w:val="21"/>
                <w:szCs w:val="21"/>
              </w:rPr>
              <w:t>（t/a）</w:t>
            </w:r>
          </w:p>
        </w:tc>
        <w:tc>
          <w:tcPr>
            <w:tcW w:w="1417" w:type="dxa"/>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eastAsia="宋体" w:cs="Times New Roman"/>
                <w:snapToGrid w:val="0"/>
                <w:color w:val="auto"/>
                <w:kern w:val="21"/>
                <w:sz w:val="21"/>
                <w:szCs w:val="21"/>
                <w:lang w:eastAsia="zh-CN"/>
              </w:rPr>
            </w:pPr>
            <w:r>
              <w:rPr>
                <w:rFonts w:hint="default" w:ascii="Times New Roman" w:hAnsi="Times New Roman" w:eastAsia="宋体" w:cs="Times New Roman"/>
                <w:snapToGrid w:val="0"/>
                <w:color w:val="auto"/>
                <w:kern w:val="21"/>
                <w:sz w:val="21"/>
                <w:szCs w:val="21"/>
              </w:rPr>
              <w:t>废</w:t>
            </w:r>
            <w:r>
              <w:rPr>
                <w:rFonts w:hint="eastAsia" w:ascii="Times New Roman" w:hAnsi="Times New Roman" w:eastAsia="宋体" w:cs="Times New Roman"/>
                <w:snapToGrid w:val="0"/>
                <w:color w:val="auto"/>
                <w:kern w:val="21"/>
                <w:sz w:val="21"/>
                <w:szCs w:val="21"/>
                <w:lang w:eastAsia="zh-CN"/>
              </w:rPr>
              <w:t>氧化皮</w:t>
            </w:r>
          </w:p>
        </w:tc>
        <w:tc>
          <w:tcPr>
            <w:tcW w:w="1701" w:type="dxa"/>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color w:val="auto"/>
                <w:spacing w:val="-10"/>
                <w:kern w:val="21"/>
                <w:sz w:val="21"/>
                <w:szCs w:val="21"/>
                <w:lang w:val="en-US" w:eastAsia="zh-CN" w:bidi="ar-SA"/>
              </w:rPr>
            </w:pPr>
            <w:r>
              <w:rPr>
                <w:rFonts w:hint="eastAsia" w:ascii="Times New Roman" w:hAnsi="Times New Roman" w:eastAsia="宋体" w:cs="Times New Roman"/>
                <w:snapToGrid w:val="0"/>
                <w:color w:val="auto"/>
                <w:spacing w:val="-10"/>
                <w:kern w:val="21"/>
                <w:sz w:val="21"/>
                <w:szCs w:val="21"/>
                <w:lang w:val="en-US" w:eastAsia="zh-CN" w:bidi="ar-SA"/>
              </w:rPr>
              <w:t>72.2</w:t>
            </w:r>
          </w:p>
        </w:tc>
        <w:tc>
          <w:tcPr>
            <w:tcW w:w="1505" w:type="dxa"/>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color w:val="auto"/>
                <w:spacing w:val="-10"/>
                <w:kern w:val="21"/>
                <w:sz w:val="21"/>
                <w:szCs w:val="21"/>
                <w:lang w:val="en-US" w:eastAsia="zh-CN" w:bidi="ar-SA"/>
              </w:rPr>
            </w:pPr>
            <w:r>
              <w:rPr>
                <w:rFonts w:hint="default" w:ascii="Times New Roman" w:hAnsi="Times New Roman" w:eastAsia="宋体" w:cs="Times New Roman"/>
                <w:snapToGrid w:val="0"/>
                <w:color w:val="auto"/>
                <w:spacing w:val="-10"/>
                <w:kern w:val="21"/>
                <w:sz w:val="21"/>
                <w:szCs w:val="21"/>
                <w:lang w:val="en-US" w:eastAsia="zh-CN" w:bidi="ar-SA"/>
              </w:rPr>
              <w:t>0</w:t>
            </w:r>
          </w:p>
        </w:tc>
        <w:tc>
          <w:tcPr>
            <w:tcW w:w="1559" w:type="dxa"/>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color w:val="auto"/>
                <w:spacing w:val="-10"/>
                <w:kern w:val="21"/>
                <w:sz w:val="21"/>
                <w:szCs w:val="21"/>
                <w:lang w:val="en-US" w:eastAsia="zh-CN" w:bidi="ar-SA"/>
              </w:rPr>
            </w:pPr>
            <w:r>
              <w:rPr>
                <w:rFonts w:hint="default" w:ascii="Times New Roman" w:hAnsi="Times New Roman" w:eastAsia="宋体" w:cs="Times New Roman"/>
                <w:snapToGrid w:val="0"/>
                <w:color w:val="auto"/>
                <w:spacing w:val="-10"/>
                <w:kern w:val="21"/>
                <w:sz w:val="21"/>
                <w:szCs w:val="21"/>
                <w:lang w:val="en-US" w:eastAsia="zh-CN" w:bidi="ar-SA"/>
              </w:rPr>
              <w:t>0</w:t>
            </w:r>
          </w:p>
        </w:tc>
        <w:tc>
          <w:tcPr>
            <w:tcW w:w="1559" w:type="dxa"/>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color w:val="auto"/>
                <w:spacing w:val="-10"/>
                <w:kern w:val="21"/>
                <w:sz w:val="21"/>
                <w:szCs w:val="21"/>
                <w:lang w:val="en-US" w:eastAsia="zh-CN" w:bidi="ar-SA"/>
              </w:rPr>
            </w:pPr>
            <w:r>
              <w:rPr>
                <w:rFonts w:hint="eastAsia" w:ascii="Times New Roman" w:hAnsi="Times New Roman" w:eastAsia="宋体" w:cs="Times New Roman"/>
                <w:snapToGrid w:val="0"/>
                <w:color w:val="auto"/>
                <w:spacing w:val="-10"/>
                <w:kern w:val="21"/>
                <w:sz w:val="21"/>
                <w:szCs w:val="21"/>
                <w:lang w:val="en-US" w:eastAsia="zh-CN" w:bidi="ar-SA"/>
              </w:rPr>
              <w:t>99.36</w:t>
            </w:r>
          </w:p>
        </w:tc>
        <w:tc>
          <w:tcPr>
            <w:tcW w:w="1985" w:type="dxa"/>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color w:val="auto"/>
                <w:spacing w:val="-10"/>
                <w:kern w:val="21"/>
                <w:sz w:val="21"/>
                <w:szCs w:val="21"/>
                <w:lang w:val="en-US" w:eastAsia="zh-CN" w:bidi="ar-SA"/>
              </w:rPr>
            </w:pPr>
            <w:r>
              <w:rPr>
                <w:rFonts w:hint="default" w:ascii="Times New Roman" w:hAnsi="Times New Roman" w:eastAsia="宋体" w:cs="Times New Roman"/>
                <w:snapToGrid w:val="0"/>
                <w:color w:val="auto"/>
                <w:spacing w:val="-10"/>
                <w:kern w:val="21"/>
                <w:sz w:val="21"/>
                <w:szCs w:val="21"/>
                <w:lang w:val="en-US" w:eastAsia="zh-CN" w:bidi="ar-SA"/>
              </w:rPr>
              <w:t>0</w:t>
            </w:r>
          </w:p>
        </w:tc>
        <w:tc>
          <w:tcPr>
            <w:tcW w:w="1842" w:type="dxa"/>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color w:val="auto"/>
                <w:spacing w:val="-10"/>
                <w:kern w:val="21"/>
                <w:sz w:val="21"/>
                <w:szCs w:val="21"/>
                <w:lang w:val="en-US" w:eastAsia="zh-CN" w:bidi="ar-SA"/>
              </w:rPr>
            </w:pPr>
            <w:r>
              <w:rPr>
                <w:rFonts w:hint="eastAsia" w:ascii="Times New Roman" w:hAnsi="Times New Roman" w:eastAsia="宋体" w:cs="Times New Roman"/>
                <w:snapToGrid w:val="0"/>
                <w:color w:val="auto"/>
                <w:spacing w:val="-10"/>
                <w:kern w:val="21"/>
                <w:sz w:val="21"/>
                <w:szCs w:val="21"/>
                <w:lang w:val="en-US" w:eastAsia="zh-CN" w:bidi="ar-SA"/>
              </w:rPr>
              <w:t>171.56</w:t>
            </w:r>
          </w:p>
        </w:tc>
        <w:tc>
          <w:tcPr>
            <w:tcW w:w="1189" w:type="dxa"/>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color w:val="auto"/>
                <w:spacing w:val="-10"/>
                <w:kern w:val="21"/>
                <w:sz w:val="21"/>
                <w:szCs w:val="21"/>
                <w:lang w:val="en-US" w:eastAsia="zh-CN" w:bidi="ar-SA"/>
              </w:rPr>
            </w:pPr>
            <w:r>
              <w:rPr>
                <w:rFonts w:hint="eastAsia" w:ascii="Times New Roman" w:hAnsi="Times New Roman" w:eastAsia="宋体" w:cs="Times New Roman"/>
                <w:snapToGrid w:val="0"/>
                <w:color w:val="auto"/>
                <w:spacing w:val="-10"/>
                <w:kern w:val="21"/>
                <w:sz w:val="21"/>
                <w:szCs w:val="21"/>
                <w:lang w:val="en-US" w:eastAsia="zh-CN" w:bidi="ar-SA"/>
              </w:rPr>
              <w:t>+99.36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8" w:type="dxa"/>
            <w:vMerge w:val="continue"/>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kern w:val="21"/>
                <w:sz w:val="21"/>
                <w:szCs w:val="21"/>
              </w:rPr>
            </w:pPr>
          </w:p>
        </w:tc>
        <w:tc>
          <w:tcPr>
            <w:tcW w:w="1417" w:type="dxa"/>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废边角料</w:t>
            </w:r>
          </w:p>
        </w:tc>
        <w:tc>
          <w:tcPr>
            <w:tcW w:w="1701" w:type="dxa"/>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color w:val="auto"/>
                <w:spacing w:val="-10"/>
                <w:kern w:val="21"/>
                <w:sz w:val="21"/>
                <w:szCs w:val="21"/>
                <w:lang w:val="en-US" w:eastAsia="zh-CN" w:bidi="ar-SA"/>
              </w:rPr>
            </w:pPr>
            <w:r>
              <w:rPr>
                <w:rFonts w:hint="eastAsia" w:ascii="Times New Roman" w:hAnsi="Times New Roman" w:eastAsia="宋体" w:cs="Times New Roman"/>
                <w:snapToGrid w:val="0"/>
                <w:color w:val="auto"/>
                <w:spacing w:val="-10"/>
                <w:kern w:val="21"/>
                <w:sz w:val="21"/>
                <w:szCs w:val="21"/>
                <w:lang w:val="en-US" w:eastAsia="zh-CN" w:bidi="ar-SA"/>
              </w:rPr>
              <w:t>72.2</w:t>
            </w:r>
          </w:p>
        </w:tc>
        <w:tc>
          <w:tcPr>
            <w:tcW w:w="1505" w:type="dxa"/>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color w:val="auto"/>
                <w:spacing w:val="-10"/>
                <w:kern w:val="21"/>
                <w:sz w:val="21"/>
                <w:szCs w:val="21"/>
                <w:lang w:val="en-US" w:eastAsia="zh-CN" w:bidi="ar-SA"/>
              </w:rPr>
            </w:pPr>
            <w:r>
              <w:rPr>
                <w:rFonts w:hint="default" w:ascii="Times New Roman" w:hAnsi="Times New Roman" w:eastAsia="宋体" w:cs="Times New Roman"/>
                <w:snapToGrid w:val="0"/>
                <w:color w:val="auto"/>
                <w:spacing w:val="-10"/>
                <w:kern w:val="21"/>
                <w:sz w:val="21"/>
                <w:szCs w:val="21"/>
                <w:lang w:val="en-US" w:eastAsia="zh-CN" w:bidi="ar-SA"/>
              </w:rPr>
              <w:t>0</w:t>
            </w:r>
          </w:p>
        </w:tc>
        <w:tc>
          <w:tcPr>
            <w:tcW w:w="1559" w:type="dxa"/>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color w:val="auto"/>
                <w:spacing w:val="-10"/>
                <w:kern w:val="21"/>
                <w:sz w:val="21"/>
                <w:szCs w:val="21"/>
                <w:lang w:val="en-US" w:eastAsia="zh-CN" w:bidi="ar-SA"/>
              </w:rPr>
            </w:pPr>
            <w:r>
              <w:rPr>
                <w:rFonts w:hint="default" w:ascii="Times New Roman" w:hAnsi="Times New Roman" w:eastAsia="宋体" w:cs="Times New Roman"/>
                <w:snapToGrid w:val="0"/>
                <w:color w:val="auto"/>
                <w:spacing w:val="-10"/>
                <w:kern w:val="21"/>
                <w:sz w:val="21"/>
                <w:szCs w:val="21"/>
                <w:lang w:val="en-US" w:eastAsia="zh-CN" w:bidi="ar-SA"/>
              </w:rPr>
              <w:t>0</w:t>
            </w:r>
          </w:p>
        </w:tc>
        <w:tc>
          <w:tcPr>
            <w:tcW w:w="1559" w:type="dxa"/>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color w:val="auto"/>
                <w:spacing w:val="-10"/>
                <w:kern w:val="21"/>
                <w:sz w:val="21"/>
                <w:szCs w:val="21"/>
                <w:lang w:val="en-US" w:eastAsia="zh-CN" w:bidi="ar-SA"/>
              </w:rPr>
            </w:pPr>
            <w:r>
              <w:rPr>
                <w:rFonts w:hint="eastAsia" w:ascii="Times New Roman" w:hAnsi="Times New Roman" w:eastAsia="宋体" w:cs="Times New Roman"/>
                <w:snapToGrid w:val="0"/>
                <w:color w:val="auto"/>
                <w:spacing w:val="-10"/>
                <w:kern w:val="21"/>
                <w:sz w:val="21"/>
                <w:szCs w:val="21"/>
                <w:lang w:val="en-US" w:eastAsia="zh-CN" w:bidi="ar-SA"/>
              </w:rPr>
              <w:t>99.36</w:t>
            </w:r>
          </w:p>
        </w:tc>
        <w:tc>
          <w:tcPr>
            <w:tcW w:w="1985" w:type="dxa"/>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color w:val="auto"/>
                <w:spacing w:val="-10"/>
                <w:kern w:val="21"/>
                <w:sz w:val="21"/>
                <w:szCs w:val="21"/>
                <w:lang w:val="en-US" w:eastAsia="zh-CN" w:bidi="ar-SA"/>
              </w:rPr>
            </w:pPr>
            <w:r>
              <w:rPr>
                <w:rFonts w:hint="default" w:ascii="Times New Roman" w:hAnsi="Times New Roman" w:eastAsia="宋体" w:cs="Times New Roman"/>
                <w:snapToGrid w:val="0"/>
                <w:color w:val="auto"/>
                <w:spacing w:val="-10"/>
                <w:kern w:val="21"/>
                <w:sz w:val="21"/>
                <w:szCs w:val="21"/>
                <w:lang w:val="en-US" w:eastAsia="zh-CN" w:bidi="ar-SA"/>
              </w:rPr>
              <w:t>0</w:t>
            </w:r>
          </w:p>
        </w:tc>
        <w:tc>
          <w:tcPr>
            <w:tcW w:w="1842" w:type="dxa"/>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color w:val="auto"/>
                <w:spacing w:val="-10"/>
                <w:kern w:val="21"/>
                <w:sz w:val="21"/>
                <w:szCs w:val="21"/>
                <w:lang w:val="en-US" w:eastAsia="zh-CN" w:bidi="ar-SA"/>
              </w:rPr>
            </w:pPr>
            <w:r>
              <w:rPr>
                <w:rFonts w:hint="eastAsia" w:ascii="Times New Roman" w:hAnsi="Times New Roman" w:eastAsia="宋体" w:cs="Times New Roman"/>
                <w:snapToGrid w:val="0"/>
                <w:color w:val="auto"/>
                <w:spacing w:val="-10"/>
                <w:kern w:val="21"/>
                <w:sz w:val="21"/>
                <w:szCs w:val="21"/>
                <w:lang w:val="en-US" w:eastAsia="zh-CN" w:bidi="ar-SA"/>
              </w:rPr>
              <w:t>171.56</w:t>
            </w:r>
          </w:p>
        </w:tc>
        <w:tc>
          <w:tcPr>
            <w:tcW w:w="1189" w:type="dxa"/>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color w:val="auto"/>
                <w:spacing w:val="-10"/>
                <w:kern w:val="21"/>
                <w:sz w:val="21"/>
                <w:szCs w:val="21"/>
                <w:lang w:val="en-US" w:eastAsia="zh-CN" w:bidi="ar-SA"/>
              </w:rPr>
            </w:pPr>
            <w:r>
              <w:rPr>
                <w:rFonts w:hint="eastAsia" w:ascii="Times New Roman" w:hAnsi="Times New Roman" w:eastAsia="宋体" w:cs="Times New Roman"/>
                <w:snapToGrid w:val="0"/>
                <w:color w:val="auto"/>
                <w:spacing w:val="-10"/>
                <w:kern w:val="21"/>
                <w:sz w:val="21"/>
                <w:szCs w:val="21"/>
                <w:lang w:val="en-US" w:eastAsia="zh-CN" w:bidi="ar-SA"/>
              </w:rPr>
              <w:t>+99.36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8" w:type="dxa"/>
            <w:vMerge w:val="continue"/>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kern w:val="21"/>
                <w:sz w:val="21"/>
                <w:szCs w:val="21"/>
              </w:rPr>
            </w:pPr>
          </w:p>
        </w:tc>
        <w:tc>
          <w:tcPr>
            <w:tcW w:w="1417" w:type="dxa"/>
            <w:vAlign w:val="center"/>
          </w:tcPr>
          <w:p>
            <w:pPr>
              <w:jc w:val="center"/>
              <w:rPr>
                <w:rFonts w:hint="default" w:ascii="Times New Roman" w:hAnsi="Times New Roman" w:eastAsia="宋体" w:cs="Times New Roman"/>
                <w:snapToGrid w:val="0"/>
                <w:color w:val="auto"/>
                <w:kern w:val="21"/>
                <w:sz w:val="21"/>
                <w:szCs w:val="21"/>
              </w:rPr>
            </w:pPr>
            <w:r>
              <w:rPr>
                <w:rFonts w:hint="eastAsia" w:ascii="Times New Roman" w:hAnsi="Times New Roman" w:eastAsia="宋体" w:cs="Times New Roman"/>
                <w:color w:val="auto"/>
                <w:sz w:val="18"/>
                <w:szCs w:val="18"/>
                <w:lang w:val="en-US" w:eastAsia="zh-CN"/>
              </w:rPr>
              <w:t>沉渣</w:t>
            </w:r>
          </w:p>
        </w:tc>
        <w:tc>
          <w:tcPr>
            <w:tcW w:w="1701" w:type="dxa"/>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color w:val="auto"/>
                <w:spacing w:val="-10"/>
                <w:kern w:val="21"/>
                <w:sz w:val="21"/>
                <w:szCs w:val="21"/>
                <w:lang w:val="en-US" w:eastAsia="zh-CN" w:bidi="ar-SA"/>
              </w:rPr>
            </w:pPr>
            <w:r>
              <w:rPr>
                <w:rFonts w:hint="eastAsia" w:ascii="Times New Roman" w:hAnsi="Times New Roman" w:eastAsia="宋体" w:cs="Times New Roman"/>
                <w:snapToGrid w:val="0"/>
                <w:color w:val="auto"/>
                <w:spacing w:val="-10"/>
                <w:kern w:val="21"/>
                <w:sz w:val="21"/>
                <w:szCs w:val="21"/>
                <w:lang w:val="en-US" w:eastAsia="zh-CN" w:bidi="ar-SA"/>
              </w:rPr>
              <w:t>72.2</w:t>
            </w:r>
          </w:p>
        </w:tc>
        <w:tc>
          <w:tcPr>
            <w:tcW w:w="1505" w:type="dxa"/>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color w:val="auto"/>
                <w:spacing w:val="-10"/>
                <w:kern w:val="21"/>
                <w:sz w:val="21"/>
                <w:szCs w:val="21"/>
                <w:lang w:val="en-US" w:eastAsia="zh-CN" w:bidi="ar-SA"/>
              </w:rPr>
            </w:pPr>
            <w:r>
              <w:rPr>
                <w:rFonts w:hint="default" w:ascii="Times New Roman" w:hAnsi="Times New Roman" w:eastAsia="宋体" w:cs="Times New Roman"/>
                <w:snapToGrid w:val="0"/>
                <w:color w:val="auto"/>
                <w:spacing w:val="-10"/>
                <w:kern w:val="21"/>
                <w:sz w:val="21"/>
                <w:szCs w:val="21"/>
                <w:lang w:val="en-US" w:eastAsia="zh-CN" w:bidi="ar-SA"/>
              </w:rPr>
              <w:t>0</w:t>
            </w:r>
          </w:p>
        </w:tc>
        <w:tc>
          <w:tcPr>
            <w:tcW w:w="1559" w:type="dxa"/>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color w:val="auto"/>
                <w:spacing w:val="-10"/>
                <w:kern w:val="21"/>
                <w:sz w:val="21"/>
                <w:szCs w:val="21"/>
                <w:lang w:val="en-US" w:eastAsia="zh-CN" w:bidi="ar-SA"/>
              </w:rPr>
            </w:pPr>
            <w:r>
              <w:rPr>
                <w:rFonts w:hint="default" w:ascii="Times New Roman" w:hAnsi="Times New Roman" w:eastAsia="宋体" w:cs="Times New Roman"/>
                <w:snapToGrid w:val="0"/>
                <w:color w:val="auto"/>
                <w:spacing w:val="-10"/>
                <w:kern w:val="21"/>
                <w:sz w:val="21"/>
                <w:szCs w:val="21"/>
                <w:lang w:val="en-US" w:eastAsia="zh-CN" w:bidi="ar-SA"/>
              </w:rPr>
              <w:t>0</w:t>
            </w:r>
          </w:p>
        </w:tc>
        <w:tc>
          <w:tcPr>
            <w:tcW w:w="1559" w:type="dxa"/>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eastAsia="宋体" w:cs="Times New Roman"/>
                <w:snapToGrid w:val="0"/>
                <w:color w:val="auto"/>
                <w:spacing w:val="-10"/>
                <w:kern w:val="21"/>
                <w:sz w:val="21"/>
                <w:szCs w:val="21"/>
                <w:lang w:val="en-US" w:eastAsia="zh-CN" w:bidi="ar-SA"/>
              </w:rPr>
            </w:pPr>
            <w:r>
              <w:rPr>
                <w:rFonts w:hint="eastAsia" w:ascii="Times New Roman" w:hAnsi="Times New Roman" w:eastAsia="宋体" w:cs="Times New Roman"/>
                <w:snapToGrid w:val="0"/>
                <w:color w:val="auto"/>
                <w:spacing w:val="-10"/>
                <w:kern w:val="21"/>
                <w:sz w:val="21"/>
                <w:szCs w:val="21"/>
                <w:lang w:val="en-US" w:eastAsia="zh-CN" w:bidi="ar-SA"/>
              </w:rPr>
              <w:t>99.36</w:t>
            </w:r>
          </w:p>
        </w:tc>
        <w:tc>
          <w:tcPr>
            <w:tcW w:w="1985" w:type="dxa"/>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color w:val="auto"/>
                <w:spacing w:val="-10"/>
                <w:kern w:val="21"/>
                <w:sz w:val="21"/>
                <w:szCs w:val="21"/>
                <w:lang w:val="en-US" w:eastAsia="zh-CN" w:bidi="ar-SA"/>
              </w:rPr>
            </w:pPr>
            <w:r>
              <w:rPr>
                <w:rFonts w:hint="default" w:ascii="Times New Roman" w:hAnsi="Times New Roman" w:eastAsia="宋体" w:cs="Times New Roman"/>
                <w:snapToGrid w:val="0"/>
                <w:color w:val="auto"/>
                <w:spacing w:val="-10"/>
                <w:kern w:val="21"/>
                <w:sz w:val="21"/>
                <w:szCs w:val="21"/>
                <w:lang w:val="en-US" w:eastAsia="zh-CN" w:bidi="ar-SA"/>
              </w:rPr>
              <w:t>0</w:t>
            </w:r>
          </w:p>
        </w:tc>
        <w:tc>
          <w:tcPr>
            <w:tcW w:w="1842" w:type="dxa"/>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eastAsia="宋体" w:cs="Times New Roman"/>
                <w:snapToGrid w:val="0"/>
                <w:color w:val="auto"/>
                <w:spacing w:val="-10"/>
                <w:kern w:val="21"/>
                <w:sz w:val="21"/>
                <w:szCs w:val="21"/>
                <w:lang w:val="en-US" w:eastAsia="zh-CN" w:bidi="ar-SA"/>
              </w:rPr>
            </w:pPr>
            <w:r>
              <w:rPr>
                <w:rFonts w:hint="eastAsia" w:ascii="Times New Roman" w:hAnsi="Times New Roman" w:eastAsia="宋体" w:cs="Times New Roman"/>
                <w:snapToGrid w:val="0"/>
                <w:color w:val="auto"/>
                <w:spacing w:val="-10"/>
                <w:kern w:val="21"/>
                <w:sz w:val="21"/>
                <w:szCs w:val="21"/>
                <w:lang w:val="en-US" w:eastAsia="zh-CN" w:bidi="ar-SA"/>
              </w:rPr>
              <w:t>171.56</w:t>
            </w:r>
          </w:p>
        </w:tc>
        <w:tc>
          <w:tcPr>
            <w:tcW w:w="1189" w:type="dxa"/>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color w:val="auto"/>
                <w:spacing w:val="-10"/>
                <w:kern w:val="21"/>
                <w:sz w:val="21"/>
                <w:szCs w:val="21"/>
                <w:lang w:val="en-US" w:eastAsia="zh-CN" w:bidi="ar-SA"/>
              </w:rPr>
            </w:pPr>
            <w:r>
              <w:rPr>
                <w:rFonts w:hint="eastAsia" w:ascii="Times New Roman" w:hAnsi="Times New Roman" w:eastAsia="宋体" w:cs="Times New Roman"/>
                <w:snapToGrid w:val="0"/>
                <w:color w:val="auto"/>
                <w:spacing w:val="-10"/>
                <w:kern w:val="21"/>
                <w:sz w:val="21"/>
                <w:szCs w:val="21"/>
                <w:lang w:val="en-US" w:eastAsia="zh-CN" w:bidi="ar-SA"/>
              </w:rPr>
              <w:t>+99.36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8" w:type="dxa"/>
            <w:vMerge w:val="continue"/>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kern w:val="21"/>
                <w:sz w:val="21"/>
                <w:szCs w:val="21"/>
              </w:rPr>
            </w:pPr>
          </w:p>
        </w:tc>
        <w:tc>
          <w:tcPr>
            <w:tcW w:w="1417" w:type="dxa"/>
            <w:vAlign w:val="center"/>
          </w:tcPr>
          <w:p>
            <w:pPr>
              <w:jc w:val="center"/>
              <w:rPr>
                <w:rFonts w:hint="default" w:ascii="Times New Roman" w:hAnsi="Times New Roman" w:eastAsia="宋体" w:cs="Times New Roman"/>
                <w:snapToGrid w:val="0"/>
                <w:color w:val="auto"/>
                <w:kern w:val="21"/>
                <w:sz w:val="21"/>
                <w:szCs w:val="21"/>
              </w:rPr>
            </w:pPr>
            <w:r>
              <w:rPr>
                <w:rFonts w:hint="eastAsia" w:ascii="Times New Roman" w:hAnsi="Times New Roman" w:eastAsia="宋体" w:cs="Times New Roman"/>
                <w:color w:val="auto"/>
                <w:sz w:val="18"/>
                <w:szCs w:val="18"/>
                <w:lang w:val="en-US" w:eastAsia="zh-CN"/>
              </w:rPr>
              <w:t>除尘灰</w:t>
            </w:r>
          </w:p>
        </w:tc>
        <w:tc>
          <w:tcPr>
            <w:tcW w:w="1701" w:type="dxa"/>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color w:val="auto"/>
                <w:spacing w:val="-10"/>
                <w:kern w:val="21"/>
                <w:sz w:val="21"/>
                <w:szCs w:val="21"/>
                <w:lang w:val="en-US" w:eastAsia="zh-CN" w:bidi="ar-SA"/>
              </w:rPr>
            </w:pPr>
            <w:r>
              <w:rPr>
                <w:rFonts w:hint="default" w:ascii="Times New Roman" w:hAnsi="Times New Roman" w:eastAsia="宋体" w:cs="Times New Roman"/>
                <w:snapToGrid w:val="0"/>
                <w:color w:val="auto"/>
                <w:spacing w:val="-10"/>
                <w:kern w:val="21"/>
                <w:sz w:val="21"/>
                <w:szCs w:val="21"/>
                <w:lang w:val="en-US" w:eastAsia="zh-CN" w:bidi="ar-SA"/>
              </w:rPr>
              <w:t>0</w:t>
            </w:r>
          </w:p>
        </w:tc>
        <w:tc>
          <w:tcPr>
            <w:tcW w:w="1505" w:type="dxa"/>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color w:val="auto"/>
                <w:spacing w:val="-10"/>
                <w:kern w:val="21"/>
                <w:sz w:val="21"/>
                <w:szCs w:val="21"/>
                <w:lang w:val="en-US" w:eastAsia="zh-CN" w:bidi="ar-SA"/>
              </w:rPr>
            </w:pPr>
            <w:r>
              <w:rPr>
                <w:rFonts w:hint="default" w:ascii="Times New Roman" w:hAnsi="Times New Roman" w:eastAsia="宋体" w:cs="Times New Roman"/>
                <w:snapToGrid w:val="0"/>
                <w:color w:val="auto"/>
                <w:spacing w:val="-10"/>
                <w:kern w:val="21"/>
                <w:sz w:val="21"/>
                <w:szCs w:val="21"/>
                <w:lang w:val="en-US" w:eastAsia="zh-CN" w:bidi="ar-SA"/>
              </w:rPr>
              <w:t>0</w:t>
            </w:r>
          </w:p>
        </w:tc>
        <w:tc>
          <w:tcPr>
            <w:tcW w:w="1559" w:type="dxa"/>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color w:val="auto"/>
                <w:spacing w:val="-10"/>
                <w:kern w:val="21"/>
                <w:sz w:val="21"/>
                <w:szCs w:val="21"/>
                <w:lang w:val="en-US" w:eastAsia="zh-CN" w:bidi="ar-SA"/>
              </w:rPr>
            </w:pPr>
            <w:r>
              <w:rPr>
                <w:rFonts w:hint="default" w:ascii="Times New Roman" w:hAnsi="Times New Roman" w:eastAsia="宋体" w:cs="Times New Roman"/>
                <w:snapToGrid w:val="0"/>
                <w:color w:val="auto"/>
                <w:spacing w:val="-10"/>
                <w:kern w:val="21"/>
                <w:sz w:val="21"/>
                <w:szCs w:val="21"/>
                <w:lang w:val="en-US" w:eastAsia="zh-CN" w:bidi="ar-SA"/>
              </w:rPr>
              <w:t>0</w:t>
            </w:r>
          </w:p>
        </w:tc>
        <w:tc>
          <w:tcPr>
            <w:tcW w:w="1559" w:type="dxa"/>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eastAsia="宋体" w:cs="Times New Roman"/>
                <w:snapToGrid w:val="0"/>
                <w:color w:val="auto"/>
                <w:spacing w:val="-10"/>
                <w:kern w:val="21"/>
                <w:sz w:val="21"/>
                <w:szCs w:val="21"/>
                <w:lang w:val="en-US" w:eastAsia="zh-CN" w:bidi="ar-SA"/>
              </w:rPr>
            </w:pPr>
            <w:r>
              <w:rPr>
                <w:rFonts w:hint="eastAsia" w:ascii="Times New Roman" w:hAnsi="Times New Roman" w:eastAsia="宋体" w:cs="Times New Roman"/>
                <w:snapToGrid w:val="0"/>
                <w:color w:val="auto"/>
                <w:spacing w:val="-10"/>
                <w:kern w:val="21"/>
                <w:sz w:val="21"/>
                <w:szCs w:val="21"/>
                <w:lang w:val="en-US" w:eastAsia="zh-CN" w:bidi="ar-SA"/>
              </w:rPr>
              <w:t>25.8124</w:t>
            </w:r>
          </w:p>
        </w:tc>
        <w:tc>
          <w:tcPr>
            <w:tcW w:w="1985" w:type="dxa"/>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color w:val="auto"/>
                <w:spacing w:val="-10"/>
                <w:kern w:val="21"/>
                <w:sz w:val="21"/>
                <w:szCs w:val="21"/>
                <w:lang w:val="en-US" w:eastAsia="zh-CN" w:bidi="ar-SA"/>
              </w:rPr>
            </w:pPr>
            <w:r>
              <w:rPr>
                <w:rFonts w:hint="default" w:ascii="Times New Roman" w:hAnsi="Times New Roman" w:eastAsia="宋体" w:cs="Times New Roman"/>
                <w:snapToGrid w:val="0"/>
                <w:color w:val="auto"/>
                <w:spacing w:val="-10"/>
                <w:kern w:val="21"/>
                <w:sz w:val="21"/>
                <w:szCs w:val="21"/>
                <w:lang w:val="en-US" w:eastAsia="zh-CN" w:bidi="ar-SA"/>
              </w:rPr>
              <w:t>0</w:t>
            </w:r>
          </w:p>
        </w:tc>
        <w:tc>
          <w:tcPr>
            <w:tcW w:w="1842" w:type="dxa"/>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eastAsia="宋体" w:cs="Times New Roman"/>
                <w:snapToGrid w:val="0"/>
                <w:color w:val="auto"/>
                <w:spacing w:val="-10"/>
                <w:kern w:val="21"/>
                <w:sz w:val="21"/>
                <w:szCs w:val="21"/>
                <w:lang w:val="en-US" w:eastAsia="zh-CN" w:bidi="ar-SA"/>
              </w:rPr>
            </w:pPr>
            <w:r>
              <w:rPr>
                <w:rFonts w:hint="eastAsia" w:ascii="Times New Roman" w:hAnsi="Times New Roman" w:eastAsia="宋体" w:cs="Times New Roman"/>
                <w:snapToGrid w:val="0"/>
                <w:color w:val="auto"/>
                <w:spacing w:val="-10"/>
                <w:kern w:val="21"/>
                <w:sz w:val="21"/>
                <w:szCs w:val="21"/>
                <w:lang w:val="en-US" w:eastAsia="zh-CN" w:bidi="ar-SA"/>
              </w:rPr>
              <w:t>25.8124</w:t>
            </w:r>
          </w:p>
        </w:tc>
        <w:tc>
          <w:tcPr>
            <w:tcW w:w="1189" w:type="dxa"/>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color w:val="auto"/>
                <w:spacing w:val="-10"/>
                <w:kern w:val="21"/>
                <w:sz w:val="21"/>
                <w:szCs w:val="21"/>
                <w:lang w:val="en-US" w:eastAsia="zh-CN" w:bidi="ar-SA"/>
              </w:rPr>
            </w:pPr>
            <w:r>
              <w:rPr>
                <w:rFonts w:hint="eastAsia" w:ascii="Times New Roman" w:hAnsi="Times New Roman" w:eastAsia="宋体" w:cs="Times New Roman"/>
                <w:snapToGrid w:val="0"/>
                <w:color w:val="auto"/>
                <w:spacing w:val="-10"/>
                <w:kern w:val="21"/>
                <w:sz w:val="21"/>
                <w:szCs w:val="21"/>
                <w:lang w:val="en-US" w:eastAsia="zh-CN" w:bidi="ar-SA"/>
              </w:rPr>
              <w:t>+25.8124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8" w:type="dxa"/>
            <w:vMerge w:val="restart"/>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kern w:val="21"/>
                <w:sz w:val="21"/>
                <w:szCs w:val="21"/>
              </w:rPr>
            </w:pPr>
            <w:r>
              <w:rPr>
                <w:rFonts w:hint="default" w:ascii="Times New Roman" w:hAnsi="Times New Roman" w:eastAsia="宋体" w:cs="Times New Roman"/>
                <w:snapToGrid w:val="0"/>
                <w:kern w:val="21"/>
                <w:sz w:val="21"/>
                <w:szCs w:val="21"/>
              </w:rPr>
              <w:t>危险废物</w:t>
            </w:r>
          </w:p>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kern w:val="21"/>
                <w:sz w:val="21"/>
                <w:szCs w:val="21"/>
              </w:rPr>
            </w:pPr>
            <w:r>
              <w:rPr>
                <w:rFonts w:hint="default" w:ascii="Times New Roman" w:hAnsi="Times New Roman" w:eastAsia="宋体" w:cs="Times New Roman"/>
                <w:snapToGrid w:val="0"/>
                <w:kern w:val="21"/>
                <w:sz w:val="21"/>
                <w:szCs w:val="21"/>
              </w:rPr>
              <w:t>（t/a）</w:t>
            </w:r>
          </w:p>
        </w:tc>
        <w:tc>
          <w:tcPr>
            <w:tcW w:w="1417" w:type="dxa"/>
            <w:shd w:val="clear" w:color="auto" w:fill="auto"/>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color w:val="auto"/>
                <w:spacing w:val="-10"/>
                <w:kern w:val="21"/>
                <w:sz w:val="21"/>
                <w:szCs w:val="21"/>
                <w:lang w:val="en-US" w:eastAsia="zh-CN" w:bidi="ar-SA"/>
              </w:rPr>
            </w:pPr>
            <w:r>
              <w:rPr>
                <w:rFonts w:hint="default" w:ascii="Times New Roman" w:hAnsi="Times New Roman" w:eastAsia="宋体" w:cs="Times New Roman"/>
                <w:snapToGrid w:val="0"/>
                <w:color w:val="auto"/>
                <w:kern w:val="21"/>
                <w:sz w:val="21"/>
                <w:szCs w:val="21"/>
              </w:rPr>
              <w:t>废机油</w:t>
            </w:r>
          </w:p>
        </w:tc>
        <w:tc>
          <w:tcPr>
            <w:tcW w:w="1701" w:type="dxa"/>
            <w:shd w:val="clear" w:color="auto" w:fill="auto"/>
            <w:vAlign w:val="center"/>
          </w:tcPr>
          <w:p>
            <w:pPr>
              <w:adjustRightInd w:val="0"/>
              <w:snapToGrid w:val="0"/>
              <w:jc w:val="center"/>
              <w:rPr>
                <w:rFonts w:hint="default" w:ascii="Times New Roman" w:hAnsi="Times New Roman" w:eastAsia="宋体" w:cs="Times New Roman"/>
                <w:snapToGrid w:val="0"/>
                <w:color w:val="auto"/>
                <w:spacing w:val="-10"/>
                <w:kern w:val="21"/>
                <w:sz w:val="21"/>
                <w:szCs w:val="21"/>
                <w:lang w:val="en-US" w:eastAsia="zh-CN" w:bidi="ar-SA"/>
              </w:rPr>
            </w:pPr>
            <w:r>
              <w:rPr>
                <w:rFonts w:hint="eastAsia" w:ascii="Times New Roman" w:hAnsi="Times New Roman" w:eastAsia="宋体" w:cs="Times New Roman"/>
                <w:snapToGrid w:val="0"/>
                <w:color w:val="auto"/>
                <w:spacing w:val="-10"/>
                <w:kern w:val="21"/>
                <w:sz w:val="21"/>
                <w:szCs w:val="21"/>
                <w:lang w:val="en-US" w:eastAsia="zh-CN" w:bidi="ar-SA"/>
              </w:rPr>
              <w:t>0.1</w:t>
            </w:r>
          </w:p>
        </w:tc>
        <w:tc>
          <w:tcPr>
            <w:tcW w:w="1505" w:type="dxa"/>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napToGrid w:val="0"/>
                <w:color w:val="auto"/>
                <w:spacing w:val="-10"/>
                <w:kern w:val="21"/>
                <w:sz w:val="21"/>
                <w:szCs w:val="21"/>
                <w:lang w:val="en-US" w:eastAsia="zh-CN" w:bidi="ar-SA"/>
              </w:rPr>
            </w:pPr>
            <w:r>
              <w:rPr>
                <w:rFonts w:hint="default" w:ascii="Times New Roman" w:hAnsi="Times New Roman" w:eastAsia="宋体" w:cs="Times New Roman"/>
                <w:snapToGrid w:val="0"/>
                <w:color w:val="auto"/>
                <w:spacing w:val="-10"/>
                <w:kern w:val="21"/>
                <w:sz w:val="21"/>
                <w:szCs w:val="21"/>
                <w:lang w:val="en-US" w:eastAsia="zh-CN" w:bidi="ar-SA"/>
              </w:rPr>
              <w:t>0</w:t>
            </w:r>
          </w:p>
        </w:tc>
        <w:tc>
          <w:tcPr>
            <w:tcW w:w="1559" w:type="dxa"/>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napToGrid w:val="0"/>
                <w:color w:val="auto"/>
                <w:spacing w:val="-10"/>
                <w:kern w:val="21"/>
                <w:sz w:val="21"/>
                <w:szCs w:val="21"/>
                <w:lang w:val="en-US" w:eastAsia="zh-CN" w:bidi="ar-SA"/>
              </w:rPr>
            </w:pPr>
            <w:r>
              <w:rPr>
                <w:rFonts w:hint="default" w:ascii="Times New Roman" w:hAnsi="Times New Roman" w:eastAsia="宋体" w:cs="Times New Roman"/>
                <w:snapToGrid w:val="0"/>
                <w:color w:val="auto"/>
                <w:spacing w:val="-10"/>
                <w:kern w:val="21"/>
                <w:sz w:val="21"/>
                <w:szCs w:val="21"/>
                <w:lang w:val="en-US" w:eastAsia="zh-CN" w:bidi="ar-SA"/>
              </w:rPr>
              <w:t>0</w:t>
            </w:r>
          </w:p>
        </w:tc>
        <w:tc>
          <w:tcPr>
            <w:tcW w:w="1559" w:type="dxa"/>
            <w:shd w:val="clear" w:color="auto" w:fill="auto"/>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color w:val="auto"/>
                <w:spacing w:val="-10"/>
                <w:kern w:val="21"/>
                <w:sz w:val="21"/>
                <w:szCs w:val="21"/>
                <w:lang w:val="en-US" w:eastAsia="zh-CN" w:bidi="ar-SA"/>
              </w:rPr>
            </w:pPr>
            <w:r>
              <w:rPr>
                <w:rFonts w:hint="eastAsia" w:ascii="Times New Roman" w:hAnsi="Times New Roman" w:eastAsia="宋体" w:cs="Times New Roman"/>
                <w:snapToGrid w:val="0"/>
                <w:color w:val="auto"/>
                <w:spacing w:val="-10"/>
                <w:kern w:val="21"/>
                <w:sz w:val="21"/>
                <w:szCs w:val="21"/>
                <w:lang w:val="en-US" w:eastAsia="zh-CN" w:bidi="ar-SA"/>
              </w:rPr>
              <w:t>0.1</w:t>
            </w:r>
          </w:p>
        </w:tc>
        <w:tc>
          <w:tcPr>
            <w:tcW w:w="1985" w:type="dxa"/>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rPr>
              <w:t>0</w:t>
            </w:r>
          </w:p>
        </w:tc>
        <w:tc>
          <w:tcPr>
            <w:tcW w:w="1842" w:type="dxa"/>
            <w:shd w:val="clear" w:color="auto" w:fill="auto"/>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color w:val="auto"/>
                <w:spacing w:val="-10"/>
                <w:kern w:val="21"/>
                <w:sz w:val="21"/>
                <w:szCs w:val="21"/>
                <w:lang w:val="en-US" w:eastAsia="zh-CN" w:bidi="ar-SA"/>
              </w:rPr>
            </w:pPr>
            <w:r>
              <w:rPr>
                <w:rFonts w:hint="eastAsia" w:ascii="Times New Roman" w:hAnsi="Times New Roman" w:eastAsia="宋体" w:cs="Times New Roman"/>
                <w:color w:val="auto"/>
                <w:sz w:val="21"/>
                <w:szCs w:val="21"/>
                <w:lang w:val="en-US" w:eastAsia="zh-CN"/>
              </w:rPr>
              <w:t>0.2</w:t>
            </w:r>
          </w:p>
        </w:tc>
        <w:tc>
          <w:tcPr>
            <w:tcW w:w="1189" w:type="dxa"/>
            <w:shd w:val="clear" w:color="auto" w:fill="auto"/>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color w:val="auto"/>
                <w:spacing w:val="-10"/>
                <w:kern w:val="21"/>
                <w:sz w:val="21"/>
                <w:szCs w:val="21"/>
                <w:lang w:val="en-US" w:eastAsia="zh-CN" w:bidi="ar-SA"/>
              </w:rPr>
            </w:pPr>
            <w:r>
              <w:rPr>
                <w:rFonts w:hint="eastAsia" w:ascii="Times New Roman" w:hAnsi="Times New Roman" w:eastAsia="宋体" w:cs="Times New Roman"/>
                <w:color w:val="auto"/>
                <w:sz w:val="21"/>
                <w:szCs w:val="21"/>
                <w:lang w:val="en-US" w:eastAsia="zh-CN"/>
              </w:rPr>
              <w:t>+0.1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8" w:type="dxa"/>
            <w:vMerge w:val="continue"/>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kern w:val="21"/>
                <w:sz w:val="21"/>
                <w:szCs w:val="21"/>
              </w:rPr>
            </w:pPr>
          </w:p>
        </w:tc>
        <w:tc>
          <w:tcPr>
            <w:tcW w:w="1417" w:type="dxa"/>
            <w:shd w:val="clear" w:color="auto" w:fill="auto"/>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eastAsia="宋体" w:cs="Times New Roman"/>
                <w:snapToGrid w:val="0"/>
                <w:color w:val="auto"/>
                <w:kern w:val="21"/>
                <w:sz w:val="21"/>
                <w:szCs w:val="21"/>
                <w:lang w:eastAsia="zh-CN"/>
              </w:rPr>
            </w:pPr>
            <w:r>
              <w:rPr>
                <w:rFonts w:hint="eastAsia" w:ascii="Times New Roman" w:hAnsi="Times New Roman" w:eastAsia="宋体" w:cs="Times New Roman"/>
                <w:snapToGrid w:val="0"/>
                <w:color w:val="auto"/>
                <w:kern w:val="21"/>
                <w:sz w:val="21"/>
                <w:szCs w:val="21"/>
                <w:lang w:eastAsia="zh-CN"/>
              </w:rPr>
              <w:t>废液压油</w:t>
            </w:r>
          </w:p>
        </w:tc>
        <w:tc>
          <w:tcPr>
            <w:tcW w:w="1701" w:type="dxa"/>
            <w:shd w:val="clear" w:color="auto" w:fill="auto"/>
            <w:vAlign w:val="center"/>
          </w:tcPr>
          <w:p>
            <w:pPr>
              <w:adjustRightInd w:val="0"/>
              <w:snapToGrid w:val="0"/>
              <w:jc w:val="center"/>
              <w:rPr>
                <w:rFonts w:hint="default" w:ascii="Times New Roman" w:hAnsi="Times New Roman" w:eastAsia="宋体" w:cs="Times New Roman"/>
                <w:snapToGrid w:val="0"/>
                <w:color w:val="auto"/>
                <w:spacing w:val="-10"/>
                <w:kern w:val="21"/>
                <w:sz w:val="21"/>
                <w:szCs w:val="21"/>
                <w:lang w:val="en-US" w:eastAsia="zh-CN" w:bidi="ar-SA"/>
              </w:rPr>
            </w:pPr>
            <w:r>
              <w:rPr>
                <w:rFonts w:hint="eastAsia" w:ascii="Times New Roman" w:hAnsi="Times New Roman" w:eastAsia="宋体" w:cs="Times New Roman"/>
                <w:snapToGrid w:val="0"/>
                <w:color w:val="auto"/>
                <w:spacing w:val="-10"/>
                <w:kern w:val="21"/>
                <w:sz w:val="21"/>
                <w:szCs w:val="21"/>
                <w:lang w:val="en-US" w:eastAsia="zh-CN" w:bidi="ar-SA"/>
              </w:rPr>
              <w:t>2</w:t>
            </w:r>
          </w:p>
        </w:tc>
        <w:tc>
          <w:tcPr>
            <w:tcW w:w="1505" w:type="dxa"/>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napToGrid w:val="0"/>
                <w:color w:val="auto"/>
                <w:spacing w:val="-10"/>
                <w:kern w:val="21"/>
                <w:sz w:val="21"/>
                <w:szCs w:val="21"/>
                <w:lang w:val="en-US" w:eastAsia="zh-CN" w:bidi="ar-SA"/>
              </w:rPr>
            </w:pPr>
            <w:r>
              <w:rPr>
                <w:rFonts w:hint="default" w:ascii="Times New Roman" w:hAnsi="Times New Roman" w:eastAsia="宋体" w:cs="Times New Roman"/>
                <w:snapToGrid w:val="0"/>
                <w:color w:val="auto"/>
                <w:spacing w:val="-10"/>
                <w:kern w:val="21"/>
                <w:sz w:val="21"/>
                <w:szCs w:val="21"/>
                <w:lang w:val="en-US" w:eastAsia="zh-CN" w:bidi="ar-SA"/>
              </w:rPr>
              <w:t>0</w:t>
            </w:r>
          </w:p>
        </w:tc>
        <w:tc>
          <w:tcPr>
            <w:tcW w:w="1559" w:type="dxa"/>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napToGrid w:val="0"/>
                <w:color w:val="auto"/>
                <w:spacing w:val="-10"/>
                <w:kern w:val="21"/>
                <w:sz w:val="21"/>
                <w:szCs w:val="21"/>
                <w:lang w:val="en-US" w:eastAsia="zh-CN" w:bidi="ar-SA"/>
              </w:rPr>
            </w:pPr>
            <w:r>
              <w:rPr>
                <w:rFonts w:hint="default" w:ascii="Times New Roman" w:hAnsi="Times New Roman" w:eastAsia="宋体" w:cs="Times New Roman"/>
                <w:snapToGrid w:val="0"/>
                <w:color w:val="auto"/>
                <w:spacing w:val="-10"/>
                <w:kern w:val="21"/>
                <w:sz w:val="21"/>
                <w:szCs w:val="21"/>
                <w:lang w:val="en-US" w:eastAsia="zh-CN" w:bidi="ar-SA"/>
              </w:rPr>
              <w:t>0</w:t>
            </w:r>
          </w:p>
        </w:tc>
        <w:tc>
          <w:tcPr>
            <w:tcW w:w="1559" w:type="dxa"/>
            <w:shd w:val="clear" w:color="auto" w:fill="auto"/>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eastAsia="宋体" w:cs="Times New Roman"/>
                <w:snapToGrid w:val="0"/>
                <w:color w:val="auto"/>
                <w:spacing w:val="-10"/>
                <w:kern w:val="21"/>
                <w:sz w:val="21"/>
                <w:szCs w:val="21"/>
                <w:lang w:val="en-US" w:eastAsia="zh-CN" w:bidi="ar-SA"/>
              </w:rPr>
            </w:pPr>
            <w:r>
              <w:rPr>
                <w:rFonts w:hint="eastAsia" w:ascii="Times New Roman" w:hAnsi="Times New Roman" w:eastAsia="宋体" w:cs="Times New Roman"/>
                <w:snapToGrid w:val="0"/>
                <w:color w:val="auto"/>
                <w:spacing w:val="-10"/>
                <w:kern w:val="21"/>
                <w:sz w:val="21"/>
                <w:szCs w:val="21"/>
                <w:lang w:val="en-US" w:eastAsia="zh-CN" w:bidi="ar-SA"/>
              </w:rPr>
              <w:t>2</w:t>
            </w:r>
          </w:p>
        </w:tc>
        <w:tc>
          <w:tcPr>
            <w:tcW w:w="1985" w:type="dxa"/>
            <w:shd w:val="clear" w:color="auto" w:fill="auto"/>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rPr>
              <w:t>0</w:t>
            </w:r>
          </w:p>
        </w:tc>
        <w:tc>
          <w:tcPr>
            <w:tcW w:w="1842" w:type="dxa"/>
            <w:shd w:val="clear" w:color="auto" w:fill="auto"/>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eastAsia="宋体" w:cs="Times New Roman"/>
                <w:snapToGrid w:val="0"/>
                <w:color w:val="auto"/>
                <w:spacing w:val="-10"/>
                <w:kern w:val="21"/>
                <w:sz w:val="21"/>
                <w:szCs w:val="21"/>
                <w:lang w:val="en-US" w:eastAsia="zh-CN" w:bidi="ar-SA"/>
              </w:rPr>
            </w:pPr>
            <w:r>
              <w:rPr>
                <w:rFonts w:hint="eastAsia" w:ascii="Times New Roman" w:hAnsi="Times New Roman" w:eastAsia="宋体" w:cs="Times New Roman"/>
                <w:color w:val="auto"/>
                <w:sz w:val="21"/>
                <w:szCs w:val="21"/>
                <w:lang w:val="en-US" w:eastAsia="zh-CN"/>
              </w:rPr>
              <w:t>4</w:t>
            </w:r>
          </w:p>
        </w:tc>
        <w:tc>
          <w:tcPr>
            <w:tcW w:w="1189" w:type="dxa"/>
            <w:shd w:val="clear" w:color="auto" w:fill="auto"/>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eastAsia="宋体" w:cs="Times New Roman"/>
                <w:snapToGrid w:val="0"/>
                <w:color w:val="auto"/>
                <w:spacing w:val="-10"/>
                <w:kern w:val="21"/>
                <w:sz w:val="21"/>
                <w:szCs w:val="21"/>
                <w:lang w:val="en-US" w:eastAsia="zh-CN" w:bidi="ar-SA"/>
              </w:rPr>
            </w:pPr>
            <w:r>
              <w:rPr>
                <w:rFonts w:hint="eastAsia" w:ascii="Times New Roman" w:hAnsi="Times New Roman" w:eastAsia="宋体" w:cs="Times New Roman"/>
                <w:color w:val="auto"/>
                <w:sz w:val="21"/>
                <w:szCs w:val="21"/>
                <w:lang w:val="en-US" w:eastAsia="zh-CN"/>
              </w:rPr>
              <w:t>+2</w:t>
            </w:r>
          </w:p>
        </w:tc>
      </w:tr>
      <w:bookmarkEnd w:id="16"/>
      <w:bookmarkEnd w:id="17"/>
      <w:bookmarkEnd w:id="18"/>
      <w:bookmarkEnd w:id="19"/>
      <w:bookmarkEnd w:id="20"/>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8" w:type="dxa"/>
            <w:vMerge w:val="continue"/>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kern w:val="21"/>
                <w:sz w:val="21"/>
                <w:szCs w:val="21"/>
              </w:rPr>
            </w:pPr>
          </w:p>
        </w:tc>
        <w:tc>
          <w:tcPr>
            <w:tcW w:w="1417" w:type="dxa"/>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废油桶</w:t>
            </w:r>
          </w:p>
        </w:tc>
        <w:tc>
          <w:tcPr>
            <w:tcW w:w="1701" w:type="dxa"/>
            <w:vAlign w:val="center"/>
          </w:tcPr>
          <w:p>
            <w:pPr>
              <w:adjustRightInd w:val="0"/>
              <w:snapToGrid w:val="0"/>
              <w:jc w:val="center"/>
              <w:rPr>
                <w:rFonts w:hint="default" w:ascii="Times New Roman" w:hAnsi="Times New Roman" w:eastAsia="宋体" w:cs="Times New Roman"/>
                <w:snapToGrid w:val="0"/>
                <w:color w:val="auto"/>
                <w:spacing w:val="-10"/>
                <w:kern w:val="21"/>
                <w:sz w:val="21"/>
                <w:szCs w:val="21"/>
                <w:lang w:val="en-US" w:eastAsia="zh-CN" w:bidi="ar-SA"/>
              </w:rPr>
            </w:pPr>
            <w:r>
              <w:rPr>
                <w:rFonts w:hint="eastAsia" w:ascii="Times New Roman" w:hAnsi="Times New Roman" w:eastAsia="宋体" w:cs="Times New Roman"/>
                <w:snapToGrid w:val="0"/>
                <w:color w:val="auto"/>
                <w:spacing w:val="-10"/>
                <w:kern w:val="21"/>
                <w:sz w:val="21"/>
                <w:szCs w:val="21"/>
                <w:lang w:val="en-US" w:eastAsia="zh-CN" w:bidi="ar-SA"/>
              </w:rPr>
              <w:t>1</w:t>
            </w:r>
            <w:r>
              <w:rPr>
                <w:rFonts w:hint="eastAsia" w:cs="Times New Roman"/>
                <w:snapToGrid w:val="0"/>
                <w:color w:val="auto"/>
                <w:spacing w:val="-10"/>
                <w:kern w:val="21"/>
                <w:sz w:val="21"/>
                <w:szCs w:val="21"/>
                <w:lang w:val="en-US" w:eastAsia="zh-CN" w:bidi="ar-SA"/>
              </w:rPr>
              <w:t>.4</w:t>
            </w:r>
          </w:p>
        </w:tc>
        <w:tc>
          <w:tcPr>
            <w:tcW w:w="1505" w:type="dxa"/>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napToGrid w:val="0"/>
                <w:color w:val="auto"/>
                <w:spacing w:val="-10"/>
                <w:kern w:val="21"/>
                <w:sz w:val="21"/>
                <w:szCs w:val="21"/>
                <w:lang w:val="en-US" w:eastAsia="zh-CN" w:bidi="ar-SA"/>
              </w:rPr>
            </w:pPr>
            <w:r>
              <w:rPr>
                <w:rFonts w:hint="default" w:ascii="Times New Roman" w:hAnsi="Times New Roman" w:eastAsia="宋体" w:cs="Times New Roman"/>
                <w:snapToGrid w:val="0"/>
                <w:color w:val="auto"/>
                <w:spacing w:val="-10"/>
                <w:kern w:val="21"/>
                <w:sz w:val="21"/>
                <w:szCs w:val="21"/>
                <w:lang w:val="en-US" w:eastAsia="zh-CN" w:bidi="ar-SA"/>
              </w:rPr>
              <w:t>0</w:t>
            </w:r>
          </w:p>
        </w:tc>
        <w:tc>
          <w:tcPr>
            <w:tcW w:w="1559" w:type="dxa"/>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napToGrid w:val="0"/>
                <w:color w:val="auto"/>
                <w:spacing w:val="-10"/>
                <w:kern w:val="21"/>
                <w:sz w:val="21"/>
                <w:szCs w:val="21"/>
                <w:lang w:val="en-US" w:eastAsia="zh-CN" w:bidi="ar-SA"/>
              </w:rPr>
            </w:pPr>
            <w:r>
              <w:rPr>
                <w:rFonts w:hint="default" w:ascii="Times New Roman" w:hAnsi="Times New Roman" w:eastAsia="宋体" w:cs="Times New Roman"/>
                <w:snapToGrid w:val="0"/>
                <w:color w:val="auto"/>
                <w:spacing w:val="-10"/>
                <w:kern w:val="21"/>
                <w:sz w:val="21"/>
                <w:szCs w:val="21"/>
                <w:lang w:val="en-US" w:eastAsia="zh-CN" w:bidi="ar-SA"/>
              </w:rPr>
              <w:t>0</w:t>
            </w:r>
          </w:p>
        </w:tc>
        <w:tc>
          <w:tcPr>
            <w:tcW w:w="1559" w:type="dxa"/>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color w:val="auto"/>
                <w:spacing w:val="-10"/>
                <w:kern w:val="21"/>
                <w:sz w:val="21"/>
                <w:szCs w:val="21"/>
                <w:lang w:val="en-US" w:eastAsia="zh-CN" w:bidi="ar-SA"/>
              </w:rPr>
            </w:pPr>
            <w:r>
              <w:rPr>
                <w:rFonts w:hint="eastAsia" w:ascii="Times New Roman" w:hAnsi="Times New Roman" w:eastAsia="宋体" w:cs="Times New Roman"/>
                <w:snapToGrid w:val="0"/>
                <w:color w:val="auto"/>
                <w:spacing w:val="-10"/>
                <w:kern w:val="21"/>
                <w:sz w:val="21"/>
                <w:szCs w:val="21"/>
                <w:lang w:val="en-US" w:eastAsia="zh-CN" w:bidi="ar-SA"/>
              </w:rPr>
              <w:t>1.4</w:t>
            </w:r>
          </w:p>
        </w:tc>
        <w:tc>
          <w:tcPr>
            <w:tcW w:w="1985" w:type="dxa"/>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0</w:t>
            </w:r>
          </w:p>
        </w:tc>
        <w:tc>
          <w:tcPr>
            <w:tcW w:w="1842" w:type="dxa"/>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color w:val="auto"/>
                <w:kern w:val="21"/>
                <w:sz w:val="21"/>
                <w:szCs w:val="21"/>
                <w:lang w:val="en-US"/>
              </w:rPr>
            </w:pPr>
            <w:r>
              <w:rPr>
                <w:rFonts w:hint="eastAsia" w:ascii="Times New Roman" w:hAnsi="Times New Roman" w:eastAsia="宋体" w:cs="Times New Roman"/>
                <w:color w:val="auto"/>
                <w:sz w:val="21"/>
                <w:szCs w:val="21"/>
                <w:lang w:val="en-US" w:eastAsia="zh-CN"/>
              </w:rPr>
              <w:t>2.8</w:t>
            </w:r>
          </w:p>
        </w:tc>
        <w:tc>
          <w:tcPr>
            <w:tcW w:w="1189" w:type="dxa"/>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color w:val="auto"/>
                <w:kern w:val="21"/>
                <w:sz w:val="21"/>
                <w:szCs w:val="21"/>
                <w:lang w:val="en-US"/>
              </w:rPr>
            </w:pPr>
            <w:r>
              <w:rPr>
                <w:rFonts w:hint="eastAsia" w:ascii="Times New Roman" w:hAnsi="Times New Roman" w:eastAsia="宋体" w:cs="Times New Roman"/>
                <w:color w:val="auto"/>
                <w:sz w:val="21"/>
                <w:szCs w:val="21"/>
                <w:lang w:val="en-US" w:eastAsia="zh-CN"/>
              </w:rPr>
              <w:t>+1.4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8" w:type="dxa"/>
            <w:vMerge w:val="continue"/>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kern w:val="21"/>
                <w:sz w:val="21"/>
                <w:szCs w:val="21"/>
              </w:rPr>
            </w:pPr>
          </w:p>
        </w:tc>
        <w:tc>
          <w:tcPr>
            <w:tcW w:w="1417" w:type="dxa"/>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color w:val="auto"/>
                <w:kern w:val="21"/>
                <w:sz w:val="21"/>
                <w:szCs w:val="21"/>
                <w:lang w:eastAsia="zh-CN"/>
              </w:rPr>
            </w:pPr>
            <w:r>
              <w:rPr>
                <w:rFonts w:hint="eastAsia" w:ascii="Times New Roman" w:hAnsi="Times New Roman" w:eastAsia="宋体" w:cs="Times New Roman"/>
                <w:snapToGrid w:val="0"/>
                <w:color w:val="auto"/>
                <w:kern w:val="21"/>
                <w:sz w:val="21"/>
                <w:szCs w:val="21"/>
                <w:lang w:val="en-US" w:eastAsia="zh-CN"/>
              </w:rPr>
              <w:t>废金属屑</w:t>
            </w:r>
          </w:p>
        </w:tc>
        <w:tc>
          <w:tcPr>
            <w:tcW w:w="1701" w:type="dxa"/>
            <w:vAlign w:val="center"/>
          </w:tcPr>
          <w:p>
            <w:pPr>
              <w:adjustRightInd w:val="0"/>
              <w:snapToGrid w:val="0"/>
              <w:jc w:val="center"/>
              <w:rPr>
                <w:rFonts w:hint="default" w:ascii="Times New Roman" w:hAnsi="Times New Roman" w:eastAsia="宋体" w:cs="Times New Roman"/>
                <w:snapToGrid w:val="0"/>
                <w:color w:val="auto"/>
                <w:spacing w:val="-10"/>
                <w:kern w:val="21"/>
                <w:sz w:val="21"/>
                <w:szCs w:val="21"/>
                <w:lang w:val="en-US" w:eastAsia="zh-CN" w:bidi="ar-SA"/>
              </w:rPr>
            </w:pPr>
            <w:r>
              <w:rPr>
                <w:rFonts w:hint="eastAsia" w:ascii="Times New Roman" w:hAnsi="Times New Roman" w:eastAsia="宋体" w:cs="Times New Roman"/>
                <w:snapToGrid w:val="0"/>
                <w:color w:val="auto"/>
                <w:spacing w:val="-10"/>
                <w:kern w:val="21"/>
                <w:sz w:val="21"/>
                <w:szCs w:val="21"/>
                <w:lang w:val="en-US" w:eastAsia="zh-CN" w:bidi="ar-SA"/>
              </w:rPr>
              <w:t>7.22</w:t>
            </w:r>
          </w:p>
        </w:tc>
        <w:tc>
          <w:tcPr>
            <w:tcW w:w="1505" w:type="dxa"/>
            <w:vAlign w:val="center"/>
          </w:tcPr>
          <w:p>
            <w:pPr>
              <w:adjustRightInd w:val="0"/>
              <w:snapToGrid w:val="0"/>
              <w:jc w:val="center"/>
              <w:rPr>
                <w:rFonts w:hint="default" w:ascii="Times New Roman" w:hAnsi="Times New Roman" w:eastAsia="宋体" w:cs="Times New Roman"/>
                <w:snapToGrid w:val="0"/>
                <w:color w:val="auto"/>
                <w:spacing w:val="-10"/>
                <w:kern w:val="21"/>
                <w:sz w:val="21"/>
                <w:szCs w:val="21"/>
                <w:lang w:val="en-US" w:eastAsia="zh-CN" w:bidi="ar-SA"/>
              </w:rPr>
            </w:pPr>
            <w:r>
              <w:rPr>
                <w:rFonts w:hint="default" w:ascii="Times New Roman" w:hAnsi="Times New Roman" w:eastAsia="宋体" w:cs="Times New Roman"/>
                <w:snapToGrid w:val="0"/>
                <w:color w:val="auto"/>
                <w:spacing w:val="-10"/>
                <w:kern w:val="21"/>
                <w:sz w:val="21"/>
                <w:szCs w:val="21"/>
                <w:lang w:val="en-US" w:eastAsia="zh-CN" w:bidi="ar-SA"/>
              </w:rPr>
              <w:t>0</w:t>
            </w:r>
          </w:p>
        </w:tc>
        <w:tc>
          <w:tcPr>
            <w:tcW w:w="1559" w:type="dxa"/>
            <w:vAlign w:val="center"/>
          </w:tcPr>
          <w:p>
            <w:pPr>
              <w:adjustRightInd w:val="0"/>
              <w:snapToGrid w:val="0"/>
              <w:jc w:val="center"/>
              <w:rPr>
                <w:rFonts w:hint="default" w:ascii="Times New Roman" w:hAnsi="Times New Roman" w:eastAsia="宋体" w:cs="Times New Roman"/>
                <w:snapToGrid w:val="0"/>
                <w:color w:val="auto"/>
                <w:spacing w:val="-10"/>
                <w:kern w:val="21"/>
                <w:sz w:val="21"/>
                <w:szCs w:val="21"/>
                <w:lang w:val="en-US" w:eastAsia="zh-CN" w:bidi="ar-SA"/>
              </w:rPr>
            </w:pPr>
            <w:r>
              <w:rPr>
                <w:rFonts w:hint="default" w:ascii="Times New Roman" w:hAnsi="Times New Roman" w:eastAsia="宋体" w:cs="Times New Roman"/>
                <w:snapToGrid w:val="0"/>
                <w:color w:val="auto"/>
                <w:spacing w:val="-10"/>
                <w:kern w:val="21"/>
                <w:sz w:val="21"/>
                <w:szCs w:val="21"/>
                <w:lang w:val="en-US" w:eastAsia="zh-CN" w:bidi="ar-SA"/>
              </w:rPr>
              <w:t>0</w:t>
            </w:r>
          </w:p>
        </w:tc>
        <w:tc>
          <w:tcPr>
            <w:tcW w:w="1559" w:type="dxa"/>
            <w:vAlign w:val="center"/>
          </w:tcPr>
          <w:p>
            <w:pPr>
              <w:adjustRightInd w:val="0"/>
              <w:snapToGrid w:val="0"/>
              <w:jc w:val="center"/>
              <w:rPr>
                <w:rFonts w:hint="eastAsia" w:ascii="Times New Roman" w:hAnsi="Times New Roman" w:eastAsia="宋体" w:cs="Times New Roman"/>
                <w:snapToGrid w:val="0"/>
                <w:color w:val="auto"/>
                <w:spacing w:val="-10"/>
                <w:kern w:val="21"/>
                <w:sz w:val="21"/>
                <w:szCs w:val="21"/>
                <w:lang w:val="en-US" w:eastAsia="zh-CN" w:bidi="ar-SA"/>
              </w:rPr>
            </w:pPr>
            <w:r>
              <w:rPr>
                <w:rFonts w:hint="eastAsia" w:ascii="Times New Roman" w:hAnsi="Times New Roman" w:eastAsia="宋体" w:cs="Times New Roman"/>
                <w:snapToGrid w:val="0"/>
                <w:color w:val="auto"/>
                <w:spacing w:val="-10"/>
                <w:kern w:val="21"/>
                <w:sz w:val="21"/>
                <w:szCs w:val="21"/>
                <w:lang w:val="en-US" w:eastAsia="zh-CN" w:bidi="ar-SA"/>
              </w:rPr>
              <w:t>9.94</w:t>
            </w:r>
          </w:p>
        </w:tc>
        <w:tc>
          <w:tcPr>
            <w:tcW w:w="1985" w:type="dxa"/>
            <w:vAlign w:val="center"/>
          </w:tcPr>
          <w:p>
            <w:pPr>
              <w:adjustRightInd w:val="0"/>
              <w:snapToGrid w:val="0"/>
              <w:jc w:val="center"/>
              <w:rPr>
                <w:rFonts w:hint="default" w:ascii="Times New Roman" w:hAnsi="Times New Roman" w:eastAsia="宋体" w:cs="Times New Roman"/>
                <w:snapToGrid w:val="0"/>
                <w:color w:val="auto"/>
                <w:spacing w:val="-10"/>
                <w:kern w:val="21"/>
                <w:sz w:val="21"/>
                <w:szCs w:val="21"/>
                <w:lang w:val="en-US" w:eastAsia="zh-CN" w:bidi="ar-SA"/>
              </w:rPr>
            </w:pPr>
            <w:r>
              <w:rPr>
                <w:rFonts w:hint="default" w:ascii="Times New Roman" w:hAnsi="Times New Roman" w:eastAsia="宋体" w:cs="Times New Roman"/>
                <w:snapToGrid w:val="0"/>
                <w:color w:val="auto"/>
                <w:spacing w:val="-10"/>
                <w:kern w:val="21"/>
                <w:sz w:val="21"/>
                <w:szCs w:val="21"/>
                <w:lang w:val="en-US" w:eastAsia="zh-CN" w:bidi="ar-SA"/>
              </w:rPr>
              <w:t>0</w:t>
            </w:r>
          </w:p>
        </w:tc>
        <w:tc>
          <w:tcPr>
            <w:tcW w:w="1842" w:type="dxa"/>
            <w:vAlign w:val="center"/>
          </w:tcPr>
          <w:p>
            <w:pPr>
              <w:adjustRightInd w:val="0"/>
              <w:snapToGrid w:val="0"/>
              <w:jc w:val="center"/>
              <w:rPr>
                <w:rFonts w:hint="default" w:ascii="Times New Roman" w:hAnsi="Times New Roman" w:eastAsia="宋体" w:cs="Times New Roman"/>
                <w:snapToGrid w:val="0"/>
                <w:color w:val="auto"/>
                <w:spacing w:val="-10"/>
                <w:kern w:val="21"/>
                <w:sz w:val="21"/>
                <w:szCs w:val="21"/>
                <w:lang w:val="en-US" w:eastAsia="zh-CN" w:bidi="ar-SA"/>
              </w:rPr>
            </w:pPr>
            <w:r>
              <w:rPr>
                <w:rFonts w:hint="eastAsia" w:ascii="Times New Roman" w:hAnsi="Times New Roman" w:eastAsia="宋体" w:cs="Times New Roman"/>
                <w:snapToGrid w:val="0"/>
                <w:color w:val="auto"/>
                <w:spacing w:val="-10"/>
                <w:kern w:val="21"/>
                <w:sz w:val="21"/>
                <w:szCs w:val="21"/>
                <w:lang w:val="en-US" w:eastAsia="zh-CN" w:bidi="ar-SA"/>
              </w:rPr>
              <w:t>17.16</w:t>
            </w:r>
          </w:p>
        </w:tc>
        <w:tc>
          <w:tcPr>
            <w:tcW w:w="1189" w:type="dxa"/>
            <w:shd w:val="clear" w:color="auto" w:fill="auto"/>
            <w:vAlign w:val="center"/>
          </w:tcPr>
          <w:p>
            <w:pPr>
              <w:adjustRightInd w:val="0"/>
              <w:snapToGrid w:val="0"/>
              <w:jc w:val="center"/>
              <w:rPr>
                <w:rFonts w:hint="default" w:ascii="Times New Roman" w:hAnsi="Times New Roman" w:eastAsia="宋体" w:cs="Times New Roman"/>
                <w:snapToGrid w:val="0"/>
                <w:color w:val="auto"/>
                <w:spacing w:val="-10"/>
                <w:kern w:val="21"/>
                <w:sz w:val="21"/>
                <w:szCs w:val="21"/>
                <w:lang w:val="en-US" w:eastAsia="zh-CN" w:bidi="ar-SA"/>
              </w:rPr>
            </w:pPr>
            <w:r>
              <w:rPr>
                <w:rFonts w:hint="eastAsia" w:ascii="Times New Roman" w:hAnsi="Times New Roman" w:eastAsia="宋体" w:cs="Times New Roman"/>
                <w:snapToGrid w:val="0"/>
                <w:color w:val="auto"/>
                <w:spacing w:val="-10"/>
                <w:kern w:val="21"/>
                <w:sz w:val="21"/>
                <w:szCs w:val="21"/>
                <w:lang w:val="en-US" w:eastAsia="zh-CN" w:bidi="ar-SA"/>
              </w:rPr>
              <w:t>+9.94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8" w:type="dxa"/>
            <w:vMerge w:val="continue"/>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kern w:val="21"/>
                <w:sz w:val="21"/>
                <w:szCs w:val="21"/>
              </w:rPr>
            </w:pPr>
          </w:p>
        </w:tc>
        <w:tc>
          <w:tcPr>
            <w:tcW w:w="1417" w:type="dxa"/>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废切削液</w:t>
            </w:r>
          </w:p>
        </w:tc>
        <w:tc>
          <w:tcPr>
            <w:tcW w:w="1701" w:type="dxa"/>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1.7</w:t>
            </w:r>
          </w:p>
        </w:tc>
        <w:tc>
          <w:tcPr>
            <w:tcW w:w="1505" w:type="dxa"/>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0</w:t>
            </w:r>
          </w:p>
        </w:tc>
        <w:tc>
          <w:tcPr>
            <w:tcW w:w="1559" w:type="dxa"/>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0</w:t>
            </w:r>
          </w:p>
        </w:tc>
        <w:tc>
          <w:tcPr>
            <w:tcW w:w="1559" w:type="dxa"/>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2.329</w:t>
            </w:r>
          </w:p>
        </w:tc>
        <w:tc>
          <w:tcPr>
            <w:tcW w:w="1985" w:type="dxa"/>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0</w:t>
            </w:r>
          </w:p>
        </w:tc>
        <w:tc>
          <w:tcPr>
            <w:tcW w:w="1842" w:type="dxa"/>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4.029</w:t>
            </w:r>
          </w:p>
        </w:tc>
        <w:tc>
          <w:tcPr>
            <w:tcW w:w="1189" w:type="dxa"/>
            <w:shd w:val="clear" w:color="auto" w:fill="auto"/>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+2.329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8" w:type="dxa"/>
            <w:vMerge w:val="continue"/>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kern w:val="21"/>
                <w:sz w:val="21"/>
                <w:szCs w:val="21"/>
              </w:rPr>
            </w:pPr>
          </w:p>
        </w:tc>
        <w:tc>
          <w:tcPr>
            <w:tcW w:w="1417" w:type="dxa"/>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color w:val="auto"/>
                <w:kern w:val="21"/>
                <w:sz w:val="21"/>
                <w:szCs w:val="21"/>
                <w:lang w:eastAsia="zh-CN"/>
              </w:rPr>
            </w:pPr>
            <w:r>
              <w:rPr>
                <w:rFonts w:hint="eastAsia" w:ascii="Times New Roman" w:hAnsi="Times New Roman" w:eastAsia="宋体" w:cs="Times New Roman"/>
                <w:snapToGrid w:val="0"/>
                <w:color w:val="auto"/>
                <w:kern w:val="21"/>
                <w:sz w:val="21"/>
                <w:szCs w:val="21"/>
                <w:lang w:val="en-US" w:eastAsia="zh-CN"/>
              </w:rPr>
              <w:t>废润滑油</w:t>
            </w:r>
          </w:p>
        </w:tc>
        <w:tc>
          <w:tcPr>
            <w:tcW w:w="1701" w:type="dxa"/>
            <w:vAlign w:val="center"/>
          </w:tcPr>
          <w:p>
            <w:pPr>
              <w:adjustRightInd w:val="0"/>
              <w:snapToGrid w:val="0"/>
              <w:jc w:val="center"/>
              <w:rPr>
                <w:rFonts w:hint="default" w:ascii="Times New Roman" w:hAnsi="Times New Roman" w:eastAsia="宋体" w:cs="Times New Roman"/>
                <w:snapToGrid w:val="0"/>
                <w:color w:val="auto"/>
                <w:spacing w:val="-10"/>
                <w:kern w:val="21"/>
                <w:sz w:val="21"/>
                <w:szCs w:val="21"/>
                <w:lang w:val="en-US" w:eastAsia="zh-CN" w:bidi="ar-SA"/>
              </w:rPr>
            </w:pPr>
            <w:r>
              <w:rPr>
                <w:rFonts w:hint="eastAsia" w:ascii="Times New Roman" w:hAnsi="Times New Roman" w:eastAsia="宋体" w:cs="Times New Roman"/>
                <w:snapToGrid w:val="0"/>
                <w:color w:val="auto"/>
                <w:spacing w:val="-10"/>
                <w:kern w:val="21"/>
                <w:sz w:val="21"/>
                <w:szCs w:val="21"/>
                <w:lang w:val="en-US" w:eastAsia="zh-CN" w:bidi="ar-SA"/>
              </w:rPr>
              <w:t>0.01</w:t>
            </w:r>
          </w:p>
        </w:tc>
        <w:tc>
          <w:tcPr>
            <w:tcW w:w="1505" w:type="dxa"/>
            <w:vAlign w:val="center"/>
          </w:tcPr>
          <w:p>
            <w:pPr>
              <w:adjustRightInd w:val="0"/>
              <w:snapToGrid w:val="0"/>
              <w:jc w:val="center"/>
              <w:rPr>
                <w:rFonts w:hint="default" w:ascii="Times New Roman" w:hAnsi="Times New Roman" w:eastAsia="宋体" w:cs="Times New Roman"/>
                <w:snapToGrid w:val="0"/>
                <w:color w:val="auto"/>
                <w:spacing w:val="-10"/>
                <w:kern w:val="21"/>
                <w:sz w:val="21"/>
                <w:szCs w:val="21"/>
                <w:lang w:val="en-US" w:eastAsia="zh-CN" w:bidi="ar-SA"/>
              </w:rPr>
            </w:pPr>
            <w:r>
              <w:rPr>
                <w:rFonts w:hint="default" w:ascii="Times New Roman" w:hAnsi="Times New Roman" w:eastAsia="宋体" w:cs="Times New Roman"/>
                <w:snapToGrid w:val="0"/>
                <w:color w:val="auto"/>
                <w:spacing w:val="-10"/>
                <w:kern w:val="21"/>
                <w:sz w:val="21"/>
                <w:szCs w:val="21"/>
                <w:lang w:val="en-US" w:eastAsia="zh-CN" w:bidi="ar-SA"/>
              </w:rPr>
              <w:t>0</w:t>
            </w:r>
          </w:p>
        </w:tc>
        <w:tc>
          <w:tcPr>
            <w:tcW w:w="1559" w:type="dxa"/>
            <w:vAlign w:val="center"/>
          </w:tcPr>
          <w:p>
            <w:pPr>
              <w:adjustRightInd w:val="0"/>
              <w:snapToGrid w:val="0"/>
              <w:jc w:val="center"/>
              <w:rPr>
                <w:rFonts w:hint="default" w:ascii="Times New Roman" w:hAnsi="Times New Roman" w:eastAsia="宋体" w:cs="Times New Roman"/>
                <w:snapToGrid w:val="0"/>
                <w:color w:val="auto"/>
                <w:spacing w:val="-10"/>
                <w:kern w:val="21"/>
                <w:sz w:val="21"/>
                <w:szCs w:val="21"/>
                <w:lang w:val="en-US" w:eastAsia="zh-CN" w:bidi="ar-SA"/>
              </w:rPr>
            </w:pPr>
            <w:r>
              <w:rPr>
                <w:rFonts w:hint="default" w:ascii="Times New Roman" w:hAnsi="Times New Roman" w:eastAsia="宋体" w:cs="Times New Roman"/>
                <w:snapToGrid w:val="0"/>
                <w:color w:val="auto"/>
                <w:spacing w:val="-10"/>
                <w:kern w:val="21"/>
                <w:sz w:val="21"/>
                <w:szCs w:val="21"/>
                <w:lang w:val="en-US" w:eastAsia="zh-CN" w:bidi="ar-SA"/>
              </w:rPr>
              <w:t>0</w:t>
            </w:r>
          </w:p>
        </w:tc>
        <w:tc>
          <w:tcPr>
            <w:tcW w:w="1559" w:type="dxa"/>
            <w:vAlign w:val="center"/>
          </w:tcPr>
          <w:p>
            <w:pPr>
              <w:adjustRightInd w:val="0"/>
              <w:snapToGrid w:val="0"/>
              <w:jc w:val="center"/>
              <w:rPr>
                <w:rFonts w:hint="eastAsia" w:ascii="Times New Roman" w:hAnsi="Times New Roman" w:eastAsia="宋体" w:cs="Times New Roman"/>
                <w:snapToGrid w:val="0"/>
                <w:color w:val="auto"/>
                <w:spacing w:val="-10"/>
                <w:kern w:val="21"/>
                <w:sz w:val="21"/>
                <w:szCs w:val="21"/>
                <w:lang w:val="en-US" w:eastAsia="zh-CN" w:bidi="ar-SA"/>
              </w:rPr>
            </w:pPr>
            <w:r>
              <w:rPr>
                <w:rFonts w:hint="eastAsia" w:ascii="Times New Roman" w:hAnsi="Times New Roman" w:eastAsia="宋体" w:cs="Times New Roman"/>
                <w:snapToGrid w:val="0"/>
                <w:color w:val="auto"/>
                <w:spacing w:val="-10"/>
                <w:kern w:val="21"/>
                <w:sz w:val="21"/>
                <w:szCs w:val="21"/>
                <w:lang w:val="en-US" w:eastAsia="zh-CN" w:bidi="ar-SA"/>
              </w:rPr>
              <w:t>0.01</w:t>
            </w:r>
          </w:p>
        </w:tc>
        <w:tc>
          <w:tcPr>
            <w:tcW w:w="1985" w:type="dxa"/>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0</w:t>
            </w:r>
          </w:p>
        </w:tc>
        <w:tc>
          <w:tcPr>
            <w:tcW w:w="1842" w:type="dxa"/>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w:t>
            </w:r>
          </w:p>
        </w:tc>
        <w:tc>
          <w:tcPr>
            <w:tcW w:w="1189" w:type="dxa"/>
            <w:shd w:val="clear" w:color="auto" w:fill="auto"/>
            <w:vAlign w:val="center"/>
          </w:tcPr>
          <w:p>
            <w:pPr>
              <w:adjustRightInd w:val="0"/>
              <w:snapToGrid w:val="0"/>
              <w:jc w:val="center"/>
              <w:rPr>
                <w:rFonts w:hint="eastAsia" w:ascii="Times New Roman" w:hAnsi="Times New Roman" w:eastAsia="宋体" w:cs="Times New Roman"/>
                <w:snapToGrid w:val="0"/>
                <w:color w:val="auto"/>
                <w:spacing w:val="-10"/>
                <w:kern w:val="21"/>
                <w:sz w:val="21"/>
                <w:szCs w:val="21"/>
                <w:lang w:val="en-US" w:eastAsia="zh-CN" w:bidi="ar-SA"/>
              </w:rPr>
            </w:pPr>
            <w:r>
              <w:rPr>
                <w:rFonts w:hint="eastAsia" w:ascii="Times New Roman" w:hAnsi="Times New Roman" w:eastAsia="宋体" w:cs="Times New Roman"/>
                <w:snapToGrid w:val="0"/>
                <w:color w:val="auto"/>
                <w:spacing w:val="-10"/>
                <w:kern w:val="21"/>
                <w:sz w:val="21"/>
                <w:szCs w:val="21"/>
                <w:lang w:val="en-US" w:eastAsia="zh-CN" w:bidi="ar-SA"/>
              </w:rPr>
              <w:t>+0.01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8" w:type="dxa"/>
            <w:vMerge w:val="continue"/>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kern w:val="21"/>
                <w:sz w:val="21"/>
                <w:szCs w:val="21"/>
              </w:rPr>
            </w:pPr>
          </w:p>
        </w:tc>
        <w:tc>
          <w:tcPr>
            <w:tcW w:w="1417" w:type="dxa"/>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color w:val="auto"/>
                <w:kern w:val="21"/>
                <w:sz w:val="21"/>
                <w:szCs w:val="21"/>
                <w:lang w:eastAsia="zh-CN"/>
              </w:rPr>
            </w:pPr>
            <w:r>
              <w:rPr>
                <w:rFonts w:hint="eastAsia" w:ascii="Times New Roman" w:hAnsi="Times New Roman" w:eastAsia="宋体" w:cs="Times New Roman"/>
                <w:snapToGrid w:val="0"/>
                <w:color w:val="auto"/>
                <w:kern w:val="21"/>
                <w:sz w:val="21"/>
                <w:szCs w:val="21"/>
                <w:lang w:val="en-US" w:eastAsia="zh-CN"/>
              </w:rPr>
              <w:t>废乳化液</w:t>
            </w:r>
          </w:p>
        </w:tc>
        <w:tc>
          <w:tcPr>
            <w:tcW w:w="1701" w:type="dxa"/>
            <w:vAlign w:val="center"/>
          </w:tcPr>
          <w:p>
            <w:pPr>
              <w:adjustRightInd w:val="0"/>
              <w:snapToGrid w:val="0"/>
              <w:jc w:val="center"/>
              <w:rPr>
                <w:rFonts w:hint="default" w:ascii="Times New Roman" w:hAnsi="Times New Roman" w:eastAsia="宋体" w:cs="Times New Roman"/>
                <w:snapToGrid w:val="0"/>
                <w:color w:val="auto"/>
                <w:spacing w:val="-10"/>
                <w:kern w:val="21"/>
                <w:sz w:val="21"/>
                <w:szCs w:val="21"/>
                <w:lang w:val="en-US" w:eastAsia="zh-CN" w:bidi="ar-SA"/>
              </w:rPr>
            </w:pPr>
            <w:r>
              <w:rPr>
                <w:rFonts w:hint="eastAsia" w:ascii="Times New Roman" w:hAnsi="Times New Roman" w:eastAsia="宋体" w:cs="Times New Roman"/>
                <w:snapToGrid w:val="0"/>
                <w:color w:val="auto"/>
                <w:spacing w:val="-10"/>
                <w:kern w:val="21"/>
                <w:sz w:val="21"/>
                <w:szCs w:val="21"/>
                <w:lang w:val="en-US" w:eastAsia="zh-CN" w:bidi="ar-SA"/>
              </w:rPr>
              <w:t>0.01</w:t>
            </w:r>
          </w:p>
        </w:tc>
        <w:tc>
          <w:tcPr>
            <w:tcW w:w="1505" w:type="dxa"/>
            <w:vAlign w:val="center"/>
          </w:tcPr>
          <w:p>
            <w:pPr>
              <w:adjustRightInd w:val="0"/>
              <w:snapToGrid w:val="0"/>
              <w:jc w:val="center"/>
              <w:rPr>
                <w:rFonts w:hint="default" w:ascii="Times New Roman" w:hAnsi="Times New Roman" w:eastAsia="宋体" w:cs="Times New Roman"/>
                <w:snapToGrid w:val="0"/>
                <w:color w:val="auto"/>
                <w:spacing w:val="-10"/>
                <w:kern w:val="21"/>
                <w:sz w:val="21"/>
                <w:szCs w:val="21"/>
                <w:lang w:val="en-US" w:eastAsia="zh-CN" w:bidi="ar-SA"/>
              </w:rPr>
            </w:pPr>
            <w:r>
              <w:rPr>
                <w:rFonts w:hint="default" w:ascii="Times New Roman" w:hAnsi="Times New Roman" w:eastAsia="宋体" w:cs="Times New Roman"/>
                <w:snapToGrid w:val="0"/>
                <w:color w:val="auto"/>
                <w:spacing w:val="-10"/>
                <w:kern w:val="21"/>
                <w:sz w:val="21"/>
                <w:szCs w:val="21"/>
                <w:lang w:val="en-US" w:eastAsia="zh-CN" w:bidi="ar-SA"/>
              </w:rPr>
              <w:t>0</w:t>
            </w:r>
          </w:p>
        </w:tc>
        <w:tc>
          <w:tcPr>
            <w:tcW w:w="1559" w:type="dxa"/>
            <w:vAlign w:val="center"/>
          </w:tcPr>
          <w:p>
            <w:pPr>
              <w:adjustRightInd w:val="0"/>
              <w:snapToGrid w:val="0"/>
              <w:jc w:val="center"/>
              <w:rPr>
                <w:rFonts w:hint="default" w:ascii="Times New Roman" w:hAnsi="Times New Roman" w:eastAsia="宋体" w:cs="Times New Roman"/>
                <w:snapToGrid w:val="0"/>
                <w:color w:val="auto"/>
                <w:spacing w:val="-10"/>
                <w:kern w:val="21"/>
                <w:sz w:val="21"/>
                <w:szCs w:val="21"/>
                <w:lang w:val="en-US" w:eastAsia="zh-CN" w:bidi="ar-SA"/>
              </w:rPr>
            </w:pPr>
            <w:r>
              <w:rPr>
                <w:rFonts w:hint="default" w:ascii="Times New Roman" w:hAnsi="Times New Roman" w:eastAsia="宋体" w:cs="Times New Roman"/>
                <w:snapToGrid w:val="0"/>
                <w:color w:val="auto"/>
                <w:spacing w:val="-10"/>
                <w:kern w:val="21"/>
                <w:sz w:val="21"/>
                <w:szCs w:val="21"/>
                <w:lang w:val="en-US" w:eastAsia="zh-CN" w:bidi="ar-SA"/>
              </w:rPr>
              <w:t>0</w:t>
            </w:r>
          </w:p>
        </w:tc>
        <w:tc>
          <w:tcPr>
            <w:tcW w:w="1559" w:type="dxa"/>
            <w:vAlign w:val="center"/>
          </w:tcPr>
          <w:p>
            <w:pPr>
              <w:adjustRightInd w:val="0"/>
              <w:snapToGrid w:val="0"/>
              <w:jc w:val="center"/>
              <w:rPr>
                <w:rFonts w:hint="eastAsia" w:ascii="Times New Roman" w:hAnsi="Times New Roman" w:eastAsia="宋体" w:cs="Times New Roman"/>
                <w:snapToGrid w:val="0"/>
                <w:color w:val="auto"/>
                <w:spacing w:val="-10"/>
                <w:kern w:val="21"/>
                <w:sz w:val="21"/>
                <w:szCs w:val="21"/>
                <w:lang w:val="en-US" w:eastAsia="zh-CN" w:bidi="ar-SA"/>
              </w:rPr>
            </w:pPr>
            <w:r>
              <w:rPr>
                <w:rFonts w:hint="eastAsia" w:ascii="Times New Roman" w:hAnsi="Times New Roman" w:eastAsia="宋体" w:cs="Times New Roman"/>
                <w:snapToGrid w:val="0"/>
                <w:color w:val="auto"/>
                <w:spacing w:val="-10"/>
                <w:kern w:val="21"/>
                <w:sz w:val="21"/>
                <w:szCs w:val="21"/>
                <w:lang w:val="en-US" w:eastAsia="zh-CN" w:bidi="ar-SA"/>
              </w:rPr>
              <w:t>0.01</w:t>
            </w:r>
          </w:p>
        </w:tc>
        <w:tc>
          <w:tcPr>
            <w:tcW w:w="1985" w:type="dxa"/>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0</w:t>
            </w:r>
          </w:p>
        </w:tc>
        <w:tc>
          <w:tcPr>
            <w:tcW w:w="1842" w:type="dxa"/>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w:t>
            </w:r>
          </w:p>
        </w:tc>
        <w:tc>
          <w:tcPr>
            <w:tcW w:w="1189" w:type="dxa"/>
            <w:shd w:val="clear" w:color="auto" w:fill="auto"/>
            <w:vAlign w:val="center"/>
          </w:tcPr>
          <w:p>
            <w:pPr>
              <w:adjustRightInd w:val="0"/>
              <w:snapToGrid w:val="0"/>
              <w:jc w:val="center"/>
              <w:rPr>
                <w:rFonts w:hint="eastAsia" w:ascii="Times New Roman" w:hAnsi="Times New Roman" w:eastAsia="宋体" w:cs="Times New Roman"/>
                <w:snapToGrid w:val="0"/>
                <w:color w:val="auto"/>
                <w:spacing w:val="-10"/>
                <w:kern w:val="21"/>
                <w:sz w:val="21"/>
                <w:szCs w:val="21"/>
                <w:lang w:val="en-US" w:eastAsia="zh-CN" w:bidi="ar-SA"/>
              </w:rPr>
            </w:pPr>
            <w:r>
              <w:rPr>
                <w:rFonts w:hint="eastAsia" w:ascii="Times New Roman" w:hAnsi="Times New Roman" w:eastAsia="宋体" w:cs="Times New Roman"/>
                <w:snapToGrid w:val="0"/>
                <w:color w:val="auto"/>
                <w:spacing w:val="-10"/>
                <w:kern w:val="21"/>
                <w:sz w:val="21"/>
                <w:szCs w:val="21"/>
                <w:lang w:val="en-US" w:eastAsia="zh-CN" w:bidi="ar-SA"/>
              </w:rPr>
              <w:t>+0.01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8" w:type="dxa"/>
            <w:vMerge w:val="continue"/>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kern w:val="21"/>
                <w:sz w:val="21"/>
                <w:szCs w:val="21"/>
              </w:rPr>
            </w:pPr>
          </w:p>
        </w:tc>
        <w:tc>
          <w:tcPr>
            <w:tcW w:w="1417" w:type="dxa"/>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color w:val="auto"/>
                <w:kern w:val="21"/>
                <w:sz w:val="21"/>
                <w:szCs w:val="21"/>
                <w:lang w:eastAsia="zh-CN"/>
              </w:rPr>
            </w:pPr>
            <w:r>
              <w:rPr>
                <w:rFonts w:hint="eastAsia" w:ascii="Times New Roman" w:hAnsi="Times New Roman" w:eastAsia="宋体" w:cs="Times New Roman"/>
                <w:snapToGrid w:val="0"/>
                <w:color w:val="auto"/>
                <w:kern w:val="21"/>
                <w:sz w:val="21"/>
                <w:szCs w:val="21"/>
                <w:lang w:val="en-US" w:eastAsia="zh-CN"/>
              </w:rPr>
              <w:t>废包装桶</w:t>
            </w:r>
          </w:p>
        </w:tc>
        <w:tc>
          <w:tcPr>
            <w:tcW w:w="1701" w:type="dxa"/>
            <w:vAlign w:val="center"/>
          </w:tcPr>
          <w:p>
            <w:pPr>
              <w:adjustRightInd w:val="0"/>
              <w:snapToGrid w:val="0"/>
              <w:jc w:val="center"/>
              <w:rPr>
                <w:rFonts w:hint="default" w:ascii="Times New Roman" w:hAnsi="Times New Roman" w:eastAsia="宋体" w:cs="Times New Roman"/>
                <w:snapToGrid w:val="0"/>
                <w:color w:val="auto"/>
                <w:spacing w:val="-10"/>
                <w:kern w:val="21"/>
                <w:sz w:val="21"/>
                <w:szCs w:val="21"/>
                <w:lang w:val="en-US" w:eastAsia="zh-CN" w:bidi="ar-SA"/>
              </w:rPr>
            </w:pPr>
            <w:r>
              <w:rPr>
                <w:rFonts w:hint="eastAsia" w:ascii="Times New Roman" w:hAnsi="Times New Roman" w:eastAsia="宋体" w:cs="Times New Roman"/>
                <w:snapToGrid w:val="0"/>
                <w:color w:val="auto"/>
                <w:spacing w:val="-10"/>
                <w:kern w:val="21"/>
                <w:sz w:val="21"/>
                <w:szCs w:val="21"/>
                <w:lang w:val="en-US" w:eastAsia="zh-CN" w:bidi="ar-SA"/>
              </w:rPr>
              <w:t>0.2</w:t>
            </w:r>
          </w:p>
        </w:tc>
        <w:tc>
          <w:tcPr>
            <w:tcW w:w="1505" w:type="dxa"/>
            <w:vAlign w:val="center"/>
          </w:tcPr>
          <w:p>
            <w:pPr>
              <w:adjustRightInd w:val="0"/>
              <w:snapToGrid w:val="0"/>
              <w:jc w:val="center"/>
              <w:rPr>
                <w:rFonts w:hint="default" w:ascii="Times New Roman" w:hAnsi="Times New Roman" w:eastAsia="宋体" w:cs="Times New Roman"/>
                <w:snapToGrid w:val="0"/>
                <w:color w:val="auto"/>
                <w:spacing w:val="-10"/>
                <w:kern w:val="21"/>
                <w:sz w:val="21"/>
                <w:szCs w:val="21"/>
                <w:lang w:val="en-US" w:eastAsia="zh-CN" w:bidi="ar-SA"/>
              </w:rPr>
            </w:pPr>
            <w:r>
              <w:rPr>
                <w:rFonts w:hint="default" w:ascii="Times New Roman" w:hAnsi="Times New Roman" w:eastAsia="宋体" w:cs="Times New Roman"/>
                <w:snapToGrid w:val="0"/>
                <w:color w:val="auto"/>
                <w:spacing w:val="-10"/>
                <w:kern w:val="21"/>
                <w:sz w:val="21"/>
                <w:szCs w:val="21"/>
                <w:lang w:val="en-US" w:eastAsia="zh-CN" w:bidi="ar-SA"/>
              </w:rPr>
              <w:t>0</w:t>
            </w:r>
          </w:p>
        </w:tc>
        <w:tc>
          <w:tcPr>
            <w:tcW w:w="1559" w:type="dxa"/>
            <w:vAlign w:val="center"/>
          </w:tcPr>
          <w:p>
            <w:pPr>
              <w:adjustRightInd w:val="0"/>
              <w:snapToGrid w:val="0"/>
              <w:jc w:val="center"/>
              <w:rPr>
                <w:rFonts w:hint="default" w:ascii="Times New Roman" w:hAnsi="Times New Roman" w:eastAsia="宋体" w:cs="Times New Roman"/>
                <w:snapToGrid w:val="0"/>
                <w:color w:val="auto"/>
                <w:spacing w:val="-10"/>
                <w:kern w:val="21"/>
                <w:sz w:val="21"/>
                <w:szCs w:val="21"/>
                <w:lang w:val="en-US" w:eastAsia="zh-CN" w:bidi="ar-SA"/>
              </w:rPr>
            </w:pPr>
            <w:r>
              <w:rPr>
                <w:rFonts w:hint="default" w:ascii="Times New Roman" w:hAnsi="Times New Roman" w:eastAsia="宋体" w:cs="Times New Roman"/>
                <w:snapToGrid w:val="0"/>
                <w:color w:val="auto"/>
                <w:spacing w:val="-10"/>
                <w:kern w:val="21"/>
                <w:sz w:val="21"/>
                <w:szCs w:val="21"/>
                <w:lang w:val="en-US" w:eastAsia="zh-CN" w:bidi="ar-SA"/>
              </w:rPr>
              <w:t>0</w:t>
            </w:r>
          </w:p>
        </w:tc>
        <w:tc>
          <w:tcPr>
            <w:tcW w:w="1559" w:type="dxa"/>
            <w:vAlign w:val="center"/>
          </w:tcPr>
          <w:p>
            <w:pPr>
              <w:adjustRightInd w:val="0"/>
              <w:snapToGrid w:val="0"/>
              <w:jc w:val="center"/>
              <w:rPr>
                <w:rFonts w:hint="eastAsia" w:ascii="Times New Roman" w:hAnsi="Times New Roman" w:eastAsia="宋体" w:cs="Times New Roman"/>
                <w:snapToGrid w:val="0"/>
                <w:color w:val="auto"/>
                <w:spacing w:val="-10"/>
                <w:kern w:val="21"/>
                <w:sz w:val="21"/>
                <w:szCs w:val="21"/>
                <w:lang w:val="en-US" w:eastAsia="zh-CN" w:bidi="ar-SA"/>
              </w:rPr>
            </w:pPr>
            <w:r>
              <w:rPr>
                <w:rFonts w:hint="eastAsia" w:ascii="Times New Roman" w:hAnsi="Times New Roman" w:eastAsia="宋体" w:cs="Times New Roman"/>
                <w:snapToGrid w:val="0"/>
                <w:color w:val="auto"/>
                <w:spacing w:val="-10"/>
                <w:kern w:val="21"/>
                <w:sz w:val="21"/>
                <w:szCs w:val="21"/>
                <w:lang w:val="en-US" w:eastAsia="zh-CN" w:bidi="ar-SA"/>
              </w:rPr>
              <w:t>0.2</w:t>
            </w:r>
          </w:p>
        </w:tc>
        <w:tc>
          <w:tcPr>
            <w:tcW w:w="1985" w:type="dxa"/>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0</w:t>
            </w:r>
          </w:p>
        </w:tc>
        <w:tc>
          <w:tcPr>
            <w:tcW w:w="1842" w:type="dxa"/>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0.4</w:t>
            </w:r>
          </w:p>
        </w:tc>
        <w:tc>
          <w:tcPr>
            <w:tcW w:w="1189" w:type="dxa"/>
            <w:shd w:val="clear" w:color="auto" w:fill="auto"/>
            <w:vAlign w:val="center"/>
          </w:tcPr>
          <w:p>
            <w:pPr>
              <w:adjustRightInd w:val="0"/>
              <w:snapToGrid w:val="0"/>
              <w:jc w:val="center"/>
              <w:rPr>
                <w:rFonts w:hint="eastAsia" w:ascii="Times New Roman" w:hAnsi="Times New Roman" w:eastAsia="宋体" w:cs="Times New Roman"/>
                <w:snapToGrid w:val="0"/>
                <w:color w:val="auto"/>
                <w:spacing w:val="-10"/>
                <w:kern w:val="21"/>
                <w:sz w:val="21"/>
                <w:szCs w:val="21"/>
                <w:lang w:val="en-US" w:eastAsia="zh-CN" w:bidi="ar-SA"/>
              </w:rPr>
            </w:pPr>
            <w:r>
              <w:rPr>
                <w:rFonts w:hint="eastAsia" w:ascii="Times New Roman" w:hAnsi="Times New Roman" w:eastAsia="宋体" w:cs="Times New Roman"/>
                <w:snapToGrid w:val="0"/>
                <w:color w:val="auto"/>
                <w:spacing w:val="-10"/>
                <w:kern w:val="21"/>
                <w:sz w:val="21"/>
                <w:szCs w:val="21"/>
                <w:lang w:val="en-US" w:eastAsia="zh-CN" w:bidi="ar-SA"/>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8" w:type="dxa"/>
            <w:vMerge w:val="restart"/>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kern w:val="21"/>
                <w:sz w:val="21"/>
                <w:szCs w:val="21"/>
                <w:lang w:eastAsia="zh-CN"/>
              </w:rPr>
            </w:pPr>
            <w:r>
              <w:rPr>
                <w:rFonts w:hint="default" w:ascii="Times New Roman" w:hAnsi="Times New Roman" w:eastAsia="宋体" w:cs="Times New Roman"/>
                <w:snapToGrid w:val="0"/>
                <w:kern w:val="21"/>
                <w:sz w:val="21"/>
                <w:szCs w:val="21"/>
                <w:lang w:eastAsia="zh-CN"/>
              </w:rPr>
              <w:t>生活垃圾（</w:t>
            </w:r>
            <w:r>
              <w:rPr>
                <w:rFonts w:hint="default" w:ascii="Times New Roman" w:hAnsi="Times New Roman" w:eastAsia="宋体" w:cs="Times New Roman"/>
                <w:snapToGrid w:val="0"/>
                <w:kern w:val="21"/>
                <w:sz w:val="21"/>
                <w:szCs w:val="21"/>
                <w:lang w:val="en-US" w:eastAsia="zh-CN"/>
              </w:rPr>
              <w:t>t/a</w:t>
            </w:r>
            <w:r>
              <w:rPr>
                <w:rFonts w:hint="default" w:ascii="Times New Roman" w:hAnsi="Times New Roman" w:eastAsia="宋体" w:cs="Times New Roman"/>
                <w:snapToGrid w:val="0"/>
                <w:kern w:val="21"/>
                <w:sz w:val="21"/>
                <w:szCs w:val="21"/>
                <w:lang w:eastAsia="zh-CN"/>
              </w:rPr>
              <w:t>）</w:t>
            </w:r>
          </w:p>
        </w:tc>
        <w:tc>
          <w:tcPr>
            <w:tcW w:w="1417" w:type="dxa"/>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color w:val="auto"/>
                <w:kern w:val="21"/>
                <w:sz w:val="21"/>
                <w:szCs w:val="21"/>
                <w:lang w:eastAsia="zh-CN"/>
              </w:rPr>
            </w:pPr>
            <w:r>
              <w:rPr>
                <w:rFonts w:hint="default" w:ascii="Times New Roman" w:hAnsi="Times New Roman" w:eastAsia="宋体" w:cs="Times New Roman"/>
                <w:snapToGrid w:val="0"/>
                <w:color w:val="auto"/>
                <w:kern w:val="21"/>
                <w:sz w:val="21"/>
                <w:szCs w:val="21"/>
                <w:lang w:eastAsia="zh-CN"/>
              </w:rPr>
              <w:t>生活垃圾</w:t>
            </w:r>
          </w:p>
        </w:tc>
        <w:tc>
          <w:tcPr>
            <w:tcW w:w="1701" w:type="dxa"/>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napToGrid w:val="0"/>
                <w:color w:val="auto"/>
                <w:kern w:val="21"/>
                <w:sz w:val="21"/>
                <w:szCs w:val="21"/>
                <w:lang w:val="en-US" w:eastAsia="zh-CN"/>
              </w:rPr>
            </w:pPr>
            <w:r>
              <w:rPr>
                <w:rFonts w:hint="eastAsia" w:cs="Times New Roman"/>
                <w:color w:val="auto"/>
                <w:kern w:val="2"/>
                <w:sz w:val="21"/>
                <w:szCs w:val="21"/>
                <w:lang w:val="en-US" w:eastAsia="zh-CN" w:bidi="ar-SA"/>
              </w:rPr>
              <w:t>30</w:t>
            </w:r>
          </w:p>
        </w:tc>
        <w:tc>
          <w:tcPr>
            <w:tcW w:w="1505" w:type="dxa"/>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0</w:t>
            </w:r>
          </w:p>
        </w:tc>
        <w:tc>
          <w:tcPr>
            <w:tcW w:w="1559" w:type="dxa"/>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0</w:t>
            </w:r>
          </w:p>
        </w:tc>
        <w:tc>
          <w:tcPr>
            <w:tcW w:w="1559" w:type="dxa"/>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w:t>
            </w:r>
          </w:p>
        </w:tc>
        <w:tc>
          <w:tcPr>
            <w:tcW w:w="1985" w:type="dxa"/>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0</w:t>
            </w:r>
          </w:p>
        </w:tc>
        <w:tc>
          <w:tcPr>
            <w:tcW w:w="1842" w:type="dxa"/>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40.8</w:t>
            </w:r>
          </w:p>
        </w:tc>
        <w:tc>
          <w:tcPr>
            <w:tcW w:w="1189" w:type="dxa"/>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color w:val="auto"/>
                <w:kern w:val="21"/>
                <w:sz w:val="21"/>
                <w:szCs w:val="21"/>
              </w:rPr>
            </w:pPr>
            <w:r>
              <w:rPr>
                <w:rFonts w:hint="eastAsia" w:ascii="Times New Roman" w:hAnsi="Times New Roman" w:eastAsia="宋体" w:cs="Times New Roman"/>
                <w:color w:val="auto"/>
                <w:sz w:val="21"/>
                <w:szCs w:val="21"/>
                <w:lang w:val="en-US" w:eastAsia="zh-CN"/>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8" w:type="dxa"/>
            <w:vMerge w:val="continue"/>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kern w:val="21"/>
                <w:sz w:val="21"/>
                <w:szCs w:val="21"/>
                <w:lang w:eastAsia="zh-CN"/>
              </w:rPr>
            </w:pPr>
          </w:p>
        </w:tc>
        <w:tc>
          <w:tcPr>
            <w:tcW w:w="1417" w:type="dxa"/>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napToGrid w:val="0"/>
                <w:color w:val="auto"/>
                <w:kern w:val="21"/>
                <w:sz w:val="21"/>
                <w:szCs w:val="21"/>
                <w:lang w:eastAsia="zh-CN"/>
              </w:rPr>
            </w:pPr>
            <w:r>
              <w:rPr>
                <w:rFonts w:hint="default" w:ascii="Times New Roman" w:hAnsi="Times New Roman" w:eastAsia="宋体" w:cs="Times New Roman"/>
                <w:snapToGrid w:val="0"/>
                <w:color w:val="auto"/>
                <w:kern w:val="21"/>
                <w:sz w:val="21"/>
                <w:szCs w:val="21"/>
                <w:lang w:val="en-US" w:eastAsia="zh-CN"/>
              </w:rPr>
              <w:t>餐厨垃圾</w:t>
            </w:r>
          </w:p>
        </w:tc>
        <w:tc>
          <w:tcPr>
            <w:tcW w:w="1701" w:type="dxa"/>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cs="Times New Roman"/>
                <w:color w:val="auto"/>
                <w:kern w:val="2"/>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rPr>
              <w:t>0</w:t>
            </w:r>
          </w:p>
        </w:tc>
        <w:tc>
          <w:tcPr>
            <w:tcW w:w="1505" w:type="dxa"/>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0</w:t>
            </w:r>
          </w:p>
        </w:tc>
        <w:tc>
          <w:tcPr>
            <w:tcW w:w="1559" w:type="dxa"/>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0</w:t>
            </w:r>
          </w:p>
        </w:tc>
        <w:tc>
          <w:tcPr>
            <w:tcW w:w="1559" w:type="dxa"/>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30</w:t>
            </w:r>
          </w:p>
        </w:tc>
        <w:tc>
          <w:tcPr>
            <w:tcW w:w="1985" w:type="dxa"/>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napToGrid w:val="0"/>
                <w:color w:val="auto"/>
                <w:kern w:val="21"/>
                <w:sz w:val="21"/>
                <w:szCs w:val="21"/>
                <w:lang w:val="en-US" w:eastAsia="zh-CN"/>
              </w:rPr>
            </w:pPr>
            <w:r>
              <w:rPr>
                <w:rFonts w:hint="eastAsia" w:cs="Times New Roman"/>
                <w:snapToGrid w:val="0"/>
                <w:color w:val="auto"/>
                <w:kern w:val="21"/>
                <w:sz w:val="21"/>
                <w:szCs w:val="21"/>
                <w:lang w:val="en-US" w:eastAsia="zh-CN"/>
              </w:rPr>
              <w:t>0</w:t>
            </w:r>
          </w:p>
        </w:tc>
        <w:tc>
          <w:tcPr>
            <w:tcW w:w="1842" w:type="dxa"/>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30</w:t>
            </w:r>
          </w:p>
        </w:tc>
        <w:tc>
          <w:tcPr>
            <w:tcW w:w="1189" w:type="dxa"/>
            <w:vAlign w:val="center"/>
          </w:tcPr>
          <w:p>
            <w:pPr>
              <w:pStyle w:val="30"/>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w:t>
            </w:r>
          </w:p>
        </w:tc>
      </w:tr>
    </w:tbl>
    <w:p>
      <w:pPr>
        <w:spacing w:line="20" w:lineRule="exact"/>
      </w:pPr>
    </w:p>
    <w:p>
      <w:pPr>
        <w:widowControl/>
        <w:jc w:val="left"/>
        <w:rPr>
          <w:rFonts w:eastAsia="楷体_GB2312"/>
          <w:sz w:val="36"/>
          <w:szCs w:val="36"/>
        </w:rPr>
      </w:pPr>
      <w:r>
        <w:rPr>
          <w:color w:val="000000"/>
          <w:kern w:val="0"/>
          <w:sz w:val="24"/>
          <w:lang w:bidi="ar"/>
        </w:rPr>
        <w:t>注：⑥=①+③+④-⑤；⑦=⑥-①</w:t>
      </w:r>
    </w:p>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01"/>
    <w:family w:val="swiss"/>
    <w:pitch w:val="default"/>
    <w:sig w:usb0="00000000" w:usb1="00000000"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altName w:val="MathJax_Vector"/>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微软雅黑"/>
    <w:panose1 w:val="020F0502020204030204"/>
    <w:charset w:val="00"/>
    <w:family w:val="swiss"/>
    <w:pitch w:val="default"/>
    <w:sig w:usb0="00000000" w:usb1="00000000" w:usb2="00000001" w:usb3="00000000" w:csb0="0000019F" w:csb1="00000000"/>
  </w:font>
  <w:font w:name="微软雅黑">
    <w:panose1 w:val="020B0503020204020204"/>
    <w:charset w:val="86"/>
    <w:family w:val="auto"/>
    <w:pitch w:val="default"/>
    <w:sig w:usb0="80000287" w:usb1="2A0F3C52" w:usb2="00000016" w:usb3="00000000" w:csb0="0004001F" w:csb1="00000000"/>
  </w:font>
  <w:font w:name="Cambria">
    <w:altName w:val="FreeSerif"/>
    <w:panose1 w:val="02040503050406030204"/>
    <w:charset w:val="00"/>
    <w:family w:val="roman"/>
    <w:pitch w:val="default"/>
    <w:sig w:usb0="00000000" w:usb1="00000000" w:usb2="02000000" w:usb3="00000000" w:csb0="2000019F" w:csb1="00000000"/>
  </w:font>
  <w:font w:name="FreeSerif">
    <w:panose1 w:val="02020603050405020304"/>
    <w:charset w:val="00"/>
    <w:family w:val="auto"/>
    <w:pitch w:val="default"/>
    <w:sig w:usb0="E59FAFFF" w:usb1="C200FDFF" w:usb2="43501B29" w:usb3="04000043" w:csb0="600101FF" w:csb1="FFFF0000"/>
  </w:font>
  <w:font w:name="PMingLiU">
    <w:altName w:val="Droid Sans Fallback"/>
    <w:panose1 w:val="02020500000000000000"/>
    <w:charset w:val="88"/>
    <w:family w:val="auto"/>
    <w:pitch w:val="default"/>
    <w:sig w:usb0="00000000" w:usb1="00000000" w:usb2="00000016" w:usb3="00000000" w:csb0="00100001" w:csb1="00000000"/>
  </w:font>
  <w:font w:name="Droid Sans Fallback">
    <w:panose1 w:val="020B0502000000000001"/>
    <w:charset w:val="86"/>
    <w:family w:val="auto"/>
    <w:pitch w:val="default"/>
    <w:sig w:usb0="910002FF" w:usb1="2BDFFCFB" w:usb2="00000036" w:usb3="00000000" w:csb0="203F01FF" w:csb1="D7FF0000"/>
  </w:font>
  <w:font w:name="仿宋_GB2312">
    <w:panose1 w:val="02010609030101010101"/>
    <w:charset w:val="86"/>
    <w:family w:val="modern"/>
    <w:pitch w:val="default"/>
    <w:sig w:usb0="00000001" w:usb1="080E0000" w:usb2="00000000" w:usb3="00000000" w:csb0="00040000" w:csb1="00000000"/>
  </w:font>
  <w:font w:name="Arial Black">
    <w:altName w:val="DejaVu Sans"/>
    <w:panose1 w:val="020B0A04020102020204"/>
    <w:charset w:val="00"/>
    <w:family w:val="swiss"/>
    <w:pitch w:val="default"/>
    <w:sig w:usb0="00000000" w:usb1="00000000" w:usb2="00000000" w:usb3="00000000" w:csb0="6000009F" w:csb1="DFD70000"/>
  </w:font>
  <w:font w:name="方正小标宋_GBK">
    <w:panose1 w:val="03000502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Wingdings 2">
    <w:altName w:val="MathJax_Vector"/>
    <w:panose1 w:val="05020102010507070707"/>
    <w:charset w:val="02"/>
    <w:family w:val="roman"/>
    <w:pitch w:val="default"/>
    <w:sig w:usb0="00000000" w:usb1="00000000" w:usb2="00000000" w:usb3="00000000" w:csb0="80000000" w:csb1="00000000"/>
  </w:font>
  <w:font w:name="MathJax_Vector">
    <w:panose1 w:val="02000603000000000000"/>
    <w:charset w:val="00"/>
    <w:family w:val="auto"/>
    <w:pitch w:val="default"/>
    <w:sig w:usb0="00000001" w:usb1="00000020" w:usb2="00000000" w:usb3="00000000" w:csb0="00000001" w:csb1="00000000"/>
  </w:font>
  <w:font w:name="楷体">
    <w:altName w:val="方正楷体_GBK"/>
    <w:panose1 w:val="02010609060101010101"/>
    <w:charset w:val="86"/>
    <w:family w:val="modern"/>
    <w:pitch w:val="default"/>
    <w:sig w:usb0="00000000" w:usb1="00000000" w:usb2="00000016" w:usb3="00000000" w:csb0="00040001" w:csb1="00000000"/>
  </w:font>
  <w:font w:name="方正楷体_GBK">
    <w:panose1 w:val="02000000000000000000"/>
    <w:charset w:val="86"/>
    <w:family w:val="auto"/>
    <w:pitch w:val="default"/>
    <w:sig w:usb0="00000001" w:usb1="08000000" w:usb2="00000000" w:usb3="00000000" w:csb0="00040000" w:csb1="00000000"/>
  </w:font>
  <w:font w:name="TimesNewRomanPSMT">
    <w:altName w:val="DejaVu Sans"/>
    <w:panose1 w:val="00000000000000000000"/>
    <w:charset w:val="00"/>
    <w:family w:val="auto"/>
    <w:pitch w:val="default"/>
    <w:sig w:usb0="00000000" w:usb1="00000000" w:usb2="00000000" w:usb3="00000000" w:csb0="00000000" w:csb1="00000000"/>
  </w:font>
  <w:font w:name="仿宋">
    <w:altName w:val="微软雅黑"/>
    <w:panose1 w:val="02010609060101010101"/>
    <w:charset w:val="86"/>
    <w:family w:val="modern"/>
    <w:pitch w:val="default"/>
    <w:sig w:usb0="00000000" w:usb1="00000000" w:usb2="00000016" w:usb3="00000000" w:csb0="00040001" w:csb1="00000000"/>
  </w:font>
  <w:font w:name="方正仿宋_GB2312">
    <w:altName w:val="方正仿宋_GBK"/>
    <w:panose1 w:val="02000000000000000000"/>
    <w:charset w:val="86"/>
    <w:family w:val="auto"/>
    <w:pitch w:val="default"/>
    <w:sig w:usb0="00000000" w:usb1="00000000" w:usb2="00000012" w:usb3="00000000" w:csb0="00040001" w:csb1="00000000"/>
  </w:font>
  <w:font w:name="方正仿宋_GBK">
    <w:panose1 w:val="02000000000000000000"/>
    <w:charset w:val="86"/>
    <w:family w:val="auto"/>
    <w:pitch w:val="default"/>
    <w:sig w:usb0="00000001" w:usb1="08000000" w:usb2="00000000" w:usb3="00000000" w:csb0="00040000"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clear" w:pos="4153"/>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clear" w:pos="4153"/>
      </w:tabs>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H+OrREyAgAAYQQAAA4AAAAAAAAAAQAgAAAA&#10;NQEAAGRycy9lMm9Eb2MueG1sUEsFBgAAAAAGAAYAWQEAANkFAAAAAA==&#10;">
              <v:fill on="f" focussize="0,0"/>
              <v:stroke on="f" weight="0.5pt"/>
              <v:imagedata o:title=""/>
              <o:lock v:ext="edit" aspectratio="f"/>
              <v:textbox inset="0mm,0mm,0mm,0mm" style="mso-fit-shape-to-text:t;">
                <w:txbxContent>
                  <w:p>
                    <w:pPr>
                      <w:pStyle w:val="13"/>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F112E2"/>
    <w:multiLevelType w:val="singleLevel"/>
    <w:tmpl w:val="B0F112E2"/>
    <w:lvl w:ilvl="0" w:tentative="0">
      <w:start w:val="1"/>
      <w:numFmt w:val="chineseCounting"/>
      <w:suff w:val="nothing"/>
      <w:lvlText w:val="%1、"/>
      <w:lvlJc w:val="left"/>
      <w:rPr>
        <w:rFonts w:hint="eastAsia"/>
        <w:color w:val="auto"/>
        <w:sz w:val="21"/>
        <w:szCs w:val="21"/>
      </w:rPr>
    </w:lvl>
  </w:abstractNum>
  <w:abstractNum w:abstractNumId="1">
    <w:nsid w:val="C5E6ED09"/>
    <w:multiLevelType w:val="singleLevel"/>
    <w:tmpl w:val="C5E6ED09"/>
    <w:lvl w:ilvl="0" w:tentative="0">
      <w:start w:val="1"/>
      <w:numFmt w:val="decimal"/>
      <w:lvlText w:val="%1."/>
      <w:lvlJc w:val="left"/>
      <w:pPr>
        <w:tabs>
          <w:tab w:val="left" w:pos="312"/>
        </w:tabs>
      </w:pPr>
    </w:lvl>
  </w:abstractNum>
  <w:abstractNum w:abstractNumId="2">
    <w:nsid w:val="C8658A21"/>
    <w:multiLevelType w:val="singleLevel"/>
    <w:tmpl w:val="C8658A21"/>
    <w:lvl w:ilvl="0" w:tentative="0">
      <w:start w:val="1"/>
      <w:numFmt w:val="decimal"/>
      <w:suff w:val="nothing"/>
      <w:lvlText w:val="%1、"/>
      <w:lvlJc w:val="left"/>
    </w:lvl>
  </w:abstractNum>
  <w:abstractNum w:abstractNumId="3">
    <w:nsid w:val="CF117763"/>
    <w:multiLevelType w:val="singleLevel"/>
    <w:tmpl w:val="CF117763"/>
    <w:lvl w:ilvl="0" w:tentative="0">
      <w:start w:val="1"/>
      <w:numFmt w:val="decimal"/>
      <w:suff w:val="nothing"/>
      <w:lvlText w:val="%1、"/>
      <w:lvlJc w:val="left"/>
    </w:lvl>
  </w:abstractNum>
  <w:abstractNum w:abstractNumId="4">
    <w:nsid w:val="CF882DCB"/>
    <w:multiLevelType w:val="singleLevel"/>
    <w:tmpl w:val="CF882DCB"/>
    <w:lvl w:ilvl="0" w:tentative="0">
      <w:start w:val="1"/>
      <w:numFmt w:val="decimal"/>
      <w:suff w:val="nothing"/>
      <w:lvlText w:val="%1、"/>
      <w:lvlJc w:val="left"/>
    </w:lvl>
  </w:abstractNum>
  <w:abstractNum w:abstractNumId="5">
    <w:nsid w:val="04497EDC"/>
    <w:multiLevelType w:val="singleLevel"/>
    <w:tmpl w:val="04497EDC"/>
    <w:lvl w:ilvl="0" w:tentative="0">
      <w:start w:val="1"/>
      <w:numFmt w:val="decimal"/>
      <w:lvlText w:val="%1."/>
      <w:lvlJc w:val="left"/>
      <w:pPr>
        <w:tabs>
          <w:tab w:val="left" w:pos="312"/>
        </w:tabs>
      </w:pPr>
    </w:lvl>
  </w:abstractNum>
  <w:abstractNum w:abstractNumId="6">
    <w:nsid w:val="1FC91163"/>
    <w:multiLevelType w:val="multilevel"/>
    <w:tmpl w:val="1FC91163"/>
    <w:lvl w:ilvl="0" w:tentative="0">
      <w:start w:val="1"/>
      <w:numFmt w:val="decimal"/>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59"/>
      <w:suff w:val="nothing"/>
      <w:lvlText w:val="%1.%2　"/>
      <w:lvlJc w:val="left"/>
      <w:pPr>
        <w:ind w:left="1985" w:firstLine="0"/>
      </w:pPr>
      <w:rPr>
        <w:rFonts w:hint="eastAsia" w:ascii="黑体" w:hAnsi="Times New Roman" w:eastAsia="黑体" w:cs="Times New Roman"/>
        <w:b w:val="0"/>
        <w:bCs w:val="0"/>
        <w:i w:val="0"/>
        <w:iCs w:val="0"/>
        <w:caps w:val="0"/>
        <w:strike w:val="0"/>
        <w:dstrike w:val="0"/>
        <w:vanish w:val="0"/>
        <w:spacing w:val="0"/>
        <w:kern w:val="0"/>
        <w:position w:val="0"/>
        <w:sz w:val="21"/>
        <w:szCs w:val="21"/>
        <w:u w:val="none"/>
        <w:vertAlign w:val="baseline"/>
      </w:rPr>
    </w:lvl>
    <w:lvl w:ilvl="2" w:tentative="0">
      <w:start w:val="1"/>
      <w:numFmt w:val="decimal"/>
      <w:pStyle w:val="58"/>
      <w:suff w:val="nothing"/>
      <w:lvlText w:val="%1.%2.%3　"/>
      <w:lvlJc w:val="left"/>
      <w:pPr>
        <w:ind w:left="284" w:firstLine="0"/>
      </w:pPr>
      <w:rPr>
        <w:rFonts w:hint="eastAsia" w:ascii="宋体" w:hAnsi="宋体" w:eastAsia="宋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7">
    <w:nsid w:val="32BE1912"/>
    <w:multiLevelType w:val="singleLevel"/>
    <w:tmpl w:val="32BE1912"/>
    <w:lvl w:ilvl="0" w:tentative="0">
      <w:start w:val="1"/>
      <w:numFmt w:val="decimal"/>
      <w:lvlText w:val="%1."/>
      <w:lvlJc w:val="left"/>
      <w:pPr>
        <w:tabs>
          <w:tab w:val="left" w:pos="312"/>
        </w:tabs>
      </w:pPr>
    </w:lvl>
  </w:abstractNum>
  <w:abstractNum w:abstractNumId="8">
    <w:nsid w:val="4102E824"/>
    <w:multiLevelType w:val="singleLevel"/>
    <w:tmpl w:val="4102E824"/>
    <w:lvl w:ilvl="0" w:tentative="0">
      <w:start w:val="1"/>
      <w:numFmt w:val="decimal"/>
      <w:suff w:val="nothing"/>
      <w:lvlText w:val="%1、"/>
      <w:lvlJc w:val="left"/>
    </w:lvl>
  </w:abstractNum>
  <w:abstractNum w:abstractNumId="9">
    <w:nsid w:val="7848DD3C"/>
    <w:multiLevelType w:val="singleLevel"/>
    <w:tmpl w:val="7848DD3C"/>
    <w:lvl w:ilvl="0" w:tentative="0">
      <w:start w:val="1"/>
      <w:numFmt w:val="decimal"/>
      <w:lvlText w:val="%1."/>
      <w:lvlJc w:val="left"/>
      <w:pPr>
        <w:tabs>
          <w:tab w:val="left" w:pos="312"/>
        </w:tabs>
      </w:pPr>
    </w:lvl>
  </w:abstractNum>
  <w:abstractNum w:abstractNumId="10">
    <w:nsid w:val="7F95A3A6"/>
    <w:multiLevelType w:val="singleLevel"/>
    <w:tmpl w:val="7F95A3A6"/>
    <w:lvl w:ilvl="0" w:tentative="0">
      <w:start w:val="1"/>
      <w:numFmt w:val="decimal"/>
      <w:suff w:val="nothing"/>
      <w:lvlText w:val="%1、"/>
      <w:lvlJc w:val="left"/>
    </w:lvl>
  </w:abstractNum>
  <w:num w:numId="1">
    <w:abstractNumId w:val="6"/>
  </w:num>
  <w:num w:numId="2">
    <w:abstractNumId w:val="3"/>
  </w:num>
  <w:num w:numId="3">
    <w:abstractNumId w:val="2"/>
  </w:num>
  <w:num w:numId="4">
    <w:abstractNumId w:val="8"/>
  </w:num>
  <w:num w:numId="5">
    <w:abstractNumId w:val="4"/>
  </w:num>
  <w:num w:numId="6">
    <w:abstractNumId w:val="5"/>
  </w:num>
  <w:num w:numId="7">
    <w:abstractNumId w:val="9"/>
  </w:num>
  <w:num w:numId="8">
    <w:abstractNumId w:val="7"/>
  </w:num>
  <w:num w:numId="9">
    <w:abstractNumId w:val="1"/>
  </w:num>
  <w:num w:numId="10">
    <w:abstractNumId w:val="1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hideSpellingErrors/>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BhYTg4Yjc2NTk1YjVlNWUzNTFlODE4NjE5YzAzZDEifQ=="/>
  </w:docVars>
  <w:rsids>
    <w:rsidRoot w:val="321B6B87"/>
    <w:rsid w:val="00035A8B"/>
    <w:rsid w:val="00202C44"/>
    <w:rsid w:val="002C175A"/>
    <w:rsid w:val="003172BE"/>
    <w:rsid w:val="003633EC"/>
    <w:rsid w:val="004C2664"/>
    <w:rsid w:val="007834A0"/>
    <w:rsid w:val="00797601"/>
    <w:rsid w:val="007D41FE"/>
    <w:rsid w:val="00A1213D"/>
    <w:rsid w:val="00A7190A"/>
    <w:rsid w:val="00AA0B27"/>
    <w:rsid w:val="00D12C62"/>
    <w:rsid w:val="00D706FC"/>
    <w:rsid w:val="00D81002"/>
    <w:rsid w:val="00DD3737"/>
    <w:rsid w:val="00EE3599"/>
    <w:rsid w:val="01057174"/>
    <w:rsid w:val="0112244E"/>
    <w:rsid w:val="014B38AD"/>
    <w:rsid w:val="017716F4"/>
    <w:rsid w:val="024F6005"/>
    <w:rsid w:val="02C1531D"/>
    <w:rsid w:val="0300740E"/>
    <w:rsid w:val="033F6241"/>
    <w:rsid w:val="038033C8"/>
    <w:rsid w:val="03933BE9"/>
    <w:rsid w:val="03E640FB"/>
    <w:rsid w:val="050D10E7"/>
    <w:rsid w:val="05686195"/>
    <w:rsid w:val="05F05A6D"/>
    <w:rsid w:val="0643182C"/>
    <w:rsid w:val="06E5236E"/>
    <w:rsid w:val="071A149F"/>
    <w:rsid w:val="07A34C3A"/>
    <w:rsid w:val="0805291B"/>
    <w:rsid w:val="08571CC1"/>
    <w:rsid w:val="087537EF"/>
    <w:rsid w:val="08AC487E"/>
    <w:rsid w:val="0A4D6DF4"/>
    <w:rsid w:val="0B9128FA"/>
    <w:rsid w:val="0BD55995"/>
    <w:rsid w:val="0BE55FD0"/>
    <w:rsid w:val="0BFF7D7C"/>
    <w:rsid w:val="0C416A25"/>
    <w:rsid w:val="0D2553C5"/>
    <w:rsid w:val="0E41381E"/>
    <w:rsid w:val="0E4F5028"/>
    <w:rsid w:val="0E545297"/>
    <w:rsid w:val="0EE2398C"/>
    <w:rsid w:val="0F044494"/>
    <w:rsid w:val="0F39314D"/>
    <w:rsid w:val="0F732D5E"/>
    <w:rsid w:val="0F781459"/>
    <w:rsid w:val="0FCD3553"/>
    <w:rsid w:val="101271B8"/>
    <w:rsid w:val="102068C4"/>
    <w:rsid w:val="10474521"/>
    <w:rsid w:val="106E4EC1"/>
    <w:rsid w:val="10D2161E"/>
    <w:rsid w:val="113E0073"/>
    <w:rsid w:val="114F5AF8"/>
    <w:rsid w:val="118045F5"/>
    <w:rsid w:val="119507A0"/>
    <w:rsid w:val="11A00705"/>
    <w:rsid w:val="1231601A"/>
    <w:rsid w:val="126116A9"/>
    <w:rsid w:val="127C1EB2"/>
    <w:rsid w:val="12807C4C"/>
    <w:rsid w:val="128D6E17"/>
    <w:rsid w:val="1299379E"/>
    <w:rsid w:val="12B75DF4"/>
    <w:rsid w:val="12C10A21"/>
    <w:rsid w:val="15734375"/>
    <w:rsid w:val="15B813BA"/>
    <w:rsid w:val="1638724C"/>
    <w:rsid w:val="16C136E5"/>
    <w:rsid w:val="17253B64"/>
    <w:rsid w:val="17CC40B1"/>
    <w:rsid w:val="19371A3D"/>
    <w:rsid w:val="198C07E7"/>
    <w:rsid w:val="19A215AC"/>
    <w:rsid w:val="1A652345"/>
    <w:rsid w:val="1AE05800"/>
    <w:rsid w:val="1D0E6F59"/>
    <w:rsid w:val="1D5A6FAF"/>
    <w:rsid w:val="1DF27F7B"/>
    <w:rsid w:val="1EB904D1"/>
    <w:rsid w:val="207073B9"/>
    <w:rsid w:val="20A336BA"/>
    <w:rsid w:val="20A454AC"/>
    <w:rsid w:val="21154D5A"/>
    <w:rsid w:val="212449D0"/>
    <w:rsid w:val="213E17DD"/>
    <w:rsid w:val="218621AD"/>
    <w:rsid w:val="219537A4"/>
    <w:rsid w:val="22232862"/>
    <w:rsid w:val="22966913"/>
    <w:rsid w:val="22A46395"/>
    <w:rsid w:val="243463EA"/>
    <w:rsid w:val="245932F9"/>
    <w:rsid w:val="24A24B56"/>
    <w:rsid w:val="24E96B66"/>
    <w:rsid w:val="24ED2ED4"/>
    <w:rsid w:val="25B85CB3"/>
    <w:rsid w:val="25BF34E6"/>
    <w:rsid w:val="25D00FD6"/>
    <w:rsid w:val="26930DB0"/>
    <w:rsid w:val="26943C66"/>
    <w:rsid w:val="27571215"/>
    <w:rsid w:val="27CD078F"/>
    <w:rsid w:val="281D62A2"/>
    <w:rsid w:val="28893937"/>
    <w:rsid w:val="28D31CC0"/>
    <w:rsid w:val="29257B04"/>
    <w:rsid w:val="2A39536D"/>
    <w:rsid w:val="2A7923EC"/>
    <w:rsid w:val="2A963A8A"/>
    <w:rsid w:val="2B3044F0"/>
    <w:rsid w:val="2BE617CC"/>
    <w:rsid w:val="2C8C6CB6"/>
    <w:rsid w:val="2C942F95"/>
    <w:rsid w:val="2D015B66"/>
    <w:rsid w:val="2D7B6537"/>
    <w:rsid w:val="2DAF4AA6"/>
    <w:rsid w:val="2DF52240"/>
    <w:rsid w:val="2E7F1514"/>
    <w:rsid w:val="2EED7178"/>
    <w:rsid w:val="2EEE30AE"/>
    <w:rsid w:val="2F0118A7"/>
    <w:rsid w:val="2FC24764"/>
    <w:rsid w:val="301A0D38"/>
    <w:rsid w:val="30534F57"/>
    <w:rsid w:val="30C15055"/>
    <w:rsid w:val="30C3310C"/>
    <w:rsid w:val="31BC4B49"/>
    <w:rsid w:val="321B6B87"/>
    <w:rsid w:val="32A97065"/>
    <w:rsid w:val="32B31F2D"/>
    <w:rsid w:val="32C85AFA"/>
    <w:rsid w:val="33136C00"/>
    <w:rsid w:val="34350F97"/>
    <w:rsid w:val="344D6161"/>
    <w:rsid w:val="34C749CD"/>
    <w:rsid w:val="34F63161"/>
    <w:rsid w:val="350655FC"/>
    <w:rsid w:val="35C434EA"/>
    <w:rsid w:val="35DD3BB9"/>
    <w:rsid w:val="35F07A01"/>
    <w:rsid w:val="36777FC9"/>
    <w:rsid w:val="36D913FC"/>
    <w:rsid w:val="370F76FD"/>
    <w:rsid w:val="37D86FCC"/>
    <w:rsid w:val="38107BD1"/>
    <w:rsid w:val="389152DA"/>
    <w:rsid w:val="393D1448"/>
    <w:rsid w:val="397904F3"/>
    <w:rsid w:val="39EB6262"/>
    <w:rsid w:val="3A105491"/>
    <w:rsid w:val="3A56723A"/>
    <w:rsid w:val="3A9C3CC9"/>
    <w:rsid w:val="3AB1684F"/>
    <w:rsid w:val="3BB70A8F"/>
    <w:rsid w:val="3C371B2B"/>
    <w:rsid w:val="3C9A20B8"/>
    <w:rsid w:val="3D283CBC"/>
    <w:rsid w:val="3D2A2618"/>
    <w:rsid w:val="3D9646D4"/>
    <w:rsid w:val="3E6B26F1"/>
    <w:rsid w:val="3E6D3687"/>
    <w:rsid w:val="3F057D64"/>
    <w:rsid w:val="3F265E83"/>
    <w:rsid w:val="3F4940F4"/>
    <w:rsid w:val="3FA37E34"/>
    <w:rsid w:val="422D6DA0"/>
    <w:rsid w:val="429A4C67"/>
    <w:rsid w:val="43AA2C88"/>
    <w:rsid w:val="446F129A"/>
    <w:rsid w:val="44C267EF"/>
    <w:rsid w:val="44DE44CE"/>
    <w:rsid w:val="44EF4615"/>
    <w:rsid w:val="45FC77EA"/>
    <w:rsid w:val="471870B2"/>
    <w:rsid w:val="47613FA5"/>
    <w:rsid w:val="478D59A1"/>
    <w:rsid w:val="47910A89"/>
    <w:rsid w:val="48066A44"/>
    <w:rsid w:val="4916235C"/>
    <w:rsid w:val="49EE3F1B"/>
    <w:rsid w:val="4A113A61"/>
    <w:rsid w:val="4A1D1041"/>
    <w:rsid w:val="4A590BC3"/>
    <w:rsid w:val="4B1E7BFC"/>
    <w:rsid w:val="4B463DC4"/>
    <w:rsid w:val="4D7367E0"/>
    <w:rsid w:val="4D805483"/>
    <w:rsid w:val="4DB43081"/>
    <w:rsid w:val="4DF53DD0"/>
    <w:rsid w:val="4E743637"/>
    <w:rsid w:val="4E760336"/>
    <w:rsid w:val="4E9D6E71"/>
    <w:rsid w:val="4EF86CC0"/>
    <w:rsid w:val="4F7939E0"/>
    <w:rsid w:val="4FC21603"/>
    <w:rsid w:val="4FFD0EF1"/>
    <w:rsid w:val="50724B2D"/>
    <w:rsid w:val="50C64592"/>
    <w:rsid w:val="51037E7B"/>
    <w:rsid w:val="513C795B"/>
    <w:rsid w:val="526A5D52"/>
    <w:rsid w:val="52AF4513"/>
    <w:rsid w:val="52DD7100"/>
    <w:rsid w:val="53013A3B"/>
    <w:rsid w:val="5367649F"/>
    <w:rsid w:val="543A3BB4"/>
    <w:rsid w:val="54EF0E42"/>
    <w:rsid w:val="55487179"/>
    <w:rsid w:val="55BB2B19"/>
    <w:rsid w:val="56024E9F"/>
    <w:rsid w:val="564B4DA3"/>
    <w:rsid w:val="566E3FE9"/>
    <w:rsid w:val="57673F63"/>
    <w:rsid w:val="57835366"/>
    <w:rsid w:val="57C2639A"/>
    <w:rsid w:val="582C415B"/>
    <w:rsid w:val="58501BF8"/>
    <w:rsid w:val="58810003"/>
    <w:rsid w:val="58ED0B60"/>
    <w:rsid w:val="592C34DC"/>
    <w:rsid w:val="593C1922"/>
    <w:rsid w:val="59701E26"/>
    <w:rsid w:val="598E4A14"/>
    <w:rsid w:val="5A2B29EB"/>
    <w:rsid w:val="5AC62F8B"/>
    <w:rsid w:val="5B0838EB"/>
    <w:rsid w:val="5BA74225"/>
    <w:rsid w:val="5BB773CC"/>
    <w:rsid w:val="5CDF6519"/>
    <w:rsid w:val="5E3B0C54"/>
    <w:rsid w:val="5E4E55A1"/>
    <w:rsid w:val="5E684992"/>
    <w:rsid w:val="5EAD75B7"/>
    <w:rsid w:val="5EE86D21"/>
    <w:rsid w:val="5EFB03E4"/>
    <w:rsid w:val="5F0F14B4"/>
    <w:rsid w:val="5FBF1411"/>
    <w:rsid w:val="604164BC"/>
    <w:rsid w:val="612B3202"/>
    <w:rsid w:val="61331572"/>
    <w:rsid w:val="61A94127"/>
    <w:rsid w:val="61EA6C19"/>
    <w:rsid w:val="61F41846"/>
    <w:rsid w:val="61F54388"/>
    <w:rsid w:val="624E656E"/>
    <w:rsid w:val="625E7AEE"/>
    <w:rsid w:val="62897F64"/>
    <w:rsid w:val="642E73B7"/>
    <w:rsid w:val="64D8711E"/>
    <w:rsid w:val="64EE6C25"/>
    <w:rsid w:val="651F63A7"/>
    <w:rsid w:val="65203EED"/>
    <w:rsid w:val="65AD038B"/>
    <w:rsid w:val="65F24D7D"/>
    <w:rsid w:val="65FA0D8B"/>
    <w:rsid w:val="68053934"/>
    <w:rsid w:val="68B65FB3"/>
    <w:rsid w:val="68FB72E6"/>
    <w:rsid w:val="68FC4C4A"/>
    <w:rsid w:val="696A4AE4"/>
    <w:rsid w:val="69841205"/>
    <w:rsid w:val="69F95C7E"/>
    <w:rsid w:val="6A115C20"/>
    <w:rsid w:val="6A1707C7"/>
    <w:rsid w:val="6A676377"/>
    <w:rsid w:val="6B030D4C"/>
    <w:rsid w:val="6B3F0279"/>
    <w:rsid w:val="6B9E5FEC"/>
    <w:rsid w:val="6BA659D1"/>
    <w:rsid w:val="6BA82577"/>
    <w:rsid w:val="6BEE2A5B"/>
    <w:rsid w:val="6C1F0B6D"/>
    <w:rsid w:val="6D180489"/>
    <w:rsid w:val="6D410C09"/>
    <w:rsid w:val="6D5E6704"/>
    <w:rsid w:val="6D601D99"/>
    <w:rsid w:val="6D9A2649"/>
    <w:rsid w:val="6DC5390E"/>
    <w:rsid w:val="6E8F6C1E"/>
    <w:rsid w:val="6F154328"/>
    <w:rsid w:val="6F6C0057"/>
    <w:rsid w:val="6F7E6029"/>
    <w:rsid w:val="6F926BE3"/>
    <w:rsid w:val="709F441D"/>
    <w:rsid w:val="70B419EF"/>
    <w:rsid w:val="70CD6084"/>
    <w:rsid w:val="70E92939"/>
    <w:rsid w:val="711C58C4"/>
    <w:rsid w:val="712F602C"/>
    <w:rsid w:val="71866233"/>
    <w:rsid w:val="71AD433B"/>
    <w:rsid w:val="71C519E1"/>
    <w:rsid w:val="71EF61F6"/>
    <w:rsid w:val="72107D0C"/>
    <w:rsid w:val="72156CF4"/>
    <w:rsid w:val="7249798C"/>
    <w:rsid w:val="726D1317"/>
    <w:rsid w:val="72A62246"/>
    <w:rsid w:val="72C928DE"/>
    <w:rsid w:val="7338355D"/>
    <w:rsid w:val="73A75F6B"/>
    <w:rsid w:val="73FB6A64"/>
    <w:rsid w:val="74883AB2"/>
    <w:rsid w:val="7520339A"/>
    <w:rsid w:val="76360AD9"/>
    <w:rsid w:val="76964066"/>
    <w:rsid w:val="76B455F0"/>
    <w:rsid w:val="771437A0"/>
    <w:rsid w:val="77976B8F"/>
    <w:rsid w:val="77B37656"/>
    <w:rsid w:val="78397B5B"/>
    <w:rsid w:val="78B40ACC"/>
    <w:rsid w:val="78BB4A14"/>
    <w:rsid w:val="795F5CE7"/>
    <w:rsid w:val="7A31343A"/>
    <w:rsid w:val="7A491EB7"/>
    <w:rsid w:val="7A81053D"/>
    <w:rsid w:val="7A96669D"/>
    <w:rsid w:val="7B1B7885"/>
    <w:rsid w:val="7B8016FB"/>
    <w:rsid w:val="7B98792F"/>
    <w:rsid w:val="7BB0282A"/>
    <w:rsid w:val="7BF7F4D8"/>
    <w:rsid w:val="7CC24DC6"/>
    <w:rsid w:val="7CF359D0"/>
    <w:rsid w:val="7D182239"/>
    <w:rsid w:val="7D576AAE"/>
    <w:rsid w:val="7E4313B6"/>
    <w:rsid w:val="7EDA196C"/>
    <w:rsid w:val="7F427D8F"/>
    <w:rsid w:val="7F795C29"/>
    <w:rsid w:val="7FF876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qFormat/>
    <w:uiPriority w:val="9"/>
    <w:pPr>
      <w:keepNext/>
      <w:keepLines/>
      <w:outlineLvl w:val="1"/>
    </w:pPr>
    <w:rPr>
      <w:rFonts w:ascii="Arial" w:hAnsi="Arial" w:eastAsia="黑体"/>
      <w:b/>
      <w:bCs/>
      <w:sz w:val="28"/>
      <w:szCs w:val="32"/>
    </w:rPr>
  </w:style>
  <w:style w:type="paragraph" w:styleId="4">
    <w:name w:val="heading 3"/>
    <w:basedOn w:val="1"/>
    <w:next w:val="1"/>
    <w:qFormat/>
    <w:uiPriority w:val="0"/>
    <w:pPr>
      <w:keepNext/>
      <w:keepLines/>
      <w:spacing w:before="260" w:after="260" w:line="416" w:lineRule="auto"/>
      <w:outlineLvl w:val="2"/>
    </w:pPr>
    <w:rPr>
      <w:rFonts w:ascii="Cambria" w:hAnsi="Cambria"/>
      <w:b/>
      <w:bCs/>
      <w:sz w:val="32"/>
      <w:szCs w:val="3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ind w:firstLine="200" w:firstLineChars="200"/>
    </w:pPr>
    <w:rPr>
      <w:rFonts w:eastAsia="宋体"/>
      <w:kern w:val="2"/>
      <w:sz w:val="28"/>
      <w:szCs w:val="24"/>
      <w:lang w:val="en-US" w:eastAsia="zh-CN" w:bidi="ar-SA"/>
    </w:rPr>
  </w:style>
  <w:style w:type="paragraph" w:styleId="6">
    <w:name w:val="annotation text"/>
    <w:basedOn w:val="1"/>
    <w:link w:val="36"/>
    <w:qFormat/>
    <w:uiPriority w:val="0"/>
    <w:pPr>
      <w:jc w:val="left"/>
    </w:pPr>
  </w:style>
  <w:style w:type="paragraph" w:styleId="7">
    <w:name w:val="Body Text"/>
    <w:basedOn w:val="1"/>
    <w:next w:val="1"/>
    <w:qFormat/>
    <w:uiPriority w:val="1"/>
    <w:pPr>
      <w:spacing w:after="120"/>
    </w:pPr>
    <w:rPr>
      <w:rFonts w:ascii="Cambria" w:hAnsi="Cambria"/>
      <w:sz w:val="24"/>
      <w:szCs w:val="20"/>
    </w:rPr>
  </w:style>
  <w:style w:type="paragraph" w:styleId="8">
    <w:name w:val="Body Text Indent"/>
    <w:basedOn w:val="1"/>
    <w:qFormat/>
    <w:uiPriority w:val="0"/>
    <w:pPr>
      <w:ind w:firstLine="360" w:firstLineChars="150"/>
      <w:jc w:val="left"/>
    </w:pPr>
    <w:rPr>
      <w:rFonts w:ascii="Calibri" w:hAnsi="Calibri"/>
      <w:kern w:val="0"/>
      <w:sz w:val="24"/>
      <w:szCs w:val="20"/>
    </w:rPr>
  </w:style>
  <w:style w:type="paragraph" w:styleId="9">
    <w:name w:val="Plain Text"/>
    <w:basedOn w:val="1"/>
    <w:qFormat/>
    <w:uiPriority w:val="0"/>
    <w:rPr>
      <w:rFonts w:ascii="宋体" w:hAnsi="Courier New"/>
      <w:kern w:val="2"/>
      <w:sz w:val="21"/>
    </w:rPr>
  </w:style>
  <w:style w:type="paragraph" w:styleId="10">
    <w:name w:val="Body Text Indent 2"/>
    <w:basedOn w:val="1"/>
    <w:next w:val="11"/>
    <w:qFormat/>
    <w:uiPriority w:val="99"/>
    <w:pPr>
      <w:ind w:firstLine="640" w:firstLineChars="200"/>
    </w:pPr>
    <w:rPr>
      <w:sz w:val="32"/>
    </w:rPr>
  </w:style>
  <w:style w:type="paragraph" w:styleId="11">
    <w:name w:val="Body Text First Indent 2"/>
    <w:basedOn w:val="8"/>
    <w:unhideWhenUsed/>
    <w:qFormat/>
    <w:uiPriority w:val="99"/>
    <w:pPr>
      <w:ind w:firstLine="420"/>
    </w:pPr>
  </w:style>
  <w:style w:type="paragraph" w:styleId="12">
    <w:name w:val="Balloon Text"/>
    <w:basedOn w:val="1"/>
    <w:link w:val="38"/>
    <w:qFormat/>
    <w:uiPriority w:val="0"/>
    <w:rPr>
      <w:sz w:val="18"/>
      <w:szCs w:val="18"/>
    </w:rPr>
  </w:style>
  <w:style w:type="paragraph" w:styleId="13">
    <w:name w:val="footer"/>
    <w:basedOn w:val="1"/>
    <w:link w:val="35"/>
    <w:qFormat/>
    <w:uiPriority w:val="0"/>
    <w:pPr>
      <w:tabs>
        <w:tab w:val="center" w:pos="4153"/>
        <w:tab w:val="right" w:pos="8306"/>
      </w:tabs>
      <w:snapToGrid w:val="0"/>
      <w:jc w:val="left"/>
    </w:pPr>
    <w:rPr>
      <w:sz w:val="18"/>
      <w:szCs w:val="18"/>
    </w:rPr>
  </w:style>
  <w:style w:type="paragraph" w:styleId="14">
    <w:name w:val="header"/>
    <w:basedOn w:val="1"/>
    <w:link w:val="34"/>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39"/>
    <w:pPr>
      <w:spacing w:line="340" w:lineRule="exact"/>
      <w:jc w:val="center"/>
    </w:pPr>
    <w:rPr>
      <w:bCs/>
      <w:szCs w:val="21"/>
    </w:rPr>
  </w:style>
  <w:style w:type="paragraph" w:styleId="16">
    <w:name w:val="index heading"/>
    <w:basedOn w:val="1"/>
    <w:next w:val="17"/>
    <w:qFormat/>
    <w:uiPriority w:val="0"/>
    <w:rPr>
      <w:szCs w:val="20"/>
    </w:rPr>
  </w:style>
  <w:style w:type="paragraph" w:styleId="17">
    <w:name w:val="index 1"/>
    <w:basedOn w:val="1"/>
    <w:next w:val="1"/>
    <w:qFormat/>
    <w:uiPriority w:val="0"/>
    <w:pPr>
      <w:jc w:val="center"/>
    </w:pPr>
    <w:rPr>
      <w:rFonts w:ascii="宋体" w:hAnsi="宋体"/>
      <w:bCs/>
      <w:color w:val="FF0000"/>
      <w:szCs w:val="21"/>
    </w:rPr>
  </w:style>
  <w:style w:type="paragraph" w:styleId="18">
    <w:name w:val="Normal (Web)"/>
    <w:basedOn w:val="1"/>
    <w:qFormat/>
    <w:uiPriority w:val="99"/>
    <w:pPr>
      <w:widowControl/>
      <w:spacing w:before="100" w:beforeAutospacing="1" w:after="100" w:afterAutospacing="1"/>
      <w:jc w:val="left"/>
    </w:pPr>
    <w:rPr>
      <w:rFonts w:ascii="宋体" w:hAnsi="宋体"/>
      <w:kern w:val="0"/>
      <w:sz w:val="24"/>
      <w:szCs w:val="20"/>
    </w:rPr>
  </w:style>
  <w:style w:type="paragraph" w:styleId="19">
    <w:name w:val="annotation subject"/>
    <w:basedOn w:val="6"/>
    <w:next w:val="6"/>
    <w:link w:val="37"/>
    <w:qFormat/>
    <w:uiPriority w:val="0"/>
    <w:rPr>
      <w:b/>
      <w:bCs/>
    </w:rPr>
  </w:style>
  <w:style w:type="paragraph" w:styleId="20">
    <w:name w:val="Body Text First Indent"/>
    <w:basedOn w:val="7"/>
    <w:next w:val="1"/>
    <w:qFormat/>
    <w:uiPriority w:val="0"/>
    <w:pPr>
      <w:spacing w:after="120"/>
      <w:ind w:firstLine="420" w:firstLineChars="100"/>
    </w:pPr>
    <w:rPr>
      <w:rFonts w:ascii="Times New Roman" w:eastAsia="宋体"/>
      <w:sz w:val="21"/>
    </w:r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0"/>
    <w:rPr>
      <w:b/>
    </w:rPr>
  </w:style>
  <w:style w:type="character" w:styleId="25">
    <w:name w:val="Emphasis"/>
    <w:basedOn w:val="23"/>
    <w:qFormat/>
    <w:uiPriority w:val="0"/>
    <w:rPr>
      <w:i/>
    </w:rPr>
  </w:style>
  <w:style w:type="character" w:styleId="26">
    <w:name w:val="Hyperlink"/>
    <w:basedOn w:val="23"/>
    <w:qFormat/>
    <w:uiPriority w:val="0"/>
    <w:rPr>
      <w:color w:val="0000FF"/>
      <w:u w:val="single"/>
    </w:rPr>
  </w:style>
  <w:style w:type="character" w:styleId="27">
    <w:name w:val="annotation reference"/>
    <w:qFormat/>
    <w:uiPriority w:val="0"/>
    <w:rPr>
      <w:sz w:val="21"/>
      <w:szCs w:val="21"/>
    </w:rPr>
  </w:style>
  <w:style w:type="paragraph" w:customStyle="1" w:styleId="28">
    <w:name w:val="xl27"/>
    <w:basedOn w:val="1"/>
    <w:next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PMingLiU" w:eastAsia="PMingLiU"/>
      <w:kern w:val="0"/>
      <w:sz w:val="16"/>
      <w:szCs w:val="16"/>
      <w:lang w:eastAsia="zh-TW"/>
    </w:rPr>
  </w:style>
  <w:style w:type="paragraph" w:customStyle="1" w:styleId="29">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0">
    <w:name w:val="表格"/>
    <w:basedOn w:val="31"/>
    <w:qFormat/>
    <w:uiPriority w:val="0"/>
    <w:pPr>
      <w:jc w:val="center"/>
    </w:pPr>
    <w:rPr>
      <w:rFonts w:ascii="Calibri" w:hAnsi="Calibri"/>
      <w:kern w:val="0"/>
      <w:sz w:val="24"/>
      <w:szCs w:val="20"/>
    </w:rPr>
  </w:style>
  <w:style w:type="paragraph" w:customStyle="1" w:styleId="31">
    <w:name w:val="表头"/>
    <w:basedOn w:val="32"/>
    <w:next w:val="1"/>
    <w:qFormat/>
    <w:uiPriority w:val="0"/>
    <w:pPr>
      <w:adjustRightInd w:val="0"/>
      <w:spacing w:line="320" w:lineRule="atLeast"/>
      <w:jc w:val="center"/>
    </w:pPr>
    <w:rPr>
      <w:rFonts w:ascii="黑体" w:hAnsi="黑体" w:eastAsia="黑体"/>
      <w:spacing w:val="-10"/>
    </w:rPr>
  </w:style>
  <w:style w:type="paragraph" w:customStyle="1" w:styleId="32">
    <w:name w:val="文本"/>
    <w:basedOn w:val="1"/>
    <w:next w:val="1"/>
    <w:qFormat/>
    <w:uiPriority w:val="0"/>
    <w:pPr>
      <w:adjustRightInd w:val="0"/>
      <w:snapToGrid w:val="0"/>
      <w:spacing w:line="360" w:lineRule="auto"/>
      <w:ind w:firstLine="1446" w:firstLineChars="200"/>
    </w:pPr>
    <w:rPr>
      <w:sz w:val="24"/>
    </w:rPr>
  </w:style>
  <w:style w:type="paragraph" w:customStyle="1" w:styleId="33">
    <w:name w:val="样式1"/>
    <w:basedOn w:val="16"/>
    <w:next w:val="1"/>
    <w:qFormat/>
    <w:uiPriority w:val="0"/>
    <w:pPr>
      <w:widowControl/>
      <w:spacing w:line="440" w:lineRule="exact"/>
    </w:pPr>
    <w:rPr>
      <w:rFonts w:ascii="Arial" w:hAnsi="Arial"/>
      <w:kern w:val="0"/>
    </w:rPr>
  </w:style>
  <w:style w:type="character" w:customStyle="1" w:styleId="34">
    <w:name w:val="页眉 字符"/>
    <w:basedOn w:val="23"/>
    <w:link w:val="14"/>
    <w:qFormat/>
    <w:uiPriority w:val="0"/>
    <w:rPr>
      <w:kern w:val="2"/>
      <w:sz w:val="18"/>
      <w:szCs w:val="18"/>
    </w:rPr>
  </w:style>
  <w:style w:type="character" w:customStyle="1" w:styleId="35">
    <w:name w:val="页脚 字符"/>
    <w:basedOn w:val="23"/>
    <w:link w:val="13"/>
    <w:qFormat/>
    <w:uiPriority w:val="0"/>
    <w:rPr>
      <w:kern w:val="2"/>
      <w:sz w:val="18"/>
      <w:szCs w:val="18"/>
    </w:rPr>
  </w:style>
  <w:style w:type="character" w:customStyle="1" w:styleId="36">
    <w:name w:val="批注文字 字符"/>
    <w:basedOn w:val="23"/>
    <w:link w:val="6"/>
    <w:qFormat/>
    <w:uiPriority w:val="0"/>
    <w:rPr>
      <w:kern w:val="2"/>
      <w:sz w:val="21"/>
      <w:szCs w:val="24"/>
    </w:rPr>
  </w:style>
  <w:style w:type="character" w:customStyle="1" w:styleId="37">
    <w:name w:val="批注主题 字符"/>
    <w:basedOn w:val="36"/>
    <w:link w:val="19"/>
    <w:qFormat/>
    <w:uiPriority w:val="0"/>
    <w:rPr>
      <w:b/>
      <w:bCs/>
      <w:kern w:val="2"/>
      <w:sz w:val="21"/>
      <w:szCs w:val="24"/>
    </w:rPr>
  </w:style>
  <w:style w:type="character" w:customStyle="1" w:styleId="38">
    <w:name w:val="批注框文本 字符"/>
    <w:basedOn w:val="23"/>
    <w:link w:val="12"/>
    <w:qFormat/>
    <w:uiPriority w:val="0"/>
    <w:rPr>
      <w:kern w:val="2"/>
      <w:sz w:val="18"/>
      <w:szCs w:val="18"/>
    </w:rPr>
  </w:style>
  <w:style w:type="paragraph" w:customStyle="1" w:styleId="39">
    <w:name w:val="Default"/>
    <w:basedOn w:val="40"/>
    <w:qFormat/>
    <w:uiPriority w:val="0"/>
    <w:pPr>
      <w:widowControl w:val="0"/>
      <w:autoSpaceDE w:val="0"/>
      <w:autoSpaceDN w:val="0"/>
      <w:adjustRightInd w:val="0"/>
    </w:pPr>
    <w:rPr>
      <w:color w:val="000000"/>
      <w:sz w:val="24"/>
      <w:szCs w:val="24"/>
      <w:lang w:val="en-US" w:eastAsia="zh-CN" w:bidi="ar-SA"/>
    </w:rPr>
  </w:style>
  <w:style w:type="paragraph" w:customStyle="1" w:styleId="40">
    <w:name w:val="标题 段落4级"/>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41">
    <w:name w:val="纯文本1"/>
    <w:basedOn w:val="1"/>
    <w:qFormat/>
    <w:uiPriority w:val="0"/>
    <w:pPr>
      <w:widowControl w:val="0"/>
      <w:adjustRightInd w:val="0"/>
      <w:jc w:val="both"/>
      <w:textAlignment w:val="baseline"/>
    </w:pPr>
    <w:rPr>
      <w:rFonts w:ascii="宋体" w:hAnsi="Courier New"/>
      <w:szCs w:val="20"/>
    </w:rPr>
  </w:style>
  <w:style w:type="paragraph" w:customStyle="1" w:styleId="42">
    <w:name w:val="样式35"/>
    <w:basedOn w:val="1"/>
    <w:next w:val="1"/>
    <w:qFormat/>
    <w:uiPriority w:val="0"/>
    <w:pPr>
      <w:spacing w:line="312" w:lineRule="auto"/>
      <w:ind w:firstLine="567"/>
    </w:pPr>
    <w:rPr>
      <w:rFonts w:ascii="宋体"/>
      <w:sz w:val="28"/>
    </w:rPr>
  </w:style>
  <w:style w:type="character" w:customStyle="1" w:styleId="43">
    <w:name w:val="font31"/>
    <w:basedOn w:val="23"/>
    <w:qFormat/>
    <w:uiPriority w:val="0"/>
    <w:rPr>
      <w:rFonts w:ascii="Calibri" w:hAnsi="Calibri" w:cs="Calibri"/>
      <w:color w:val="000000"/>
      <w:sz w:val="20"/>
      <w:szCs w:val="20"/>
      <w:u w:val="none"/>
    </w:rPr>
  </w:style>
  <w:style w:type="character" w:customStyle="1" w:styleId="44">
    <w:name w:val="font21"/>
    <w:basedOn w:val="23"/>
    <w:qFormat/>
    <w:uiPriority w:val="0"/>
    <w:rPr>
      <w:rFonts w:hint="eastAsia" w:ascii="宋体" w:hAnsi="宋体" w:eastAsia="宋体" w:cs="宋体"/>
      <w:color w:val="000000"/>
      <w:sz w:val="20"/>
      <w:szCs w:val="20"/>
      <w:u w:val="none"/>
    </w:rPr>
  </w:style>
  <w:style w:type="paragraph" w:customStyle="1" w:styleId="45">
    <w:name w:val="Table Paragraph"/>
    <w:basedOn w:val="1"/>
    <w:qFormat/>
    <w:uiPriority w:val="0"/>
    <w:pPr>
      <w:autoSpaceDE w:val="0"/>
      <w:autoSpaceDN w:val="0"/>
      <w:jc w:val="left"/>
    </w:pPr>
    <w:rPr>
      <w:rFonts w:ascii="宋体" w:hAnsi="宋体" w:cs="宋体"/>
      <w:kern w:val="0"/>
      <w:sz w:val="22"/>
      <w:szCs w:val="22"/>
      <w:lang w:val="zh-CN"/>
    </w:rPr>
  </w:style>
  <w:style w:type="paragraph" w:customStyle="1" w:styleId="46">
    <w:name w:val="表格文字2"/>
    <w:basedOn w:val="1"/>
    <w:qFormat/>
    <w:uiPriority w:val="0"/>
    <w:pPr>
      <w:tabs>
        <w:tab w:val="left" w:pos="277"/>
        <w:tab w:val="left" w:pos="600"/>
        <w:tab w:val="left" w:pos="780"/>
        <w:tab w:val="left" w:pos="2517"/>
      </w:tabs>
      <w:adjustRightInd w:val="0"/>
      <w:snapToGrid w:val="0"/>
      <w:jc w:val="center"/>
      <w:textAlignment w:val="baseline"/>
    </w:pPr>
    <w:rPr>
      <w:kern w:val="0"/>
      <w:szCs w:val="21"/>
    </w:rPr>
  </w:style>
  <w:style w:type="paragraph" w:customStyle="1" w:styleId="47">
    <w:name w:val="表格正文"/>
    <w:basedOn w:val="48"/>
    <w:next w:val="1"/>
    <w:qFormat/>
    <w:uiPriority w:val="0"/>
    <w:rPr>
      <w:rFonts w:cs="Times New Roman"/>
      <w:b w:val="0"/>
      <w:bCs w:val="0"/>
    </w:rPr>
  </w:style>
  <w:style w:type="paragraph" w:customStyle="1" w:styleId="48">
    <w:name w:val="表格加粗"/>
    <w:basedOn w:val="2"/>
    <w:next w:val="1"/>
    <w:qFormat/>
    <w:uiPriority w:val="0"/>
    <w:pPr>
      <w:keepLines/>
      <w:overflowPunct/>
      <w:snapToGrid/>
      <w:spacing w:before="0" w:after="0" w:line="240" w:lineRule="atLeast"/>
      <w:ind w:left="0" w:firstLine="0"/>
      <w:jc w:val="center"/>
    </w:pPr>
    <w:rPr>
      <w:rFonts w:eastAsia="宋体" w:cs="Times New Roman"/>
      <w:color w:val="auto"/>
      <w:sz w:val="21"/>
      <w:szCs w:val="21"/>
    </w:rPr>
  </w:style>
  <w:style w:type="paragraph" w:customStyle="1" w:styleId="49">
    <w:name w:val="Char1"/>
    <w:basedOn w:val="1"/>
    <w:qFormat/>
    <w:uiPriority w:val="0"/>
    <w:pPr>
      <w:widowControl/>
      <w:snapToGrid w:val="0"/>
      <w:spacing w:line="240" w:lineRule="auto"/>
      <w:ind w:firstLine="0" w:firstLineChars="0"/>
      <w:jc w:val="center"/>
    </w:pPr>
    <w:rPr>
      <w:rFonts w:ascii="Times New Roman" w:hAnsi="Times New Roman" w:eastAsia="宋体" w:cs="宋体"/>
      <w:kern w:val="0"/>
      <w:sz w:val="21"/>
      <w:szCs w:val="21"/>
    </w:rPr>
  </w:style>
  <w:style w:type="table" w:customStyle="1" w:styleId="50">
    <w:name w:val="表格主题113"/>
    <w:basedOn w:val="21"/>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1">
    <w:name w:val="font11"/>
    <w:basedOn w:val="23"/>
    <w:qFormat/>
    <w:uiPriority w:val="0"/>
    <w:rPr>
      <w:rFonts w:hint="eastAsia" w:ascii="宋体" w:hAnsi="宋体" w:eastAsia="宋体" w:cs="宋体"/>
      <w:color w:val="000000"/>
      <w:sz w:val="20"/>
      <w:szCs w:val="20"/>
      <w:u w:val="none"/>
    </w:rPr>
  </w:style>
  <w:style w:type="paragraph" w:customStyle="1" w:styleId="52">
    <w:name w:val="我的样式（正文）"/>
    <w:basedOn w:val="1"/>
    <w:qFormat/>
    <w:uiPriority w:val="99"/>
    <w:pPr>
      <w:widowControl w:val="0"/>
      <w:spacing w:line="440" w:lineRule="exact"/>
      <w:jc w:val="both"/>
    </w:pPr>
    <w:rPr>
      <w:rFonts w:ascii="宋体" w:eastAsia="宋体" w:cs="宋体"/>
      <w:kern w:val="2"/>
      <w:sz w:val="28"/>
      <w:szCs w:val="28"/>
    </w:rPr>
  </w:style>
  <w:style w:type="paragraph" w:customStyle="1" w:styleId="53">
    <w:name w:val="表格文字"/>
    <w:basedOn w:val="9"/>
    <w:next w:val="7"/>
    <w:qFormat/>
    <w:uiPriority w:val="0"/>
    <w:pPr>
      <w:jc w:val="center"/>
    </w:pPr>
    <w:rPr>
      <w:rFonts w:ascii="仿宋_GB2312" w:hAnsi="Arial Black" w:eastAsia="仿宋_GB2312"/>
      <w:kern w:val="44"/>
      <w:sz w:val="24"/>
      <w:lang w:val="en-US" w:eastAsia="zh-CN" w:bidi="ar-SA"/>
    </w:rPr>
  </w:style>
  <w:style w:type="table" w:customStyle="1" w:styleId="54">
    <w:name w:val="Table Normal"/>
    <w:unhideWhenUsed/>
    <w:qFormat/>
    <w:uiPriority w:val="0"/>
    <w:tblPr>
      <w:tblCellMar>
        <w:top w:w="0" w:type="dxa"/>
        <w:left w:w="0" w:type="dxa"/>
        <w:bottom w:w="0" w:type="dxa"/>
        <w:right w:w="0" w:type="dxa"/>
      </w:tblCellMar>
    </w:tblPr>
  </w:style>
  <w:style w:type="paragraph" w:customStyle="1" w:styleId="55">
    <w:name w:val="正文B"/>
    <w:basedOn w:val="33"/>
    <w:qFormat/>
    <w:uiPriority w:val="0"/>
    <w:pPr>
      <w:widowControl w:val="0"/>
      <w:spacing w:line="360" w:lineRule="auto"/>
    </w:pPr>
    <w:rPr>
      <w:rFonts w:ascii="宋体" w:hAnsi="宋体" w:cs="宋体"/>
      <w:kern w:val="2"/>
      <w:szCs w:val="20"/>
    </w:rPr>
  </w:style>
  <w:style w:type="paragraph" w:customStyle="1" w:styleId="56">
    <w:name w:val="报告正文"/>
    <w:basedOn w:val="1"/>
    <w:next w:val="1"/>
    <w:qFormat/>
    <w:uiPriority w:val="0"/>
    <w:pPr>
      <w:jc w:val="left"/>
    </w:pPr>
  </w:style>
  <w:style w:type="paragraph" w:customStyle="1" w:styleId="57">
    <w:name w:val="二级无"/>
    <w:basedOn w:val="58"/>
    <w:qFormat/>
    <w:uiPriority w:val="0"/>
    <w:pPr>
      <w:spacing w:before="0" w:beforeLines="0" w:after="0" w:afterLines="0"/>
    </w:pPr>
    <w:rPr>
      <w:rFonts w:ascii="宋体" w:eastAsia="宋体"/>
    </w:rPr>
  </w:style>
  <w:style w:type="paragraph" w:customStyle="1" w:styleId="58">
    <w:name w:val="二级条标题"/>
    <w:basedOn w:val="59"/>
    <w:next w:val="60"/>
    <w:qFormat/>
    <w:uiPriority w:val="0"/>
    <w:pPr>
      <w:numPr>
        <w:ilvl w:val="2"/>
        <w:numId w:val="1"/>
      </w:numPr>
      <w:spacing w:before="50" w:after="50"/>
      <w:outlineLvl w:val="3"/>
    </w:pPr>
  </w:style>
  <w:style w:type="paragraph" w:customStyle="1" w:styleId="59">
    <w:name w:val="一级条标题"/>
    <w:next w:val="60"/>
    <w:qFormat/>
    <w:uiPriority w:val="0"/>
    <w:pPr>
      <w:numPr>
        <w:ilvl w:val="1"/>
        <w:numId w:val="1"/>
      </w:numPr>
      <w:spacing w:before="156" w:beforeLines="50" w:after="156" w:afterLines="50"/>
      <w:ind w:left="142"/>
      <w:outlineLvl w:val="2"/>
    </w:pPr>
    <w:rPr>
      <w:rFonts w:ascii="黑体" w:hAnsi="Times New Roman" w:eastAsia="黑体" w:cs="Times New Roman"/>
      <w:sz w:val="21"/>
      <w:szCs w:val="21"/>
      <w:lang w:val="en-US" w:eastAsia="zh-CN" w:bidi="ar-SA"/>
    </w:rPr>
  </w:style>
  <w:style w:type="paragraph" w:customStyle="1" w:styleId="60">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61">
    <w:name w:val="Normal (Web)"/>
    <w:basedOn w:val="1"/>
    <w:qFormat/>
    <w:uiPriority w:val="0"/>
    <w:pPr>
      <w:spacing w:line="240" w:lineRule="auto"/>
      <w:ind w:firstLine="0" w:firstLineChars="0"/>
      <w:jc w:val="center"/>
    </w:pPr>
    <w:rPr>
      <w:rFonts w:cs="宋体"/>
      <w:sz w:val="21"/>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er" Target="foot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wmf"/><Relationship Id="rId17" Type="http://schemas.openxmlformats.org/officeDocument/2006/relationships/oleObject" Target="embeddings/oleObject5.bin"/><Relationship Id="rId16" Type="http://schemas.openxmlformats.org/officeDocument/2006/relationships/image" Target="media/image7.wmf"/><Relationship Id="rId15" Type="http://schemas.openxmlformats.org/officeDocument/2006/relationships/oleObject" Target="embeddings/oleObject4.bin"/><Relationship Id="rId14" Type="http://schemas.openxmlformats.org/officeDocument/2006/relationships/image" Target="media/image6.wmf"/><Relationship Id="rId13" Type="http://schemas.openxmlformats.org/officeDocument/2006/relationships/oleObject" Target="embeddings/oleObject3.bin"/><Relationship Id="rId12" Type="http://schemas.openxmlformats.org/officeDocument/2006/relationships/image" Target="media/image5.wmf"/><Relationship Id="rId11" Type="http://schemas.openxmlformats.org/officeDocument/2006/relationships/oleObject" Target="embeddings/oleObject2.bin"/><Relationship Id="rId10" Type="http://schemas.openxmlformats.org/officeDocument/2006/relationships/image" Target="media/image4.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Info spid="_x0000_s205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峰缘网络</Company>
  <Pages>132</Pages>
  <Words>9889</Words>
  <Characters>10561</Characters>
  <Lines>346</Lines>
  <Paragraphs>97</Paragraphs>
  <TotalTime>37</TotalTime>
  <ScaleCrop>false</ScaleCrop>
  <LinksUpToDate>false</LinksUpToDate>
  <CharactersWithSpaces>10723</CharactersWithSpaces>
  <Application>WPS Office_11.8.2.1130_F1E327BC-269C-435d-A152-05C5408002CA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2023-02-14T14:30:00Z</dcterms:created>
  <dc:creator>皆</dc:creator>
  <cp:lastModifiedBy>greatwall</cp:lastModifiedBy>
  <cp:lastPrinted>2025-06-30T10:24:00Z</cp:lastPrinted>
  <dcterms:modified xsi:type="dcterms:W3CDTF">2025-10-17T18:02:03Z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2052-11.8.2.1130</vt:lpwstr>
  </property>
  <property fmtid="{D5CDD505-2E9C-101B-9397-08002B2CF9AE}" pid="3" name="ICV">
    <vt:lpwstr>22ECF7B5932740F085311C260B7E2A7D_13</vt:lpwstr>
  </property>
  <property fmtid="{D5CDD505-2E9C-101B-9397-08002B2CF9AE}" pid="4" name="KSOTemplateDocerSaveRecord">
    <vt:lpwstr>eyJoZGlkIjoiZWU0YjgyY2Q5NzNmMzE5MzUzMjQ3N2VhOGYyODgwZDYiLCJ1c2VySWQiOiIyMTEzNTk2NzAifQ==</vt:lpwstr>
  </property>
</Properties>
</file>